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Cs/>
          <w:sz w:val="48"/>
          <w:szCs w:val="48"/>
        </w:rPr>
      </w:pPr>
      <w:bookmarkStart w:id="413" w:name="_GoBack"/>
      <w:bookmarkEnd w:id="413"/>
    </w:p>
    <w:p>
      <w:pPr>
        <w:adjustRightInd/>
        <w:spacing w:line="360" w:lineRule="auto"/>
        <w:jc w:val="center"/>
        <w:rPr>
          <w:rFonts w:ascii="宋体" w:hAnsi="宋体" w:cs="宋体"/>
          <w:sz w:val="48"/>
          <w:szCs w:val="48"/>
        </w:rPr>
      </w:pPr>
      <w:r>
        <w:rPr>
          <w:rFonts w:hint="eastAsia" w:ascii="宋体" w:hAnsi="宋体" w:cs="宋体"/>
          <w:sz w:val="48"/>
          <w:szCs w:val="48"/>
        </w:rPr>
        <w:t>杭州市西湖区cim地图能力提升建设项目</w:t>
      </w:r>
    </w:p>
    <w:p>
      <w:pPr>
        <w:adjustRightInd/>
        <w:spacing w:line="360" w:lineRule="auto"/>
        <w:rPr>
          <w:rFonts w:ascii="宋体" w:hAnsi="宋体" w:cs="宋体"/>
          <w:sz w:val="48"/>
          <w:szCs w:val="48"/>
        </w:rPr>
      </w:pPr>
    </w:p>
    <w:p>
      <w:pPr>
        <w:pStyle w:val="2"/>
        <w:ind w:firstLine="420"/>
      </w:pP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编号:XHZFCG-2022-G-41</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sz w:val="32"/>
          <w:szCs w:val="32"/>
        </w:rPr>
      </w:pPr>
      <w:r>
        <w:rPr>
          <w:rFonts w:hint="eastAsia" w:ascii="宋体" w:hAnsi="宋体" w:cs="宋体"/>
          <w:sz w:val="32"/>
          <w:szCs w:val="32"/>
        </w:rPr>
        <w:t>杭州市西湖区数据资源管理局</w:t>
      </w:r>
    </w:p>
    <w:p>
      <w:pPr>
        <w:spacing w:line="360" w:lineRule="auto"/>
        <w:jc w:val="center"/>
        <w:rPr>
          <w:rFonts w:ascii="宋体" w:hAnsi="宋体" w:cs="宋体"/>
          <w:bCs/>
          <w:sz w:val="32"/>
          <w:szCs w:val="32"/>
        </w:rPr>
      </w:pPr>
      <w:r>
        <w:rPr>
          <w:rFonts w:hint="eastAsia" w:ascii="宋体" w:hAnsi="宋体" w:cs="宋体"/>
          <w:bCs/>
          <w:sz w:val="32"/>
          <w:szCs w:val="32"/>
        </w:rPr>
        <w:t>杭州市西湖区政府采购中心</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二〇二二年八月十九日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spacing w:line="360" w:lineRule="auto"/>
        <w:jc w:val="center"/>
        <w:rPr>
          <w:rFonts w:ascii="宋体" w:hAnsi="宋体" w:cs="宋体"/>
          <w:sz w:val="24"/>
        </w:rPr>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sz w:val="24"/>
          <w:u w:val="single"/>
        </w:rPr>
        <w:t>杭州市西湖区cim地图能力提升建设项目</w:t>
      </w:r>
      <w:r>
        <w:rPr>
          <w:rFonts w:hint="eastAsia" w:ascii="宋体" w:hAnsi="宋体" w:cs="宋体"/>
          <w:sz w:val="24"/>
        </w:rPr>
        <w:t>招标项目的潜在投标人应在政采云平台（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cs="宋体"/>
          <w:sz w:val="24"/>
          <w:u w:val="single"/>
        </w:rPr>
        <w:t>2022年</w:t>
      </w:r>
      <w:r>
        <w:rPr>
          <w:rFonts w:ascii="宋体" w:hAnsi="宋体" w:cs="宋体"/>
          <w:sz w:val="24"/>
          <w:u w:val="single"/>
        </w:rPr>
        <w:t>9</w:t>
      </w:r>
      <w:r>
        <w:rPr>
          <w:rFonts w:hint="eastAsia" w:ascii="宋体" w:hAnsi="宋体" w:cs="宋体"/>
          <w:sz w:val="24"/>
          <w:u w:val="single"/>
        </w:rPr>
        <w:t>月</w:t>
      </w:r>
      <w:r>
        <w:rPr>
          <w:rFonts w:ascii="宋体" w:hAnsi="宋体" w:cs="宋体"/>
          <w:sz w:val="24"/>
          <w:u w:val="single"/>
        </w:rPr>
        <w:t>9</w:t>
      </w:r>
      <w:r>
        <w:rPr>
          <w:rFonts w:hint="eastAsia" w:ascii="宋体" w:hAnsi="宋体" w:cs="宋体"/>
          <w:sz w:val="24"/>
          <w:u w:val="single"/>
        </w:rPr>
        <w:t>日</w:t>
      </w:r>
      <w:r>
        <w:rPr>
          <w:rFonts w:ascii="宋体" w:hAnsi="宋体" w:cs="宋体"/>
          <w:sz w:val="24"/>
          <w:u w:val="single"/>
        </w:rPr>
        <w:t>14</w:t>
      </w:r>
      <w:r>
        <w:rPr>
          <w:rFonts w:hint="eastAsia" w:ascii="宋体" w:hAnsi="宋体" w:cs="宋体"/>
          <w:sz w:val="24"/>
          <w:u w:val="single"/>
        </w:rPr>
        <w:t>点</w:t>
      </w:r>
      <w:r>
        <w:rPr>
          <w:rFonts w:ascii="宋体" w:hAnsi="宋体" w:cs="宋体"/>
          <w:sz w:val="24"/>
          <w:u w:val="single"/>
        </w:rPr>
        <w:t>30</w:t>
      </w:r>
      <w:r>
        <w:rPr>
          <w:rFonts w:hint="eastAsia" w:ascii="宋体" w:hAnsi="宋体" w:cs="宋体"/>
          <w:sz w:val="24"/>
          <w:u w:val="single"/>
        </w:rPr>
        <w:t>分</w:t>
      </w:r>
      <w:r>
        <w:rPr>
          <w:rFonts w:hint="eastAsia" w:ascii="宋体" w:hAnsi="宋体" w:cs="宋体"/>
          <w:bCs/>
          <w:sz w:val="24"/>
          <w:u w:val="single"/>
        </w:rPr>
        <w:t>00秒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sz w:val="24"/>
        </w:rPr>
        <w:t>XHZFCG-2022-G-41</w:t>
      </w:r>
    </w:p>
    <w:p>
      <w:pPr>
        <w:spacing w:line="360" w:lineRule="auto"/>
        <w:ind w:firstLine="480"/>
        <w:rPr>
          <w:rFonts w:ascii="宋体" w:hAnsi="宋体" w:cs="宋体"/>
          <w:b/>
          <w:sz w:val="24"/>
        </w:rPr>
      </w:pPr>
      <w:r>
        <w:rPr>
          <w:rFonts w:hint="eastAsia" w:ascii="宋体" w:hAnsi="宋体" w:cs="宋体"/>
          <w:b/>
          <w:sz w:val="24"/>
        </w:rPr>
        <w:t>项目名称：</w:t>
      </w:r>
      <w:r>
        <w:rPr>
          <w:rFonts w:hint="eastAsia" w:ascii="宋体" w:hAnsi="宋体" w:cs="宋体"/>
          <w:sz w:val="24"/>
        </w:rPr>
        <w:t xml:space="preserve">杭州市西湖区cim地图能力提升建设项目   </w:t>
      </w:r>
      <w:r>
        <w:rPr>
          <w:rFonts w:hint="eastAsia" w:ascii="宋体" w:hAnsi="宋体" w:cs="宋体"/>
          <w:b/>
          <w:sz w:val="24"/>
        </w:rPr>
        <w:t xml:space="preserve"> </w:t>
      </w:r>
    </w:p>
    <w:p>
      <w:pPr>
        <w:spacing w:line="360" w:lineRule="auto"/>
        <w:ind w:firstLine="482" w:firstLineChars="200"/>
        <w:rPr>
          <w:rFonts w:ascii="宋体" w:hAnsi="宋体" w:cs="宋体"/>
          <w:b/>
          <w:sz w:val="24"/>
        </w:rPr>
      </w:pPr>
      <w:r>
        <w:rPr>
          <w:rFonts w:hint="eastAsia" w:ascii="宋体" w:hAnsi="宋体" w:cs="宋体"/>
          <w:b/>
          <w:sz w:val="24"/>
        </w:rPr>
        <w:t>预算金额（元）：</w:t>
      </w:r>
      <w:r>
        <w:rPr>
          <w:rFonts w:hint="eastAsia" w:asciiTheme="minorEastAsia" w:hAnsiTheme="minorEastAsia" w:eastAsiaTheme="minorEastAsia" w:cstheme="minorEastAsia"/>
          <w:color w:val="000000" w:themeColor="text1"/>
          <w:sz w:val="24"/>
          <w14:textFill>
            <w14:solidFill>
              <w14:schemeClr w14:val="tx1"/>
            </w14:solidFill>
          </w14:textFill>
        </w:rPr>
        <w:t>7</w:t>
      </w:r>
      <w:r>
        <w:rPr>
          <w:rFonts w:asciiTheme="minorEastAsia" w:hAnsiTheme="minorEastAsia" w:eastAsiaTheme="minorEastAsia" w:cstheme="minorEastAsia"/>
          <w:color w:val="000000" w:themeColor="text1"/>
          <w:sz w:val="24"/>
          <w14:textFill>
            <w14:solidFill>
              <w14:schemeClr w14:val="tx1"/>
            </w14:solidFill>
          </w14:textFill>
        </w:rPr>
        <w:t>897500</w:t>
      </w:r>
      <w:r>
        <w:rPr>
          <w:rFonts w:hint="eastAsia" w:asciiTheme="minorEastAsia" w:hAnsiTheme="minorEastAsia" w:eastAsiaTheme="minorEastAsia" w:cstheme="minorEastAsia"/>
          <w:color w:val="000000" w:themeColor="text1"/>
          <w:sz w:val="24"/>
          <w14:textFill>
            <w14:solidFill>
              <w14:schemeClr w14:val="tx1"/>
            </w14:solidFill>
          </w14:textFill>
        </w:rPr>
        <w:t>.00</w:t>
      </w:r>
    </w:p>
    <w:p>
      <w:pPr>
        <w:spacing w:line="360" w:lineRule="auto"/>
        <w:ind w:firstLine="482" w:firstLineChars="200"/>
        <w:rPr>
          <w:rFonts w:ascii="宋体" w:hAnsi="宋体" w:cs="宋体"/>
          <w:sz w:val="24"/>
        </w:rPr>
      </w:pPr>
      <w:r>
        <w:rPr>
          <w:rFonts w:hint="eastAsia" w:ascii="宋体" w:hAnsi="宋体" w:cs="宋体"/>
          <w:b/>
          <w:sz w:val="24"/>
        </w:rPr>
        <w:t>最高限价（元）：</w:t>
      </w:r>
      <w:r>
        <w:rPr>
          <w:rFonts w:asciiTheme="minorEastAsia" w:hAnsiTheme="minorEastAsia" w:eastAsiaTheme="minorEastAsia" w:cstheme="minorEastAsia"/>
          <w:color w:val="000000" w:themeColor="text1"/>
          <w:sz w:val="24"/>
          <w14:textFill>
            <w14:solidFill>
              <w14:schemeClr w14:val="tx1"/>
            </w14:solidFill>
          </w14:textFill>
        </w:rPr>
        <w:t>7897500</w:t>
      </w:r>
      <w:r>
        <w:rPr>
          <w:rFonts w:hint="eastAsia" w:asciiTheme="minorEastAsia" w:hAnsiTheme="minorEastAsia" w:eastAsiaTheme="minorEastAsia" w:cstheme="minorEastAsia"/>
          <w:color w:val="000000" w:themeColor="text1"/>
          <w:sz w:val="24"/>
          <w14:textFill>
            <w14:solidFill>
              <w14:schemeClr w14:val="tx1"/>
            </w14:solidFill>
          </w14:textFill>
        </w:rPr>
        <w:t>.00</w:t>
      </w:r>
    </w:p>
    <w:p>
      <w:pPr>
        <w:pStyle w:val="7"/>
        <w:spacing w:line="360" w:lineRule="auto"/>
        <w:ind w:firstLine="480"/>
        <w:rPr>
          <w:rFonts w:asciiTheme="minorEastAsia" w:hAnsiTheme="minorEastAsia" w:eastAsiaTheme="minorEastAsia" w:cstheme="minorEastAsia"/>
          <w:bCs/>
          <w:snapToGrid/>
          <w:color w:val="000000" w:themeColor="text1"/>
          <w:kern w:val="2"/>
          <w:sz w:val="24"/>
          <w:szCs w:val="24"/>
          <w14:textFill>
            <w14:solidFill>
              <w14:schemeClr w14:val="tx1"/>
            </w14:solidFill>
          </w14:textFill>
        </w:rPr>
      </w:pPr>
      <w:r>
        <w:rPr>
          <w:rFonts w:hint="eastAsia" w:hAnsi="宋体" w:cs="宋体"/>
          <w:b/>
          <w:color w:val="auto"/>
          <w:sz w:val="24"/>
        </w:rPr>
        <w:t>采购需求：</w:t>
      </w:r>
      <w:r>
        <w:rPr>
          <w:rFonts w:hint="eastAsia" w:hAnsi="宋体" w:cs="宋体"/>
          <w:sz w:val="24"/>
        </w:rPr>
        <w:t>杭州市西湖区cim地图能力提升建设项目</w:t>
      </w:r>
      <w:r>
        <w:rPr>
          <w:rFonts w:hint="eastAsia" w:hAnsi="宋体" w:cs="宋体"/>
          <w:sz w:val="24"/>
          <w:szCs w:val="24"/>
        </w:rPr>
        <w:t>，项目包括</w:t>
      </w:r>
      <w:r>
        <w:rPr>
          <w:rFonts w:hint="eastAsia" w:asciiTheme="minorEastAsia" w:hAnsiTheme="minorEastAsia" w:eastAsiaTheme="minorEastAsia" w:cstheme="minorEastAsia"/>
          <w:bCs/>
          <w:color w:val="000000" w:themeColor="text1"/>
          <w:sz w:val="24"/>
          <w14:textFill>
            <w14:solidFill>
              <w14:schemeClr w14:val="tx1"/>
            </w14:solidFill>
          </w14:textFill>
        </w:rPr>
        <w:t>数</w:t>
      </w:r>
      <w:r>
        <w:rPr>
          <w:rFonts w:hint="eastAsia" w:asciiTheme="minorEastAsia" w:hAnsiTheme="minorEastAsia" w:eastAsiaTheme="minorEastAsia" w:cstheme="minorEastAsia"/>
          <w:bCs/>
          <w:snapToGrid/>
          <w:color w:val="000000" w:themeColor="text1"/>
          <w:kern w:val="2"/>
          <w:sz w:val="24"/>
          <w:szCs w:val="24"/>
          <w14:textFill>
            <w14:solidFill>
              <w14:schemeClr w14:val="tx1"/>
            </w14:solidFill>
          </w14:textFill>
        </w:rPr>
        <w:t>据标准规范及更新机制建设、数据归集和处理工具、资源管理平台建设、资源服务平台建设、二三维可视化服务能力、综合管理、CIM地图更新、运营商人口数据接口。具体包括系统设计、系统调试、技术培训、相关验收和维护等与相关的操作培训及不少于3年（含）7×24小时售后免费技术服务。详见招标文件第三部分采购需求。</w:t>
      </w:r>
    </w:p>
    <w:p>
      <w:pPr>
        <w:pStyle w:val="128"/>
        <w:spacing w:before="0"/>
        <w:ind w:firstLine="482"/>
        <w:outlineLvl w:val="2"/>
        <w:rPr>
          <w:rFonts w:ascii="宋体" w:hAnsi="宋体" w:cs="宋体"/>
          <w:bCs/>
          <w:szCs w:val="24"/>
        </w:rPr>
      </w:pPr>
      <w:r>
        <w:rPr>
          <w:rFonts w:hint="eastAsia" w:ascii="宋体" w:hAnsi="宋体" w:cs="宋体"/>
          <w:b/>
        </w:rPr>
        <w:t>合同履约期限：</w:t>
      </w:r>
      <w:r>
        <w:rPr>
          <w:rFonts w:hint="eastAsia" w:ascii="宋体" w:hAnsi="宋体" w:cs="宋体"/>
          <w:bCs/>
          <w:szCs w:val="24"/>
        </w:rPr>
        <w:t>合同签订</w:t>
      </w:r>
      <w:r>
        <w:rPr>
          <w:rFonts w:hint="eastAsia" w:ascii="宋体" w:hAnsi="宋体" w:cs="宋体"/>
          <w:bCs/>
        </w:rPr>
        <w:t>之日起</w:t>
      </w:r>
      <w:r>
        <w:rPr>
          <w:rFonts w:ascii="宋体" w:hAnsi="宋体" w:cs="宋体"/>
          <w:bCs/>
        </w:rPr>
        <w:t>3</w:t>
      </w:r>
      <w:r>
        <w:rPr>
          <w:rFonts w:hint="eastAsia" w:ascii="宋体" w:hAnsi="宋体" w:cs="宋体"/>
          <w:bCs/>
        </w:rPr>
        <w:t>年。</w:t>
      </w:r>
    </w:p>
    <w:p>
      <w:pPr>
        <w:pStyle w:val="7"/>
        <w:spacing w:line="360" w:lineRule="auto"/>
        <w:ind w:firstLine="480"/>
        <w:rPr>
          <w:rFonts w:hAnsi="宋体" w:cs="宋体"/>
          <w:b/>
          <w:color w:val="auto"/>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ascii="MS Gothic" w:hAnsi="MS Gothic" w:cs="宋体"/>
              <w:color w:val="auto"/>
              <w:kern w:val="0"/>
              <w:sz w:val="24"/>
            </w:rPr>
            <w:t>☐</w:t>
          </w:r>
        </w:sdtContent>
      </w:sdt>
      <w:r>
        <w:rPr>
          <w:rFonts w:hint="eastAsia" w:hAnsi="宋体" w:cs="宋体"/>
          <w:b/>
          <w:color w:val="auto"/>
          <w:sz w:val="24"/>
        </w:rPr>
        <w:t>是，</w:t>
      </w:r>
      <w:sdt>
        <w:sdtPr>
          <w:rPr>
            <w:rFonts w:hint="eastAsia" w:hAnsi="宋体" w:cs="宋体"/>
            <w:color w:val="auto"/>
            <w:kern w:val="0"/>
            <w:sz w:val="24"/>
          </w:rPr>
          <w:id w:val="-176552672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ascii="Wingdings" w:hAnsi="Wingdings"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2.</w:t>
      </w:r>
      <w:r>
        <w:rPr>
          <w:rFonts w:hint="eastAsia" w:ascii="宋体" w:hAnsi="宋体" w:cs="宋体"/>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hint="eastAsia" w:ascii="宋体" w:hAnsi="宋体" w:cs="宋体"/>
          <w:snapToGrid w:val="0"/>
          <w:kern w:val="28"/>
          <w:sz w:val="24"/>
          <w:szCs w:val="20"/>
        </w:rPr>
        <w:t>3.落实政府</w:t>
      </w:r>
      <w:r>
        <w:rPr>
          <w:rFonts w:ascii="宋体" w:hAnsi="宋体" w:cs="宋体"/>
          <w:snapToGrid w:val="0"/>
          <w:kern w:val="28"/>
          <w:sz w:val="24"/>
          <w:szCs w:val="20"/>
        </w:rPr>
        <w:t xml:space="preserve">  </w:t>
      </w:r>
      <w:r>
        <w:rPr>
          <w:rFonts w:hint="eastAsia" w:ascii="宋体" w:hAnsi="宋体" w:cs="宋体"/>
          <w:snapToGrid w:val="0"/>
          <w:kern w:val="28"/>
          <w:sz w:val="24"/>
          <w:szCs w:val="20"/>
        </w:rPr>
        <w:t>采购政策需满足的资格要求：</w:t>
      </w:r>
    </w:p>
    <w:p>
      <w:pPr>
        <w:spacing w:line="360" w:lineRule="auto"/>
        <w:ind w:firstLine="480" w:firstLineChars="200"/>
        <w:rPr>
          <w:rFonts w:ascii="宋体" w:hAnsi="宋体" w:cs="宋体"/>
          <w:sz w:val="24"/>
        </w:rPr>
      </w:pPr>
      <w:sdt>
        <w:sdtPr>
          <w:rPr>
            <w:rFonts w:hint="eastAsia" w:ascii="宋体" w:hAnsi="宋体" w:cs="宋体"/>
            <w:kern w:val="0"/>
            <w:sz w:val="24"/>
          </w:rPr>
          <w:id w:val="192861692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sz w:val="24"/>
        </w:rPr>
        <w:t>无（注：不得限制大中型企业与小微企业组成联合体参与投标）；</w:t>
      </w:r>
    </w:p>
    <w:p>
      <w:pPr>
        <w:spacing w:line="360" w:lineRule="auto"/>
        <w:ind w:firstLine="480" w:firstLineChars="200"/>
        <w:rPr>
          <w:rFonts w:ascii="宋体" w:hAnsi="宋体" w:cs="宋体"/>
          <w:sz w:val="24"/>
        </w:rPr>
      </w:pPr>
      <w:sdt>
        <w:sdtPr>
          <w:rPr>
            <w:rFonts w:hint="eastAsia" w:ascii="宋体" w:hAnsi="宋体" w:cs="宋体"/>
            <w:kern w:val="0"/>
            <w:sz w:val="24"/>
          </w:rPr>
          <w:id w:val="-102470430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专</w:t>
      </w:r>
      <w:r>
        <w:rPr>
          <w:rFonts w:hint="eastAsia" w:ascii="宋体" w:hAnsi="宋体" w:cs="宋体"/>
          <w:sz w:val="24"/>
        </w:rPr>
        <w:t>门面向中小企业</w:t>
      </w:r>
    </w:p>
    <w:p>
      <w:pPr>
        <w:spacing w:line="360" w:lineRule="auto"/>
        <w:ind w:firstLine="897" w:firstLineChars="374"/>
        <w:rPr>
          <w:rFonts w:ascii="宋体" w:hAnsi="宋体" w:cs="宋体"/>
          <w:sz w:val="24"/>
        </w:rPr>
      </w:pPr>
      <w:sdt>
        <w:sdtPr>
          <w:rPr>
            <w:rFonts w:hint="eastAsia" w:ascii="宋体" w:hAnsi="宋体" w:cs="宋体"/>
            <w:kern w:val="0"/>
            <w:sz w:val="24"/>
          </w:rPr>
          <w:id w:val="-333685401"/>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服务全部由符合政策要求的中小企业承接，提供中小企业声明函；</w:t>
      </w:r>
    </w:p>
    <w:p>
      <w:pPr>
        <w:spacing w:line="360" w:lineRule="auto"/>
        <w:ind w:firstLine="897" w:firstLineChars="374"/>
        <w:rPr>
          <w:rFonts w:ascii="宋体" w:hAnsi="宋体" w:cs="宋体"/>
          <w:sz w:val="24"/>
        </w:rPr>
      </w:pPr>
      <w:sdt>
        <w:sdtPr>
          <w:rPr>
            <w:rFonts w:hint="eastAsia" w:ascii="宋体" w:hAnsi="宋体" w:cs="宋体"/>
            <w:kern w:val="0"/>
            <w:sz w:val="24"/>
          </w:rPr>
          <w:id w:val="-2141025358"/>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服务全部由符合政策要求的小微企业承接，提供中小企业声明函；</w:t>
      </w:r>
    </w:p>
    <w:p>
      <w:pPr>
        <w:rPr>
          <w:rFonts w:ascii="宋体" w:hAnsi="宋体" w:cs="宋体"/>
        </w:rPr>
      </w:pPr>
    </w:p>
    <w:p>
      <w:pPr>
        <w:spacing w:line="360" w:lineRule="auto"/>
        <w:ind w:firstLine="480" w:firstLineChars="200"/>
        <w:rPr>
          <w:rFonts w:ascii="宋体" w:hAnsi="宋体" w:cs="宋体"/>
          <w:sz w:val="24"/>
        </w:rPr>
      </w:pPr>
      <w:sdt>
        <w:sdtPr>
          <w:rPr>
            <w:rFonts w:hint="eastAsia" w:ascii="宋体" w:hAnsi="宋体" w:cs="宋体"/>
            <w:kern w:val="0"/>
            <w:sz w:val="24"/>
          </w:rPr>
          <w:id w:val="-198560779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4.本项目的特定资格要求：无；</w:t>
      </w:r>
    </w:p>
    <w:p>
      <w:pPr>
        <w:snapToGrid w:val="0"/>
        <w:spacing w:line="360" w:lineRule="auto"/>
        <w:ind w:firstLine="480" w:firstLineChars="200"/>
        <w:rPr>
          <w:rFonts w:ascii="宋体" w:hAnsi="宋体" w:cs="宋体"/>
          <w:sz w:val="24"/>
        </w:rPr>
      </w:pPr>
      <w:r>
        <w:rPr>
          <w:rFonts w:hint="eastAsia" w:ascii="宋体" w:hAnsi="宋体" w:cs="宋体"/>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sz w:val="24"/>
          <w:u w:val="single"/>
        </w:rPr>
        <w:t>202</w:t>
      </w:r>
      <w:r>
        <w:rPr>
          <w:rFonts w:ascii="宋体" w:hAnsi="宋体" w:cs="宋体"/>
          <w:sz w:val="24"/>
          <w:u w:val="single"/>
        </w:rPr>
        <w:t>2</w:t>
      </w:r>
      <w:r>
        <w:rPr>
          <w:rFonts w:hint="eastAsia" w:ascii="宋体" w:hAnsi="宋体" w:cs="宋体"/>
          <w:sz w:val="24"/>
          <w:u w:val="single"/>
        </w:rPr>
        <w:t>年</w:t>
      </w:r>
      <w:r>
        <w:rPr>
          <w:rFonts w:ascii="宋体" w:hAnsi="宋体" w:cs="宋体"/>
          <w:sz w:val="24"/>
          <w:u w:val="single"/>
        </w:rPr>
        <w:t>9</w:t>
      </w:r>
      <w:r>
        <w:rPr>
          <w:rFonts w:hint="eastAsia" w:ascii="宋体" w:hAnsi="宋体" w:cs="宋体"/>
          <w:sz w:val="24"/>
          <w:u w:val="single"/>
        </w:rPr>
        <w:t>月</w:t>
      </w:r>
      <w:r>
        <w:rPr>
          <w:rFonts w:ascii="宋体" w:hAnsi="宋体" w:cs="宋体"/>
          <w:sz w:val="24"/>
          <w:u w:val="single"/>
        </w:rPr>
        <w:t>9</w:t>
      </w:r>
      <w:r>
        <w:rPr>
          <w:rFonts w:hint="eastAsia" w:ascii="宋体" w:hAnsi="宋体" w:cs="宋体"/>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sz w:val="24"/>
          <w:u w:val="single"/>
        </w:rPr>
        <w:t xml:space="preserve"> 2022年</w:t>
      </w:r>
      <w:r>
        <w:rPr>
          <w:rFonts w:ascii="宋体" w:hAnsi="宋体" w:cs="宋体"/>
          <w:sz w:val="24"/>
          <w:u w:val="single"/>
        </w:rPr>
        <w:t>9</w:t>
      </w:r>
      <w:r>
        <w:rPr>
          <w:rFonts w:hint="eastAsia" w:ascii="宋体" w:hAnsi="宋体" w:cs="宋体"/>
          <w:sz w:val="24"/>
          <w:u w:val="single"/>
        </w:rPr>
        <w:t>月</w:t>
      </w:r>
      <w:r>
        <w:rPr>
          <w:rFonts w:ascii="宋体" w:hAnsi="宋体" w:cs="宋体"/>
          <w:sz w:val="24"/>
          <w:u w:val="single"/>
        </w:rPr>
        <w:t>9</w:t>
      </w:r>
      <w:r>
        <w:rPr>
          <w:rFonts w:hint="eastAsia" w:ascii="宋体" w:hAnsi="宋体" w:cs="宋体"/>
          <w:sz w:val="24"/>
          <w:u w:val="single"/>
        </w:rPr>
        <w:t>日</w:t>
      </w:r>
      <w:r>
        <w:rPr>
          <w:rFonts w:ascii="宋体" w:hAnsi="宋体" w:cs="宋体"/>
          <w:sz w:val="24"/>
          <w:u w:val="single"/>
        </w:rPr>
        <w:t>14</w:t>
      </w:r>
      <w:r>
        <w:rPr>
          <w:rFonts w:hint="eastAsia" w:ascii="宋体" w:hAnsi="宋体" w:cs="宋体"/>
          <w:sz w:val="24"/>
          <w:u w:val="single"/>
        </w:rPr>
        <w:t>点 30分</w:t>
      </w:r>
      <w:r>
        <w:rPr>
          <w:rFonts w:hint="eastAsia" w:ascii="宋体" w:hAnsi="宋体" w:cs="宋体"/>
          <w:bCs/>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sz w:val="24"/>
          <w:u w:val="single"/>
        </w:rPr>
        <w:t>2022年</w:t>
      </w:r>
      <w:r>
        <w:rPr>
          <w:rFonts w:ascii="宋体" w:hAnsi="宋体" w:cs="宋体"/>
          <w:sz w:val="24"/>
          <w:u w:val="single"/>
        </w:rPr>
        <w:t>9</w:t>
      </w:r>
      <w:r>
        <w:rPr>
          <w:rFonts w:hint="eastAsia" w:ascii="宋体" w:hAnsi="宋体" w:cs="宋体"/>
          <w:sz w:val="24"/>
          <w:u w:val="single"/>
        </w:rPr>
        <w:t>月</w:t>
      </w:r>
      <w:r>
        <w:rPr>
          <w:rFonts w:ascii="宋体" w:hAnsi="宋体" w:cs="宋体"/>
          <w:sz w:val="24"/>
          <w:u w:val="single"/>
        </w:rPr>
        <w:t>9</w:t>
      </w:r>
      <w:r>
        <w:rPr>
          <w:rFonts w:hint="eastAsia" w:ascii="宋体" w:hAnsi="宋体" w:cs="宋体"/>
          <w:sz w:val="24"/>
          <w:u w:val="single"/>
        </w:rPr>
        <w:t>日</w:t>
      </w:r>
      <w:r>
        <w:rPr>
          <w:rFonts w:ascii="宋体" w:hAnsi="宋体" w:cs="宋体"/>
          <w:sz w:val="24"/>
          <w:u w:val="single"/>
        </w:rPr>
        <w:t>14</w:t>
      </w:r>
      <w:r>
        <w:rPr>
          <w:rFonts w:hint="eastAsia" w:ascii="宋体" w:hAnsi="宋体" w:cs="宋体"/>
          <w:sz w:val="24"/>
          <w:u w:val="single"/>
        </w:rPr>
        <w:t>点30 分</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sz w:val="24"/>
        </w:rPr>
      </w:pPr>
      <w:r>
        <w:rPr>
          <w:rFonts w:hint="eastAsia" w:ascii="宋体" w:hAnsi="宋体" w:cs="宋体"/>
          <w:sz w:val="24"/>
        </w:rPr>
        <w:t xml:space="preserve">    名    称：杭州市西湖区数据资源管理局 </w:t>
      </w:r>
    </w:p>
    <w:p>
      <w:pPr>
        <w:spacing w:line="360" w:lineRule="auto"/>
        <w:rPr>
          <w:rFonts w:ascii="宋体" w:hAnsi="宋体" w:cs="宋体"/>
          <w:sz w:val="24"/>
        </w:rPr>
      </w:pPr>
      <w:r>
        <w:rPr>
          <w:rFonts w:hint="eastAsia" w:ascii="宋体" w:hAnsi="宋体" w:cs="宋体"/>
          <w:sz w:val="24"/>
        </w:rPr>
        <w:t xml:space="preserve">    地    址：杭州市西湖区文一西路</w:t>
      </w:r>
      <w:r>
        <w:rPr>
          <w:rFonts w:ascii="宋体" w:hAnsi="宋体" w:cs="宋体"/>
          <w:sz w:val="24"/>
        </w:rPr>
        <w:t>858</w:t>
      </w:r>
      <w:r>
        <w:rPr>
          <w:rFonts w:hint="eastAsia" w:ascii="宋体" w:hAnsi="宋体" w:cs="宋体"/>
          <w:sz w:val="24"/>
        </w:rPr>
        <w:t>号</w:t>
      </w:r>
    </w:p>
    <w:p>
      <w:pPr>
        <w:spacing w:line="360" w:lineRule="auto"/>
        <w:ind w:firstLine="480"/>
        <w:rPr>
          <w:rFonts w:ascii="宋体" w:hAnsi="宋体" w:cs="宋体"/>
          <w:sz w:val="24"/>
        </w:rPr>
      </w:pPr>
      <w:r>
        <w:rPr>
          <w:rFonts w:hint="eastAsia" w:ascii="宋体" w:hAnsi="宋体" w:cs="宋体"/>
          <w:sz w:val="24"/>
        </w:rPr>
        <w:t>项目联系人（询问）：陈秋燕</w:t>
      </w:r>
    </w:p>
    <w:p>
      <w:pPr>
        <w:spacing w:line="360" w:lineRule="auto"/>
        <w:ind w:firstLine="480"/>
        <w:rPr>
          <w:rFonts w:ascii="宋体" w:hAnsi="宋体" w:cs="宋体"/>
          <w:sz w:val="24"/>
        </w:rPr>
      </w:pPr>
      <w:r>
        <w:rPr>
          <w:rFonts w:hint="eastAsia" w:ascii="宋体" w:hAnsi="宋体" w:cs="宋体"/>
          <w:sz w:val="24"/>
        </w:rPr>
        <w:t>项目联系方式（询问）：</w:t>
      </w:r>
      <w:r>
        <w:rPr>
          <w:rFonts w:ascii="宋体" w:hAnsi="宋体" w:cs="宋体"/>
          <w:sz w:val="24"/>
        </w:rPr>
        <w:t>0571-87935900</w:t>
      </w:r>
    </w:p>
    <w:p>
      <w:pPr>
        <w:spacing w:line="360" w:lineRule="auto"/>
        <w:ind w:firstLine="480"/>
        <w:rPr>
          <w:rFonts w:ascii="宋体" w:hAnsi="宋体" w:cs="宋体"/>
          <w:sz w:val="24"/>
        </w:rPr>
      </w:pPr>
      <w:r>
        <w:rPr>
          <w:rFonts w:hint="eastAsia" w:ascii="宋体" w:hAnsi="宋体" w:cs="宋体"/>
          <w:sz w:val="24"/>
        </w:rPr>
        <w:t>质疑联系人：孙慧洁</w:t>
      </w:r>
    </w:p>
    <w:p>
      <w:pPr>
        <w:spacing w:line="360" w:lineRule="auto"/>
        <w:ind w:firstLine="480"/>
        <w:rPr>
          <w:rFonts w:ascii="宋体" w:hAnsi="宋体" w:cs="宋体"/>
          <w:sz w:val="24"/>
        </w:rPr>
      </w:pPr>
      <w:r>
        <w:rPr>
          <w:rFonts w:hint="eastAsia" w:ascii="宋体" w:hAnsi="宋体" w:cs="宋体"/>
          <w:sz w:val="24"/>
        </w:rPr>
        <w:t>质疑联系方式：</w:t>
      </w:r>
      <w:r>
        <w:rPr>
          <w:rFonts w:ascii="宋体" w:hAnsi="宋体" w:cs="宋体"/>
          <w:sz w:val="24"/>
        </w:rPr>
        <w:t>0571-87936017</w:t>
      </w:r>
    </w:p>
    <w:p>
      <w:pPr>
        <w:spacing w:line="360" w:lineRule="auto"/>
        <w:ind w:firstLine="480" w:firstLineChars="200"/>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称：杭州市西湖区政府采购中心</w:t>
      </w:r>
    </w:p>
    <w:p>
      <w:pPr>
        <w:spacing w:line="360" w:lineRule="auto"/>
        <w:ind w:firstLine="480"/>
        <w:rPr>
          <w:rFonts w:ascii="宋体" w:hAnsi="宋体" w:cs="宋体"/>
          <w:sz w:val="24"/>
        </w:rPr>
      </w:pPr>
      <w:r>
        <w:rPr>
          <w:rFonts w:hint="eastAsia" w:ascii="宋体" w:hAnsi="宋体" w:cs="宋体"/>
          <w:sz w:val="24"/>
        </w:rPr>
        <w:t>地    址：杭州市文一西路858号</w:t>
      </w:r>
    </w:p>
    <w:p>
      <w:pPr>
        <w:spacing w:line="360" w:lineRule="auto"/>
        <w:rPr>
          <w:rFonts w:ascii="宋体" w:hAnsi="宋体" w:cs="宋体"/>
          <w:sz w:val="24"/>
        </w:rPr>
      </w:pPr>
      <w:r>
        <w:rPr>
          <w:rFonts w:hint="eastAsia" w:ascii="宋体" w:hAnsi="宋体" w:cs="宋体"/>
          <w:sz w:val="24"/>
        </w:rPr>
        <w:t xml:space="preserve">    传    真：0571-86834771             </w:t>
      </w:r>
    </w:p>
    <w:p>
      <w:pPr>
        <w:spacing w:line="360" w:lineRule="auto"/>
        <w:rPr>
          <w:rFonts w:ascii="宋体" w:hAnsi="宋体" w:cs="宋体"/>
          <w:sz w:val="24"/>
        </w:rPr>
      </w:pPr>
      <w:r>
        <w:rPr>
          <w:rFonts w:hint="eastAsia" w:ascii="宋体" w:hAnsi="宋体" w:cs="宋体"/>
          <w:sz w:val="24"/>
        </w:rPr>
        <w:t xml:space="preserve">    项目联系人（询问）：严晓静       </w:t>
      </w:r>
    </w:p>
    <w:p>
      <w:pPr>
        <w:spacing w:line="360" w:lineRule="auto"/>
        <w:rPr>
          <w:rFonts w:ascii="宋体" w:hAnsi="宋体" w:cs="宋体"/>
          <w:sz w:val="24"/>
        </w:rPr>
      </w:pPr>
      <w:r>
        <w:rPr>
          <w:rFonts w:hint="eastAsia" w:ascii="宋体" w:hAnsi="宋体" w:cs="宋体"/>
          <w:sz w:val="24"/>
        </w:rPr>
        <w:t xml:space="preserve">    项目联系方式（询问）：0571-</w:t>
      </w:r>
      <w:r>
        <w:rPr>
          <w:rFonts w:ascii="宋体" w:hAnsi="宋体" w:cs="宋体"/>
          <w:sz w:val="24"/>
        </w:rPr>
        <w:t>86834771</w:t>
      </w:r>
    </w:p>
    <w:p>
      <w:pPr>
        <w:spacing w:line="360" w:lineRule="auto"/>
        <w:rPr>
          <w:rFonts w:ascii="宋体" w:hAnsi="宋体" w:cs="宋体"/>
          <w:sz w:val="24"/>
        </w:rPr>
      </w:pPr>
      <w:r>
        <w:rPr>
          <w:rFonts w:hint="eastAsia" w:ascii="宋体" w:hAnsi="宋体" w:cs="宋体"/>
          <w:sz w:val="24"/>
        </w:rPr>
        <w:t xml:space="preserve">    质疑联系方式：0571-85368157</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称：杭州市西湖区财政局政府采购监管科 </w:t>
      </w:r>
    </w:p>
    <w:p>
      <w:pPr>
        <w:spacing w:line="360" w:lineRule="auto"/>
        <w:rPr>
          <w:rFonts w:ascii="宋体" w:hAnsi="宋体" w:cs="宋体"/>
          <w:sz w:val="24"/>
        </w:rPr>
      </w:pPr>
      <w:r>
        <w:rPr>
          <w:rFonts w:hint="eastAsia" w:ascii="宋体" w:hAnsi="宋体" w:cs="宋体"/>
          <w:sz w:val="24"/>
        </w:rPr>
        <w:t xml:space="preserve">    地    址：杭州市文三西路18号11楼1104</w:t>
      </w:r>
    </w:p>
    <w:p>
      <w:pPr>
        <w:spacing w:line="360" w:lineRule="auto"/>
        <w:ind w:firstLine="240" w:firstLineChars="100"/>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：韩继伟    </w:t>
      </w:r>
    </w:p>
    <w:p>
      <w:pPr>
        <w:spacing w:line="360" w:lineRule="auto"/>
        <w:ind w:firstLine="480" w:firstLineChars="200"/>
        <w:rPr>
          <w:rFonts w:ascii="宋体" w:hAnsi="宋体" w:cs="宋体"/>
          <w:sz w:val="24"/>
        </w:rPr>
      </w:pPr>
      <w:r>
        <w:rPr>
          <w:rFonts w:hint="eastAsia" w:ascii="宋体" w:hAnsi="宋体" w:cs="宋体"/>
          <w:sz w:val="24"/>
        </w:rPr>
        <w:t xml:space="preserve">监督投诉电话：0571-58101865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pStyle w:val="34"/>
        <w:adjustRightInd/>
        <w:spacing w:line="360" w:lineRule="auto"/>
        <w:ind w:firstLine="2891" w:firstLineChars="800"/>
        <w:outlineLvl w:val="0"/>
        <w:rPr>
          <w:rFonts w:hAnsi="宋体" w:cs="宋体"/>
          <w:b/>
          <w:sz w:val="36"/>
          <w:szCs w:val="20"/>
        </w:rPr>
      </w:pPr>
      <w:r>
        <w:rPr>
          <w:rFonts w:hint="eastAsia" w:hAnsi="宋体" w:cs="宋体"/>
          <w:b/>
          <w:sz w:val="36"/>
          <w:szCs w:val="20"/>
        </w:rPr>
        <w:t>第二部分</w:t>
      </w:r>
      <w:bookmarkEnd w:id="8"/>
      <w:r>
        <w:rPr>
          <w:rFonts w:hint="eastAsia" w:hAnsi="宋体" w:cs="宋体"/>
          <w:b/>
          <w:sz w:val="36"/>
          <w:szCs w:val="20"/>
        </w:rPr>
        <w:t xml:space="preserve"> 投标人须知</w:t>
      </w:r>
      <w:bookmarkEnd w:id="9"/>
    </w:p>
    <w:p>
      <w:pPr>
        <w:snapToGrid w:val="0"/>
        <w:spacing w:line="360" w:lineRule="auto"/>
        <w:jc w:val="center"/>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（1）标的：</w:t>
            </w:r>
            <w:r>
              <w:rPr>
                <w:rFonts w:hint="eastAsia" w:ascii="宋体" w:hAnsi="宋体" w:cs="宋体"/>
                <w:kern w:val="0"/>
                <w:sz w:val="24"/>
                <w:u w:val="single"/>
              </w:rPr>
              <w:t xml:space="preserve"> </w:t>
            </w:r>
            <w:r>
              <w:rPr>
                <w:rFonts w:hint="eastAsia" w:asciiTheme="minorEastAsia" w:hAnsiTheme="minorEastAsia" w:eastAsiaTheme="minorEastAsia" w:cstheme="minorEastAsia"/>
                <w:color w:val="000000" w:themeColor="text1"/>
                <w:sz w:val="24"/>
                <w:u w:val="single"/>
                <w14:textFill>
                  <w14:solidFill>
                    <w14:schemeClr w14:val="tx1"/>
                  </w14:solidFill>
                </w14:textFill>
              </w:rPr>
              <w:t>cim地图能力提升建设</w:t>
            </w:r>
            <w:r>
              <w:rPr>
                <w:rFonts w:hint="eastAsia" w:ascii="宋体" w:hAnsi="宋体" w:cs="宋体"/>
                <w:kern w:val="0"/>
                <w:sz w:val="24"/>
                <w:u w:val="single"/>
              </w:rPr>
              <w:t xml:space="preserve"> </w:t>
            </w:r>
            <w:r>
              <w:rPr>
                <w:rFonts w:hint="eastAsia" w:ascii="宋体" w:hAnsi="宋体" w:cs="宋体"/>
                <w:kern w:val="0"/>
                <w:sz w:val="24"/>
              </w:rPr>
              <w:t>，属于</w:t>
            </w:r>
            <w:r>
              <w:rPr>
                <w:rFonts w:hint="eastAsia" w:ascii="宋体" w:hAnsi="宋体" w:cs="宋体"/>
                <w:kern w:val="0"/>
                <w:sz w:val="24"/>
                <w:u w:val="single"/>
              </w:rPr>
              <w:t xml:space="preserve"> 软件和信息技术服务业 </w:t>
            </w:r>
            <w:r>
              <w:rPr>
                <w:rFonts w:hint="eastAsia" w:ascii="宋体" w:hAnsi="宋体" w:cs="宋体"/>
                <w:kern w:val="0"/>
                <w:sz w:val="24"/>
              </w:rPr>
              <w:t>行业；</w:t>
            </w:r>
          </w:p>
          <w:p>
            <w:pPr>
              <w:pStyle w:val="5"/>
              <w:rPr>
                <w:rFonts w:ascii="宋体" w:hAnsi="宋体" w:eastAsia="宋体" w:cs="宋体"/>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sdt>
              <w:sdtPr>
                <w:rPr>
                  <w:rFonts w:hint="eastAsia" w:ascii="宋体" w:hAnsi="宋体" w:cs="宋体"/>
                  <w:kern w:val="0"/>
                  <w:sz w:val="24"/>
                </w:rPr>
                <w:id w:val="-127633135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ascii="宋体" w:hAnsi="宋体" w:cs="宋体"/>
                <w:kern w:val="0"/>
                <w:sz w:val="24"/>
              </w:rPr>
              <w:t>15</w:t>
            </w:r>
            <w:r>
              <w:rPr>
                <w:rFonts w:hint="eastAsia" w:ascii="宋体" w:hAnsi="宋体" w:cs="宋体"/>
                <w:kern w:val="0"/>
                <w:sz w:val="24"/>
              </w:rPr>
              <w:t>分钟，讲解次序以投标文件解密时间先后次序为准，讲解演示人员不超过3人。讲解演示结束后按要求解答评标委员会提问。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（2）方案讲解演示方式：</w:t>
            </w:r>
          </w:p>
          <w:p>
            <w:pPr>
              <w:snapToGrid w:val="0"/>
              <w:spacing w:line="360" w:lineRule="auto"/>
              <w:rPr>
                <w:rFonts w:ascii="宋体" w:hAnsi="宋体" w:cs="宋体"/>
                <w:kern w:val="0"/>
                <w:sz w:val="24"/>
              </w:rPr>
            </w:pPr>
            <w:r>
              <w:rPr>
                <w:rFonts w:hint="eastAsia" w:ascii="宋体" w:hAnsi="宋体" w:cs="宋体"/>
                <w:kern w:val="0"/>
                <w:sz w:val="24"/>
              </w:rPr>
              <w:t>政采云平台在线讲解演示。政采云平台在线讲解需投标人根据政采云平台操作要求做好准备工作，提前完善软硬件配置环境。</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宋体" w:hAnsi="宋体" w:cs="宋体"/>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ascii="宋体" w:hAnsi="宋体" w:cs="宋体"/>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u w:val="single"/>
              </w:rPr>
              <w:t>杭州市文一西路858号东3楼329办公室</w:t>
            </w:r>
            <w:r>
              <w:rPr>
                <w:rFonts w:hint="eastAsia" w:hAnsi="宋体" w:cs="宋体"/>
                <w:kern w:val="28"/>
                <w:sz w:val="24"/>
                <w:szCs w:val="24"/>
              </w:rPr>
              <w:t>；备份投标文件签收人员联系电话：</w:t>
            </w:r>
            <w:r>
              <w:rPr>
                <w:rFonts w:hint="eastAsia" w:hAnsi="宋体" w:cs="宋体"/>
                <w:sz w:val="24"/>
                <w:u w:val="single"/>
              </w:rPr>
              <w:t xml:space="preserve">  0571-8</w:t>
            </w:r>
            <w:r>
              <w:rPr>
                <w:rFonts w:hAnsi="宋体" w:cs="宋体"/>
                <w:sz w:val="24"/>
                <w:u w:val="single"/>
              </w:rPr>
              <w:t>6834771</w:t>
            </w:r>
            <w:r>
              <w:rPr>
                <w:rFonts w:hint="eastAsia" w:hAnsi="宋体" w:cs="宋体"/>
                <w:sz w:val="24"/>
                <w:szCs w:val="24"/>
              </w:rPr>
              <w:t>。</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其它说明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cs="Arial"/>
                <w:kern w:val="0"/>
                <w:sz w:val="24"/>
              </w:rPr>
              <w:sym w:font="Wingdings" w:char="00A8"/>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_Toc164416483"/>
      <w:bookmarkStart w:id="12"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4.1供应商询问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4.2供应商质疑</w:t>
      </w:r>
    </w:p>
    <w:p>
      <w:pPr>
        <w:pStyle w:val="34"/>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sz w:val="24"/>
        </w:rPr>
      </w:pPr>
      <w:r>
        <w:rPr>
          <w:rFonts w:hint="eastAsia" w:hAnsi="宋体" w:cs="宋体"/>
          <w:kern w:val="0"/>
          <w:sz w:val="24"/>
          <w:lang w:val="zh-CN"/>
        </w:rPr>
        <w:t>4.2</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7"/>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4.2.2.1对招标文件提出质疑的，质疑期限为供应商获得招标文件之日或者招标文件公告期限届满之日起计算。</w:t>
      </w:r>
    </w:p>
    <w:p>
      <w:pPr>
        <w:pStyle w:val="34"/>
        <w:spacing w:line="360" w:lineRule="auto"/>
        <w:ind w:left="479" w:leftChars="228"/>
        <w:rPr>
          <w:rFonts w:hAnsi="宋体" w:cs="宋体"/>
          <w:sz w:val="24"/>
        </w:rPr>
      </w:pPr>
      <w:r>
        <w:rPr>
          <w:rFonts w:hint="eastAsia" w:hAnsi="宋体" w:cs="宋体"/>
          <w:sz w:val="24"/>
        </w:rPr>
        <w:t>4.2.2.2对采购过程提出质疑的，质疑期限为各采购程序环节结束之日起计算。4.2.2.3对采购结果提出质疑的，质疑期限自采购结果公告期限届满之日起计算。</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4.2.3</w:t>
      </w:r>
      <w:r>
        <w:rPr>
          <w:rFonts w:hint="eastAsia" w:hAnsi="宋体" w:cs="宋体"/>
          <w:sz w:val="24"/>
        </w:rPr>
        <w:t>供应商提出质疑应当提交质疑函和必要的证明材料。质疑函应当包括下列内容：</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4.2.3.1供应商的姓名或者名称、地址、邮编、联系人及联系电话；</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4.2.3.2质疑项目的名称、编号；</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4.2.3.3具体、明确的质疑事项和与质疑事项相关的请求；</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4.2.3.4事实依据；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4.2.3.5必要的法律依据；</w:t>
      </w:r>
    </w:p>
    <w:p>
      <w:pPr>
        <w:pStyle w:val="34"/>
        <w:spacing w:line="360" w:lineRule="auto"/>
        <w:ind w:firstLine="480" w:firstLineChars="200"/>
        <w:rPr>
          <w:rFonts w:hAnsi="宋体" w:cs="宋体"/>
          <w:kern w:val="0"/>
          <w:sz w:val="24"/>
          <w:lang w:val="zh-CN"/>
        </w:rPr>
      </w:pPr>
      <w:r>
        <w:rPr>
          <w:rFonts w:hint="eastAsia" w:hAnsi="宋体" w:cs="宋体"/>
          <w:kern w:val="0"/>
          <w:sz w:val="24"/>
          <w:lang w:val="zh-CN"/>
        </w:rPr>
        <w:t>4.2.3.6提出质疑的日期。</w:t>
      </w:r>
    </w:p>
    <w:p>
      <w:pPr>
        <w:ind w:firstLine="480" w:firstLineChars="200"/>
        <w:rPr>
          <w:rFonts w:ascii="宋体" w:hAnsi="宋体" w:cs="宋体"/>
          <w:kern w:val="0"/>
          <w:sz w:val="24"/>
        </w:rPr>
      </w:pPr>
      <w:r>
        <w:rPr>
          <w:rFonts w:hint="eastAsia" w:ascii="宋体" w:hAnsi="宋体" w:cs="宋体"/>
          <w:kern w:val="0"/>
          <w:sz w:val="24"/>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4.2.4对同一采购程序环节的质疑，供应商须在法定质疑期内一次性提出。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4.2</w:t>
      </w:r>
      <w:r>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4.2</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4.3供应商投诉</w:t>
      </w:r>
    </w:p>
    <w:p>
      <w:pPr>
        <w:pStyle w:val="886"/>
        <w:shd w:val="clear" w:color="auto" w:fill="FFFFFF"/>
        <w:snapToGrid w:val="0"/>
        <w:spacing w:after="240" w:afterAutospacing="0" w:line="360" w:lineRule="auto"/>
        <w:ind w:firstLine="400"/>
        <w:contextualSpacing/>
      </w:pPr>
      <w:r>
        <w:rPr>
          <w:rFonts w:hint="eastAsia"/>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4.3.</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4.3.3供应商投诉应当有明确的请求和必要的证明材料。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886"/>
        <w:shd w:val="clear" w:color="auto" w:fill="FFFFFF"/>
        <w:snapToGrid w:val="0"/>
        <w:spacing w:after="240" w:afterAutospacing="0" w:line="360" w:lineRule="auto"/>
        <w:ind w:firstLine="400"/>
        <w:contextualSpacing/>
      </w:pPr>
      <w:r>
        <w:rPr>
          <w:rFonts w:hint="eastAsia"/>
        </w:rPr>
        <w:t>4.4在线质疑、投诉。</w:t>
      </w:r>
    </w:p>
    <w:p>
      <w:pPr>
        <w:pStyle w:val="886"/>
        <w:shd w:val="clear" w:color="auto" w:fill="FFFFFF"/>
        <w:snapToGrid w:val="0"/>
        <w:spacing w:after="240" w:afterAutospacing="0" w:line="360" w:lineRule="auto"/>
        <w:ind w:firstLine="480" w:firstLineChars="200"/>
        <w:contextualSpacing/>
      </w:pPr>
      <w:r>
        <w:rPr>
          <w:rFonts w:hint="eastAsi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4"/>
        <w:spacing w:line="360" w:lineRule="auto"/>
        <w:rPr>
          <w:rFonts w:hAnsi="宋体" w:cs="宋体"/>
          <w:b/>
          <w:sz w:val="24"/>
          <w:szCs w:val="24"/>
        </w:rPr>
      </w:pPr>
      <w:r>
        <w:rPr>
          <w:rFonts w:hint="eastAsia" w:hAnsi="宋体" w:cs="宋体"/>
          <w:b/>
          <w:sz w:val="24"/>
          <w:szCs w:val="24"/>
        </w:rPr>
        <w:t>5．招标文件的构成</w:t>
      </w:r>
    </w:p>
    <w:p>
      <w:pPr>
        <w:pStyle w:val="34"/>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4"/>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4"/>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4"/>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128"/>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4"/>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4"/>
        <w:spacing w:line="360" w:lineRule="auto"/>
        <w:rPr>
          <w:rFonts w:hAnsi="宋体" w:cs="宋体"/>
          <w:b/>
          <w:sz w:val="24"/>
          <w:szCs w:val="24"/>
        </w:rPr>
      </w:pPr>
      <w:r>
        <w:rPr>
          <w:rFonts w:hint="eastAsia" w:hAnsi="宋体" w:cs="宋体"/>
          <w:b/>
          <w:sz w:val="24"/>
          <w:szCs w:val="24"/>
        </w:rPr>
        <w:t>8.开标前答疑会或现场考察</w:t>
      </w:r>
    </w:p>
    <w:p>
      <w:pPr>
        <w:pStyle w:val="34"/>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szCs w:val="24"/>
        </w:rPr>
      </w:pPr>
      <w:r>
        <w:rPr>
          <w:rFonts w:hint="eastAsia" w:hAnsi="宋体" w:cs="宋体"/>
          <w:b/>
          <w:kern w:val="28"/>
          <w:sz w:val="24"/>
          <w:szCs w:val="24"/>
        </w:rPr>
        <w:t>9.投标保证金</w:t>
      </w:r>
    </w:p>
    <w:p>
      <w:pPr>
        <w:pStyle w:val="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4"/>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4"/>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11.1.2</w:t>
      </w:r>
      <w:r>
        <w:rPr>
          <w:rFonts w:hint="eastAsia" w:ascii="宋体" w:hAnsi="宋体" w:cs="宋体"/>
          <w:snapToGrid w:val="0"/>
          <w:kern w:val="28"/>
          <w:sz w:val="24"/>
          <w:szCs w:val="20"/>
        </w:rPr>
        <w:t>联合协议（如果有)；</w:t>
      </w:r>
    </w:p>
    <w:p>
      <w:pPr>
        <w:snapToGrid w:val="0"/>
        <w:spacing w:line="360" w:lineRule="auto"/>
        <w:ind w:firstLine="960" w:firstLineChars="400"/>
        <w:rPr>
          <w:rFonts w:ascii="宋体" w:hAnsi="宋体" w:cs="宋体"/>
          <w:sz w:val="24"/>
        </w:rPr>
      </w:pPr>
      <w:r>
        <w:rPr>
          <w:rFonts w:hint="eastAsia" w:ascii="宋体" w:hAnsi="宋体" w:cs="宋体"/>
          <w:sz w:val="24"/>
        </w:rPr>
        <w:t>11.1.3落实政府采购政策需满足的资格要求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11.1.4本项目的特定资格要求</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11.2.3分包意向协议</w:t>
      </w:r>
      <w:r>
        <w:rPr>
          <w:rFonts w:hint="eastAsia" w:ascii="宋体" w:hAnsi="宋体" w:cs="宋体"/>
          <w:snapToGrid w:val="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11.2.4符合性审查资料；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11.2.5评标标准相应的商务技术资料；</w:t>
      </w:r>
    </w:p>
    <w:p>
      <w:pPr>
        <w:pStyle w:val="5"/>
        <w:rPr>
          <w:rFonts w:eastAsia="宋体"/>
          <w:lang w:val="en-US"/>
        </w:rPr>
      </w:pPr>
      <w:r>
        <w:rPr>
          <w:rFonts w:ascii="宋体" w:hAnsi="宋体" w:eastAsia="宋体" w:cs="宋体"/>
          <w:sz w:val="24"/>
          <w:lang w:val="en-US"/>
        </w:rPr>
        <w:t xml:space="preserve">       </w:t>
      </w:r>
      <w:r>
        <w:rPr>
          <w:rFonts w:ascii="宋体" w:hAnsi="宋体" w:eastAsia="宋体" w:cs="宋体"/>
          <w:b w:val="0"/>
          <w:bCs w:val="0"/>
          <w:sz w:val="24"/>
          <w:lang w:val="en-US"/>
        </w:rPr>
        <w:t xml:space="preserve"> 11.2.6 </w:t>
      </w:r>
      <w:r>
        <w:rPr>
          <w:rFonts w:hint="eastAsia" w:ascii="宋体" w:hAnsi="宋体" w:eastAsia="宋体" w:cs="宋体"/>
          <w:b w:val="0"/>
          <w:bCs w:val="0"/>
          <w:sz w:val="24"/>
          <w:lang w:val="en-US"/>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napToGrid w:val="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Ansi="宋体" w:cs="宋体"/>
          <w:b/>
          <w:sz w:val="24"/>
          <w:szCs w:val="24"/>
        </w:rPr>
      </w:pPr>
      <w:r>
        <w:rPr>
          <w:rFonts w:hint="eastAsia" w:hAnsi="宋体" w:cs="宋体"/>
          <w:b/>
          <w:sz w:val="24"/>
          <w:szCs w:val="24"/>
        </w:rPr>
        <w:t>15.备份投标文件</w:t>
      </w:r>
    </w:p>
    <w:p>
      <w:pPr>
        <w:pStyle w:val="34"/>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4"/>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4"/>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3"/>
        <w:spacing w:line="360" w:lineRule="auto"/>
        <w:ind w:firstLine="360" w:firstLineChars="150"/>
        <w:rPr>
          <w:rFonts w:cs="宋体"/>
          <w:szCs w:val="21"/>
        </w:rPr>
      </w:pPr>
      <w:r>
        <w:rPr>
          <w:rFonts w:hint="eastAsia" w:cs="宋体"/>
          <w:szCs w:val="21"/>
        </w:rPr>
        <w:t>有招标文件第四部分4.2规定的情形之一的，投标无效：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 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 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xml:space="preserve">　18.3 </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128"/>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3"/>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b/>
          <w:bCs/>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3"/>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3"/>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3"/>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ascii="宋体" w:hAnsi="宋体" w:cs="宋体"/>
          <w:sz w:val="24"/>
          <w:szCs w:val="20"/>
        </w:rPr>
      </w:pPr>
      <w:r>
        <w:rPr>
          <w:rFonts w:hint="eastAsia" w:ascii="宋体" w:hAnsi="宋体" w:cs="宋体"/>
          <w:sz w:val="24"/>
          <w:szCs w:val="20"/>
        </w:rPr>
        <w:t>政府采购货物和服务项目中，采购单位可根据杭州市政府采购网公布的供应商履约评价情况减免履约保证金。供应商履约验收评价总分为100分的，采购单位应当免收履约保证金。</w:t>
      </w:r>
    </w:p>
    <w:p>
      <w:pPr>
        <w:pStyle w:val="5"/>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rPr>
      </w:pPr>
    </w:p>
    <w:p>
      <w:pPr>
        <w:snapToGrid w:val="0"/>
        <w:spacing w:line="360" w:lineRule="auto"/>
        <w:ind w:firstLine="2249" w:firstLineChars="700"/>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hint="eastAsia" w:ascii="宋体" w:hAnsi="宋体" w:cs="宋体"/>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28"/>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28"/>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3373" w:firstLineChars="1050"/>
        <w:rPr>
          <w:rFonts w:ascii="宋体" w:hAnsi="宋体" w:cs="宋体"/>
          <w:b/>
          <w:sz w:val="32"/>
        </w:rPr>
      </w:pPr>
      <w:r>
        <w:rPr>
          <w:rFonts w:hint="eastAsia" w:ascii="宋体" w:hAnsi="宋体" w:cs="宋体"/>
          <w:b/>
          <w:sz w:val="32"/>
        </w:rPr>
        <w:t>九、验收</w:t>
      </w:r>
    </w:p>
    <w:p>
      <w:pPr>
        <w:pStyle w:val="3"/>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011"/>
      <w:bookmarkEnd w:id="15"/>
      <w:bookmarkStart w:id="16" w:name="_Hlt74730295"/>
      <w:bookmarkEnd w:id="16"/>
      <w:bookmarkStart w:id="17" w:name="_Hlt68057669"/>
      <w:bookmarkEnd w:id="17"/>
      <w:bookmarkStart w:id="18" w:name="_Hlt68073093"/>
      <w:bookmarkEnd w:id="18"/>
      <w:bookmarkStart w:id="19" w:name="_Hlt68403820"/>
      <w:bookmarkEnd w:id="19"/>
      <w:bookmarkStart w:id="20" w:name="_Hlt74707468"/>
      <w:bookmarkEnd w:id="20"/>
      <w:bookmarkStart w:id="21" w:name="_Hlt68072990"/>
      <w:bookmarkEnd w:id="21"/>
      <w:bookmarkStart w:id="22" w:name="_Hlt75236290"/>
      <w:bookmarkEnd w:id="22"/>
      <w:bookmarkStart w:id="23" w:name="_Hlt74714665"/>
      <w:bookmarkEnd w:id="23"/>
      <w:bookmarkStart w:id="24" w:name="_Hlt75236101"/>
      <w:bookmarkEnd w:id="24"/>
      <w:bookmarkStart w:id="25" w:name="_Hlt68072998"/>
      <w:bookmarkEnd w:id="25"/>
      <w:bookmarkStart w:id="26" w:name="_Hlt74729768"/>
      <w:bookmarkEnd w:id="26"/>
    </w:p>
    <w:bookmarkEnd w:id="11"/>
    <w:bookmarkEnd w:id="12"/>
    <w:p>
      <w:pPr>
        <w:numPr>
          <w:ilvl w:val="0"/>
          <w:numId w:val="1"/>
        </w:num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 xml:space="preserve">  采购需求</w:t>
      </w:r>
    </w:p>
    <w:p>
      <w:pPr>
        <w:pStyle w:val="255"/>
        <w:numPr>
          <w:ilvl w:val="0"/>
          <w:numId w:val="2"/>
        </w:numPr>
        <w:adjustRightInd/>
        <w:ind w:firstLineChars="0"/>
        <w:outlineLvl w:val="0"/>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项目目标</w:t>
      </w:r>
    </w:p>
    <w:p>
      <w:pPr>
        <w:adjustRightInd/>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打造西湖数字地图资源服务和区级应用空间资源数据仓为总体目标，构建“一图统揽西湖、一图管理西湖”的西湖数字化应用体系，采集各类数据资源，根据地理坐标属性，分层叠加西湖区各类资源，城市虚拟映像叠加在城市物理空间上，建设西湖区数字资源图层，为应用建设提供相应的地图服务；根据已经建设的应用，将已有的数据按照地理坐标属性进行数据汇聚、分析、整合、挖掘和信息的可视化，推动我区全要素实现数字化、可视化、智能化在线管理和指挥，为智慧管理提供数字可视化工具，创建线上以数据浓缩呈现的“虚拟世界”。</w:t>
      </w:r>
    </w:p>
    <w:p>
      <w:pPr>
        <w:pStyle w:val="255"/>
        <w:numPr>
          <w:ilvl w:val="0"/>
          <w:numId w:val="2"/>
        </w:numPr>
        <w:adjustRightInd/>
        <w:ind w:firstLineChars="0"/>
        <w:outlineLvl w:val="0"/>
        <w:rPr>
          <w:rFonts w:asciiTheme="minorEastAsia" w:hAnsiTheme="minorEastAsia" w:eastAsiaTheme="minorEastAsia" w:cstheme="minorEastAsia"/>
          <w:b/>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14:textFill>
            <w14:solidFill>
              <w14:schemeClr w14:val="tx1"/>
            </w14:solidFill>
          </w14:textFill>
        </w:rPr>
        <w:t>建设内容</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（1）数据标准规范及更新机制建设。包括各类矢量数据、三维数据的归集标准、处理标准、更新标准等。</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（2）空间数据归集和处理工具。包括数据流程闭环管理及归集设计和数据融合治理工具模块。</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（3）资源管理平台建设。包括数据服务、功能服务和工具箱管理。</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（4）资源服务平台建设。包括平台统一应用门户、资源共享中心、服务管理、云GIS访问统计等模块。</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（5）二三维可视化服务能力。包括地图管理、三维资源图层专题、资源目录展示、关键指标展示、资源周边分析、三维可视化场景建设、三维模型特效展示等模块。</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（6）综合管理。包括地图服务配置、用户日志控制、平台日志分析、个人中心、浙政钉用户体系对接等功能模块。</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（7）CIM地图更新，全区更新187.25平方公里倾斜摄影三维模型，数据由航飞进行采集建模。当获取到西湖区其余面积的倾斜摄影三维模型数据时，需将数据进行融合。</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（8）运营商人口数据接口，提供各类人员画像数据的接口。</w:t>
      </w:r>
    </w:p>
    <w:p>
      <w:pPr>
        <w:pStyle w:val="255"/>
        <w:keepNext/>
        <w:keepLines/>
        <w:numPr>
          <w:ilvl w:val="0"/>
          <w:numId w:val="3"/>
        </w:numPr>
        <w:tabs>
          <w:tab w:val="left" w:pos="900"/>
        </w:tabs>
        <w:spacing w:before="260" w:after="260"/>
        <w:ind w:firstLineChars="0"/>
        <w:outlineLvl w:val="2"/>
        <w:rPr>
          <w:rFonts w:asciiTheme="minorEastAsia" w:hAnsiTheme="minorEastAsia" w:eastAsiaTheme="minorEastAsia" w:cstheme="minorEastAsia"/>
          <w:bCs/>
          <w:vanish/>
          <w:color w:val="000000" w:themeColor="text1"/>
          <w14:textFill>
            <w14:solidFill>
              <w14:schemeClr w14:val="tx1"/>
            </w14:solidFill>
          </w14:textFill>
        </w:rPr>
      </w:pPr>
    </w:p>
    <w:p>
      <w:pPr>
        <w:pStyle w:val="255"/>
        <w:keepNext/>
        <w:keepLines/>
        <w:numPr>
          <w:ilvl w:val="0"/>
          <w:numId w:val="3"/>
        </w:numPr>
        <w:tabs>
          <w:tab w:val="left" w:pos="900"/>
        </w:tabs>
        <w:spacing w:before="260" w:after="260"/>
        <w:ind w:firstLineChars="0"/>
        <w:outlineLvl w:val="2"/>
        <w:rPr>
          <w:rFonts w:asciiTheme="minorEastAsia" w:hAnsiTheme="minorEastAsia" w:eastAsiaTheme="minorEastAsia" w:cstheme="minorEastAsia"/>
          <w:bCs/>
          <w:vanish/>
          <w:color w:val="000000" w:themeColor="text1"/>
          <w14:textFill>
            <w14:solidFill>
              <w14:schemeClr w14:val="tx1"/>
            </w14:solidFill>
          </w14:textFill>
        </w:rPr>
      </w:pPr>
    </w:p>
    <w:p>
      <w:pPr>
        <w:pStyle w:val="255"/>
        <w:keepNext/>
        <w:keepLines/>
        <w:numPr>
          <w:ilvl w:val="0"/>
          <w:numId w:val="3"/>
        </w:numPr>
        <w:tabs>
          <w:tab w:val="left" w:pos="900"/>
        </w:tabs>
        <w:spacing w:before="260" w:after="260"/>
        <w:ind w:firstLineChars="0"/>
        <w:outlineLvl w:val="2"/>
        <w:rPr>
          <w:rFonts w:asciiTheme="minorEastAsia" w:hAnsiTheme="minorEastAsia" w:eastAsiaTheme="minorEastAsia" w:cstheme="minorEastAsia"/>
          <w:bCs/>
          <w:vanish/>
          <w:color w:val="000000" w:themeColor="text1"/>
          <w14:textFill>
            <w14:solidFill>
              <w14:schemeClr w14:val="tx1"/>
            </w14:solidFill>
          </w14:textFill>
        </w:rPr>
      </w:pPr>
    </w:p>
    <w:p>
      <w:pPr>
        <w:pStyle w:val="255"/>
        <w:keepNext/>
        <w:keepLines/>
        <w:numPr>
          <w:ilvl w:val="0"/>
          <w:numId w:val="4"/>
        </w:numPr>
        <w:tabs>
          <w:tab w:val="left" w:pos="432"/>
          <w:tab w:val="left" w:pos="576"/>
          <w:tab w:val="left" w:pos="900"/>
        </w:tabs>
        <w:spacing w:before="260" w:after="260"/>
        <w:ind w:firstLineChars="0"/>
        <w:outlineLvl w:val="2"/>
        <w:rPr>
          <w:rFonts w:asciiTheme="minorEastAsia" w:hAnsiTheme="minorEastAsia" w:eastAsiaTheme="minorEastAsia" w:cstheme="minorEastAsia"/>
          <w:b/>
          <w:vanish/>
          <w:color w:val="000000" w:themeColor="text1"/>
          <w14:textFill>
            <w14:solidFill>
              <w14:schemeClr w14:val="tx1"/>
            </w14:solidFill>
          </w14:textFill>
        </w:rPr>
      </w:pPr>
    </w:p>
    <w:p>
      <w:pPr>
        <w:pStyle w:val="255"/>
        <w:keepNext/>
        <w:keepLines/>
        <w:numPr>
          <w:ilvl w:val="0"/>
          <w:numId w:val="4"/>
        </w:numPr>
        <w:tabs>
          <w:tab w:val="left" w:pos="432"/>
          <w:tab w:val="left" w:pos="576"/>
          <w:tab w:val="left" w:pos="900"/>
        </w:tabs>
        <w:spacing w:before="260" w:after="260"/>
        <w:ind w:firstLineChars="0"/>
        <w:outlineLvl w:val="2"/>
        <w:rPr>
          <w:rFonts w:asciiTheme="minorEastAsia" w:hAnsiTheme="minorEastAsia" w:eastAsiaTheme="minorEastAsia" w:cstheme="minorEastAsia"/>
          <w:b/>
          <w:vanish/>
          <w:color w:val="000000" w:themeColor="text1"/>
          <w14:textFill>
            <w14:solidFill>
              <w14:schemeClr w14:val="tx1"/>
            </w14:solidFill>
          </w14:textFill>
        </w:rPr>
      </w:pPr>
    </w:p>
    <w:p>
      <w:pPr>
        <w:pStyle w:val="6"/>
        <w:numPr>
          <w:ilvl w:val="1"/>
          <w:numId w:val="4"/>
        </w:numPr>
        <w:tabs>
          <w:tab w:val="left" w:pos="360"/>
        </w:tabs>
        <w:spacing w:line="360" w:lineRule="auto"/>
        <w:ind w:left="567" w:hanging="42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数据标准规范及更新机制建设</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（1）标准规范建设</w:t>
      </w:r>
    </w:p>
    <w:p>
      <w:pPr>
        <w:spacing w:line="360" w:lineRule="auto"/>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协助采购方完成基础空间数据归集、处理、更新标准规范。</w:t>
      </w:r>
    </w:p>
    <w:p>
      <w:pPr>
        <w:spacing w:line="360" w:lineRule="auto"/>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制定数据标准格式、属性等归集要求标准。制定数据处理流程和格式标准。</w:t>
      </w:r>
      <w:bookmarkStart w:id="28" w:name="_Toc88062537"/>
      <w:r>
        <w:rPr>
          <w:rFonts w:hint="eastAsia" w:asciiTheme="minorEastAsia" w:hAnsiTheme="minorEastAsia" w:eastAsiaTheme="minorEastAsia" w:cstheme="minorEastAsia"/>
          <w:bCs/>
          <w:color w:val="000000" w:themeColor="text1"/>
          <w:sz w:val="24"/>
          <w14:textFill>
            <w14:solidFill>
              <w14:schemeClr w14:val="tx1"/>
            </w14:solidFill>
          </w14:textFill>
        </w:rPr>
        <w:t>为保证数据的有效性，需针对不同的数据内容制定数据更新标准，明确数据名称、范围、更新模式、频率、来源等字段，包括基础地理数据、倾斜摄影三维数据等，保证平台数据的及时性和准确性。</w:t>
      </w:r>
      <w:bookmarkEnd w:id="28"/>
    </w:p>
    <w:p>
      <w:pPr>
        <w:pStyle w:val="2"/>
        <w:spacing w:after="0" w:line="360" w:lineRule="auto"/>
        <w:ind w:left="0" w:leftChars="0" w:firstLine="424" w:firstLineChars="177"/>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数据处理标准：</w:t>
      </w:r>
      <w:r>
        <w:rPr>
          <w:rFonts w:asciiTheme="minorEastAsia" w:hAnsiTheme="minorEastAsia" w:eastAsiaTheme="minorEastAsia" w:cstheme="minorEastAsia"/>
          <w:bCs/>
          <w:color w:val="000000" w:themeColor="text1"/>
          <w:sz w:val="24"/>
          <w14:textFill>
            <w14:solidFill>
              <w14:schemeClr w14:val="tx1"/>
            </w14:solidFill>
          </w14:textFill>
        </w:rPr>
        <w:t>需制定数据处理流程和格式。按照规范对空间专题数据进行加工、整理和入库，同时构建必要的数据应用的环境</w:t>
      </w:r>
      <w:r>
        <w:rPr>
          <w:rFonts w:hint="eastAsia" w:asciiTheme="minorEastAsia" w:hAnsiTheme="minorEastAsia" w:eastAsiaTheme="minorEastAsia" w:cstheme="minorEastAsia"/>
          <w:bCs/>
          <w:color w:val="000000" w:themeColor="text1"/>
          <w:sz w:val="24"/>
          <w14:textFill>
            <w14:solidFill>
              <w14:schemeClr w14:val="tx1"/>
            </w14:solidFill>
          </w14:textFill>
        </w:rPr>
        <w:t>，统一存储在空间数据库中</w:t>
      </w:r>
      <w:r>
        <w:rPr>
          <w:rFonts w:asciiTheme="minorEastAsia" w:hAnsiTheme="minorEastAsia" w:eastAsiaTheme="minorEastAsia" w:cstheme="minorEastAsia"/>
          <w:bCs/>
          <w:color w:val="000000" w:themeColor="text1"/>
          <w:sz w:val="24"/>
          <w14:textFill>
            <w14:solidFill>
              <w14:schemeClr w14:val="tx1"/>
            </w14:solidFill>
          </w14:textFill>
        </w:rPr>
        <w:t>，不仅提供统一的数据访问服务，而且满足业务人员数据分析、计算与可视化的需求。</w:t>
      </w:r>
      <w:r>
        <w:rPr>
          <w:rFonts w:hint="eastAsia" w:asciiTheme="minorEastAsia" w:hAnsiTheme="minorEastAsia" w:eastAsiaTheme="minorEastAsia" w:cstheme="minorEastAsia"/>
          <w:bCs/>
          <w:color w:val="000000" w:themeColor="text1"/>
          <w:sz w:val="24"/>
          <w14:textFill>
            <w14:solidFill>
              <w14:schemeClr w14:val="tx1"/>
            </w14:solidFill>
          </w14:textFill>
        </w:rPr>
        <w:t>对于数据需要处理成统一的空间数据格式，统一转换成统一坐标系（大地2000坐标）,标注数据的时间和空间覆盖范围。</w:t>
      </w:r>
    </w:p>
    <w:p>
      <w:pPr>
        <w:pStyle w:val="25"/>
        <w:ind w:firstLine="567"/>
        <w:rPr>
          <w:rFonts w:asciiTheme="minorEastAsia" w:hAnsiTheme="minorEastAsia" w:eastAsiaTheme="minorEastAsia" w:cstheme="minorEastAsia"/>
          <w:bCs/>
          <w:snapToGrid/>
          <w:color w:val="000000" w:themeColor="text1"/>
          <w:szCs w:val="24"/>
          <w:lang w:val="en-US"/>
          <w14:textFill>
            <w14:solidFill>
              <w14:schemeClr w14:val="tx1"/>
            </w14:solidFill>
          </w14:textFill>
        </w:rPr>
      </w:pPr>
      <w:r>
        <w:rPr>
          <w:rFonts w:hint="eastAsia" w:asciiTheme="minorEastAsia" w:hAnsiTheme="minorEastAsia" w:eastAsiaTheme="minorEastAsia" w:cstheme="minorEastAsia"/>
          <w:bCs/>
          <w:snapToGrid/>
          <w:color w:val="000000" w:themeColor="text1"/>
          <w:szCs w:val="24"/>
          <w:lang w:val="en-US"/>
          <w14:textFill>
            <w14:solidFill>
              <w14:schemeClr w14:val="tx1"/>
            </w14:solidFill>
          </w14:textFill>
        </w:rPr>
        <w:t>数据更新标准：</w:t>
      </w:r>
      <w:r>
        <w:rPr>
          <w:rFonts w:asciiTheme="minorEastAsia" w:hAnsiTheme="minorEastAsia" w:eastAsiaTheme="minorEastAsia" w:cstheme="minorEastAsia"/>
          <w:bCs/>
          <w:snapToGrid/>
          <w:color w:val="000000" w:themeColor="text1"/>
          <w:szCs w:val="24"/>
          <w:lang w:val="en-US"/>
          <w14:textFill>
            <w14:solidFill>
              <w14:schemeClr w14:val="tx1"/>
            </w14:solidFill>
          </w14:textFill>
        </w:rPr>
        <w:t>需制定相关数据更新规范制度。每项数据建立元数据，包括数据的名称、范围、更新频率、数据提供方式、完成人、数据对接人、对接方联系方式、接口方联系人、接口方联系方式等字段，后续定期督促部门保质、保量更新相关数据，保证平台数据的及时性和准确性。</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（2）运行机制建设</w:t>
      </w:r>
    </w:p>
    <w:p>
      <w:pPr>
        <w:spacing w:line="360" w:lineRule="auto"/>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协助采购方完成基础空间数据的共享、更新机制的制定。</w:t>
      </w:r>
    </w:p>
    <w:p>
      <w:pPr>
        <w:pStyle w:val="6"/>
        <w:numPr>
          <w:ilvl w:val="1"/>
          <w:numId w:val="4"/>
        </w:numPr>
        <w:tabs>
          <w:tab w:val="left" w:pos="360"/>
        </w:tabs>
        <w:spacing w:line="360" w:lineRule="auto"/>
        <w:ind w:left="567" w:hanging="420"/>
        <w:rPr>
          <w:rFonts w:asciiTheme="minorEastAsia" w:hAnsiTheme="minorEastAsia" w:eastAsiaTheme="minorEastAsia" w:cstheme="minorEastAsia"/>
          <w:color w:val="000000" w:themeColor="text1"/>
          <w:sz w:val="28"/>
          <w:szCs w:val="28"/>
          <w14:textFill>
            <w14:solidFill>
              <w14:schemeClr w14:val="tx1"/>
            </w14:solidFill>
          </w14:textFill>
        </w:rPr>
      </w:pPr>
      <w:bookmarkStart w:id="29" w:name="_Toc88062545"/>
      <w:r>
        <w:rPr>
          <w:rFonts w:hint="eastAsia" w:asciiTheme="minorEastAsia" w:hAnsiTheme="minorEastAsia" w:eastAsiaTheme="minorEastAsia" w:cstheme="minorEastAsia"/>
          <w:color w:val="000000" w:themeColor="text1"/>
          <w:sz w:val="28"/>
          <w:szCs w:val="28"/>
          <w14:textFill>
            <w14:solidFill>
              <w14:schemeClr w14:val="tx1"/>
            </w14:solidFill>
          </w14:textFill>
        </w:rPr>
        <w:t>空间数据归集和处理工具</w:t>
      </w:r>
    </w:p>
    <w:p>
      <w:pPr>
        <w:pStyle w:val="6"/>
        <w:numPr>
          <w:ilvl w:val="2"/>
          <w:numId w:val="4"/>
        </w:numPr>
        <w:tabs>
          <w:tab w:val="left" w:pos="360"/>
        </w:tabs>
        <w:spacing w:before="0" w:after="0" w:line="360" w:lineRule="auto"/>
        <w:ind w:left="901" w:hanging="720"/>
        <w:rPr>
          <w:rFonts w:asciiTheme="minorEastAsia" w:hAnsiTheme="minorEastAsia" w:eastAsiaTheme="minorEastAsia" w:cstheme="minorEastAsia"/>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Cs w:val="0"/>
          <w:color w:val="000000" w:themeColor="text1"/>
          <w:sz w:val="24"/>
          <w:szCs w:val="24"/>
          <w14:textFill>
            <w14:solidFill>
              <w14:schemeClr w14:val="tx1"/>
            </w14:solidFill>
          </w14:textFill>
        </w:rPr>
        <w:t>数据流程闭环管理及归集设计</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（1）数据流程闭环管理</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完成空间数据采集的闭环管理。</w:t>
      </w:r>
    </w:p>
    <w:p>
      <w:pPr>
        <w:pStyle w:val="2"/>
        <w:spacing w:line="360" w:lineRule="auto"/>
        <w:ind w:firstLineChars="1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rPr>
        <w:t>（2）</w:t>
      </w:r>
      <w:r>
        <w:rPr>
          <w:rFonts w:hint="eastAsia" w:asciiTheme="minorEastAsia" w:hAnsiTheme="minorEastAsia" w:eastAsiaTheme="minorEastAsia" w:cstheme="minorEastAsia"/>
          <w:bCs/>
          <w:color w:val="000000" w:themeColor="text1"/>
          <w:sz w:val="24"/>
          <w14:textFill>
            <w14:solidFill>
              <w14:schemeClr w14:val="tx1"/>
            </w14:solidFill>
          </w14:textFill>
        </w:rPr>
        <w:t>数据流程归集</w:t>
      </w:r>
    </w:p>
    <w:p>
      <w:pPr>
        <w:adjustRightInd/>
        <w:spacing w:line="360" w:lineRule="auto"/>
        <w:ind w:firstLine="42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rPr>
        <w:t>支持对不同数据库类型空间数据、属性数据进行元数据的归集。通过在任务模型中建立任务，并填写数据库等参数，可从业务数据库中抽取数据到另外的数据库中，实现空间数据和属性的跨库抽取转换以及提取。</w:t>
      </w:r>
    </w:p>
    <w:p>
      <w:pPr>
        <w:pStyle w:val="6"/>
        <w:numPr>
          <w:ilvl w:val="2"/>
          <w:numId w:val="4"/>
        </w:numPr>
        <w:tabs>
          <w:tab w:val="left" w:pos="360"/>
        </w:tabs>
        <w:spacing w:before="0" w:after="0" w:line="360" w:lineRule="auto"/>
        <w:ind w:left="901" w:hanging="720"/>
        <w:rPr>
          <w:rFonts w:asciiTheme="minorEastAsia" w:hAnsiTheme="minorEastAsia" w:eastAsiaTheme="minorEastAsia" w:cstheme="minorEastAsia"/>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Cs w:val="0"/>
          <w:color w:val="000000" w:themeColor="text1"/>
          <w:sz w:val="24"/>
          <w:szCs w:val="24"/>
          <w14:textFill>
            <w14:solidFill>
              <w14:schemeClr w14:val="tx1"/>
            </w14:solidFill>
          </w14:textFill>
        </w:rPr>
        <w:t>空间数据融合治理工具模块</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基于区公共数据平台提供的基础能力（存储能力、服务器资源、分析计算资源等），开发构建一套空间数据采集、清理、建模功能，不断优化，可根据具体需求封装成工具上架至区公共数据平台工具箱中，开发完成后协助用户完成基本空间数据采集、清理、建模处理流程gp（地理处理）搭建。</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（1）ETL任务模型管理</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对于空间数据转换、属性数据转换、数据文件转换、数据转换连接、转换流程管理提供模型管理，ETL主要用于空间资源数据仓建设中数据归集使用。支持模型元数据读取、模型元数据存储、模型元数据浏览。支持</w:t>
      </w:r>
      <w:bookmarkStart w:id="30" w:name="_Hlk103866774"/>
      <w:r>
        <w:rPr>
          <w:rFonts w:hint="eastAsia" w:asciiTheme="minorEastAsia" w:hAnsiTheme="minorEastAsia" w:eastAsiaTheme="minorEastAsia" w:cstheme="minorEastAsia"/>
          <w:bCs/>
          <w:color w:val="000000" w:themeColor="text1"/>
          <w:sz w:val="24"/>
          <w14:textFill>
            <w14:solidFill>
              <w14:schemeClr w14:val="tx1"/>
            </w14:solidFill>
          </w14:textFill>
        </w:rPr>
        <w:t>esri和supermap二种空间引擎</w:t>
      </w:r>
      <w:bookmarkEnd w:id="30"/>
      <w:r>
        <w:rPr>
          <w:rFonts w:hint="eastAsia" w:asciiTheme="minorEastAsia" w:hAnsiTheme="minorEastAsia" w:eastAsiaTheme="minorEastAsia" w:cstheme="minorEastAsia"/>
          <w:bCs/>
          <w:color w:val="000000" w:themeColor="text1"/>
          <w:sz w:val="24"/>
          <w14:textFill>
            <w14:solidFill>
              <w14:schemeClr w14:val="tx1"/>
            </w14:solidFill>
          </w14:textFill>
        </w:rPr>
        <w:t>。</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（2）任务调度管理</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与治理工具配套使用，建立定时机制，辅助数据更新和核查，可通过可视化的监控页面全方位掌控数据调度执行的情况，定时的自动化作业用于解决有更新频度需求的数据采集、清洗、融合、入库等业务。支持作业条件管理、作业执行流程定义、作业日志管理、作业运行监控、异常告警和处理。</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（3）数据清洗</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将抽取出来的源数据，按照一定的转换规则，生成新的数据并存放至目的数据源中。需支持下几类数据清洗：空间数据清洗、属性数据清洗、数据文件清洗。</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（4）数据融合</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对清洗后的数据经过数据格式化、质量检查等一系列的数据处理过程，融合转换为符合业务需要的目标数据。</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数据融合建模：提供可视化数据融合建模管理。</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数据融合模块：主要包含JDBC工具（用于连接数据库、查询、统计）、基本模块（创建数据源、打开数据源、计算时间、镶嵌模型、投影转换、图形产品制作、循环等）、空间分析模块（GIDW插值、IDW插值、裁剪、创建Voronoi图、叠加分析、缓存区分析、提取等值线、栅格裁剪等）。</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模块参数设置：配合各类数据融合模块，进行定制化模块参数设置，包含输入端、参数、输出端三大项，具体小项根据具体模板设置进行动态变化。</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（5）质量检查</w:t>
      </w:r>
    </w:p>
    <w:p>
      <w:pPr>
        <w:adjustRightInd/>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对空间资源数据服务仓各类二三维空间数据质量检查。支持数据完整性检查、标准正确性检查、属性数据检查、图形逻辑一致性检查。</w:t>
      </w:r>
    </w:p>
    <w:bookmarkEnd w:id="29"/>
    <w:p>
      <w:pPr>
        <w:pStyle w:val="6"/>
        <w:numPr>
          <w:ilvl w:val="1"/>
          <w:numId w:val="4"/>
        </w:numPr>
        <w:tabs>
          <w:tab w:val="left" w:pos="360"/>
        </w:tabs>
        <w:spacing w:line="360" w:lineRule="auto"/>
        <w:ind w:left="567" w:hanging="42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资源管理平台</w:t>
      </w:r>
    </w:p>
    <w:p>
      <w:pPr>
        <w:pStyle w:val="2"/>
        <w:spacing w:line="360" w:lineRule="auto"/>
        <w:ind w:left="0" w:leftChars="0" w:firstLine="0" w:firstLineChars="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（1）数据服务</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资源目录管理，支持按照专题分类、业务单位进行分类。</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资源服务浏览，支持按发布时间、浏览次数、服务名称进行排序及分页。</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资源服务搜索，在系统数据服务界面，资源服务搜索功能模块能够根据搜索的关键字，展示数据资源服务的搜索结果。</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详情查看：能够展示具体数据服务的详细信息。</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支持对数据服务进行收藏操作。</w:t>
      </w:r>
    </w:p>
    <w:p>
      <w:pPr>
        <w:pStyle w:val="2"/>
        <w:spacing w:line="360" w:lineRule="auto"/>
        <w:ind w:left="0" w:leftChars="0" w:firstLine="0" w:firstLineChars="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(2)功能服务</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资源目录管理：支持按照类别分类、性质分类、所属区域服务进行分类。</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资源服务浏览：支持按发布时间、浏览次数、服务名称进行分类浏览。</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资源服务搜索：能够根据搜索的关键字，展示功能资源服务的搜索结果。</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详细信息查看：支持查看功能服务的详细信息。</w:t>
      </w:r>
    </w:p>
    <w:p>
      <w:pPr>
        <w:pStyle w:val="2"/>
        <w:spacing w:line="360" w:lineRule="auto"/>
        <w:ind w:left="0" w:leftChars="0" w:firstLine="0" w:firstLineChars="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（3）工具箱管理</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包括工具封装上架、工具检索、工具分类展示、工具收藏、工具编辑、工具下架功能，另外可实现</w:t>
      </w:r>
      <w:bookmarkStart w:id="31" w:name="_Hlk103867457"/>
      <w:r>
        <w:rPr>
          <w:rFonts w:hint="eastAsia" w:asciiTheme="minorEastAsia" w:hAnsiTheme="minorEastAsia" w:eastAsiaTheme="minorEastAsia" w:cstheme="minorEastAsia"/>
          <w:bCs/>
          <w:color w:val="000000" w:themeColor="text1"/>
          <w:sz w:val="24"/>
          <w14:textFill>
            <w14:solidFill>
              <w14:schemeClr w14:val="tx1"/>
            </w14:solidFill>
          </w14:textFill>
        </w:rPr>
        <w:t>日照分析、淹没分析功能并支持源码在线调试</w:t>
      </w:r>
      <w:bookmarkEnd w:id="31"/>
      <w:r>
        <w:rPr>
          <w:rFonts w:hint="eastAsia" w:asciiTheme="minorEastAsia" w:hAnsiTheme="minorEastAsia" w:eastAsiaTheme="minorEastAsia" w:cstheme="minorEastAsia"/>
          <w:bCs/>
          <w:color w:val="000000" w:themeColor="text1"/>
          <w:sz w:val="24"/>
          <w14:textFill>
            <w14:solidFill>
              <w14:schemeClr w14:val="tx1"/>
            </w14:solidFill>
          </w14:textFill>
        </w:rPr>
        <w:t>，具体功能如下：</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工具封装上架：提供工具封装上架功能，支持对封装后的服务工具一键上架到工具箱进行统一管理、展示；</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工具检索：提供工具检索功能，提供快速检索工具，通过输入关键字、模糊字段等信息，快速查找检索服务工具；</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工具分类展示：工具可以按照上架时间、浏览次数、服务类别进行分类展示；</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工具收藏：支持对工具的收藏；</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工具编辑：支持对工具进行编辑修改，实现对工具的及时维护；</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工具下架：支持对工具进行下架。</w:t>
      </w:r>
    </w:p>
    <w:p>
      <w:pPr>
        <w:pStyle w:val="6"/>
        <w:numPr>
          <w:ilvl w:val="1"/>
          <w:numId w:val="4"/>
        </w:numPr>
        <w:tabs>
          <w:tab w:val="left" w:pos="360"/>
        </w:tabs>
        <w:spacing w:line="360" w:lineRule="auto"/>
        <w:ind w:left="567" w:hanging="42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资源服务平台</w:t>
      </w:r>
    </w:p>
    <w:p>
      <w:pPr>
        <w:pStyle w:val="774"/>
        <w:spacing w:line="360" w:lineRule="auto"/>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color w:val="000000" w:themeColor="text1"/>
          <w:szCs w:val="24"/>
          <w14:textFill>
            <w14:solidFill>
              <w14:schemeClr w14:val="tx1"/>
            </w14:solidFill>
          </w14:textFill>
        </w:rPr>
        <w:t>（</w:t>
      </w: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1）平台统一应用门户</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 xml:space="preserve">实现用户登录，对接浙政钉用户体系，扫码即可登录系统。在平台首页，支持数据资源、数据更新、数据治理等内容的展示。支持以图标、文字描述方式的窗口链接，提供对平台现有成果数量的展示。 </w:t>
      </w:r>
    </w:p>
    <w:p>
      <w:pPr>
        <w:pStyle w:val="774"/>
        <w:spacing w:line="360" w:lineRule="auto"/>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（2）资源共享中心</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支持用户在线申请服务资源的访问授权。提供服务代理功能，提供统一的代理服务地址。</w:t>
      </w:r>
    </w:p>
    <w:p>
      <w:pPr>
        <w:pStyle w:val="774"/>
        <w:spacing w:line="360" w:lineRule="auto"/>
        <w:ind w:left="0" w:firstLine="480" w:firstLineChars="200"/>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支持资源服务应用功能，平台提供统一的代理服务地址，各局办部门在该服务地址上面进行应用，应用后各个单位再将应用进行更新返回平台。</w:t>
      </w:r>
    </w:p>
    <w:p>
      <w:pPr>
        <w:pStyle w:val="774"/>
        <w:spacing w:line="360" w:lineRule="auto"/>
        <w:ind w:left="0" w:firstLine="480" w:firstLineChars="200"/>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（3）服务管理</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提供服务引擎、平台以及数据库等服务的发布配置。</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bookmarkStart w:id="32" w:name="_Hlk103867580"/>
      <w:r>
        <w:rPr>
          <w:rFonts w:hint="eastAsia" w:asciiTheme="minorEastAsia" w:hAnsiTheme="minorEastAsia" w:eastAsiaTheme="minorEastAsia" w:cstheme="minorEastAsia"/>
          <w:bCs/>
          <w:color w:val="000000" w:themeColor="text1"/>
          <w:sz w:val="24"/>
          <w14:textFill>
            <w14:solidFill>
              <w14:schemeClr w14:val="tx1"/>
            </w14:solidFill>
          </w14:textFill>
        </w:rPr>
        <w:t>支持将平台中所管理的数据集以WMS、WFS、WMTS、REST、DATA等服务形式注册发布，包括二维服务、三维服务、倾斜摄影和白膜等服务</w:t>
      </w:r>
      <w:bookmarkEnd w:id="32"/>
      <w:r>
        <w:rPr>
          <w:rFonts w:hint="eastAsia" w:asciiTheme="minorEastAsia" w:hAnsiTheme="minorEastAsia" w:eastAsiaTheme="minorEastAsia" w:cstheme="minorEastAsia"/>
          <w:bCs/>
          <w:color w:val="000000" w:themeColor="text1"/>
          <w:sz w:val="24"/>
          <w14:textFill>
            <w14:solidFill>
              <w14:schemeClr w14:val="tx1"/>
            </w14:solidFill>
          </w14:textFill>
        </w:rPr>
        <w:t>。</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 xml:space="preserve">支持将平台中所管理的地图以WMTS、RESTMAP、WMS等服务形式注册发布。 </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支持将平台中所管理的场景数据以Realspace服务形式直接注册到平台上。</w:t>
      </w:r>
    </w:p>
    <w:p>
      <w:pPr>
        <w:pStyle w:val="774"/>
        <w:spacing w:line="360" w:lineRule="auto"/>
        <w:ind w:left="0" w:firstLine="480" w:firstLineChars="200"/>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支持将平台中所管理的文档资料库中一个或多个文档资料作为一个服务发布。</w:t>
      </w:r>
    </w:p>
    <w:p>
      <w:pPr>
        <w:pStyle w:val="774"/>
        <w:spacing w:line="360" w:lineRule="auto"/>
        <w:ind w:left="0" w:firstLine="480" w:firstLineChars="200"/>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color w:val="000000" w:themeColor="text1"/>
          <w:shd w:val="clear" w:color="auto" w:fill="FFFFFF"/>
          <w14:textFill>
            <w14:solidFill>
              <w14:schemeClr w14:val="tx1"/>
            </w14:solidFill>
          </w14:textFill>
        </w:rPr>
        <w:t>支持注册二三维服务，包括西湖区倾斜摄影，动态矢量、影像、西湖区摄像头点位、西湖区司法所、隐患点等26个图层，并可对26个图层配置到相应部门的目录，并可在服务中心对应展示挂接的图层；也可把26个图层挂接到一张图应用目录，经过授权后在一张图中应用中展示这些图层。</w:t>
      </w:r>
    </w:p>
    <w:p>
      <w:pPr>
        <w:pStyle w:val="774"/>
        <w:spacing w:line="360" w:lineRule="auto"/>
        <w:ind w:left="0" w:firstLine="480" w:firstLineChars="200"/>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（4）云GIS访问统计</w:t>
      </w:r>
    </w:p>
    <w:p>
      <w:pPr>
        <w:pStyle w:val="774"/>
        <w:spacing w:line="360" w:lineRule="auto"/>
        <w:ind w:left="0" w:firstLine="480" w:firstLineChars="200"/>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支持按照服务访问量统计、服务访问者统计、地图访问量统计。</w:t>
      </w:r>
    </w:p>
    <w:p>
      <w:pPr>
        <w:pStyle w:val="6"/>
        <w:numPr>
          <w:ilvl w:val="1"/>
          <w:numId w:val="4"/>
        </w:numPr>
        <w:tabs>
          <w:tab w:val="left" w:pos="360"/>
        </w:tabs>
        <w:spacing w:line="360" w:lineRule="auto"/>
        <w:ind w:left="567" w:hanging="42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二三维可视化服务能力</w:t>
      </w:r>
    </w:p>
    <w:p>
      <w:pPr>
        <w:pStyle w:val="2"/>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（1）地图管理</w:t>
      </w:r>
      <w:r>
        <w:rPr>
          <w:rFonts w:hint="eastAsia" w:asciiTheme="minorEastAsia" w:hAnsiTheme="minorEastAsia" w:eastAsiaTheme="minorEastAsia" w:cstheme="minorEastAsia"/>
          <w:bCs/>
          <w:color w:val="000000" w:themeColor="text1"/>
          <w:sz w:val="24"/>
          <w14:textFill>
            <w14:solidFill>
              <w14:schemeClr w14:val="tx1"/>
            </w14:solidFill>
          </w14:textFill>
        </w:rPr>
        <w:tab/>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图层管理支持图层的添加、删除、图层控制。</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地图管理支持地图的新建地图、保存地图、删除地图、编辑地图、预览地图。</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bookmarkStart w:id="33" w:name="_Hlk103867731"/>
      <w:r>
        <w:rPr>
          <w:rFonts w:hint="eastAsia" w:asciiTheme="minorEastAsia" w:hAnsiTheme="minorEastAsia" w:eastAsiaTheme="minorEastAsia" w:cstheme="minorEastAsia"/>
          <w:bCs/>
          <w:color w:val="000000" w:themeColor="text1"/>
          <w:sz w:val="24"/>
          <w14:textFill>
            <w14:solidFill>
              <w14:schemeClr w14:val="tx1"/>
            </w14:solidFill>
          </w14:textFill>
        </w:rPr>
        <w:t>对地图可以进行二三维引擎切换，功能包含地图放大、缩小、漫游、全幅、地图飞行等、距离量算、面积量算、图层顺序、图层风格、分层分户模型展示功能、单体化模型等功能</w:t>
      </w:r>
      <w:bookmarkEnd w:id="33"/>
      <w:r>
        <w:rPr>
          <w:rFonts w:hint="eastAsia" w:asciiTheme="minorEastAsia" w:hAnsiTheme="minorEastAsia" w:eastAsiaTheme="minorEastAsia" w:cstheme="minorEastAsia"/>
          <w:bCs/>
          <w:color w:val="000000" w:themeColor="text1"/>
          <w:sz w:val="24"/>
          <w14:textFill>
            <w14:solidFill>
              <w14:schemeClr w14:val="tx1"/>
            </w14:solidFill>
          </w14:textFill>
        </w:rPr>
        <w:t>。</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阴影分析：支持在三维一张图中，以西湖区倾斜摄影为底座，通过选择不同日期、开始时间、结束时间动态展示西湖区建筑的日照效果。并可通过设置底部高程，拉伸高度的设置，手动绘制区域，用不同颜色分级点表示该区域内不同地点空间位置的阴影率，并可获取该点的阴影率、经度、维度、高程信息。</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动态单体化，通过叠加二维矢量面的方式到倾斜摄影模型中，使倾斜摄影的楼幢和二维矢量面尽可能拟合，然后设置矢量面的颜色和透明度，从而实现点击楼幢查询的渲染效果。</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辅助规划功能：支持在三维一张图中，以西湖区倾斜摄影为底座，添加四种不同外观的楼幢模型，并可对选中的 模型的长度、宽度、高度、方向进行动态的数值的调整，而模型的长度，宽度，高度，方向也能相应的动态调整展示，从而适配规划时建筑的高度、方向等参数。</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支持按小区/楼幢地图打点上图、支持物联设备打点上图、支持事件上图、支持公共设施上图。支持地图切换，可确认图层中心点的位置。支持通过遮罩的方式控制显示范围。</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地图飞行功能：支持以西湖区倾斜摄影为底座，点击飞行功能，可通过绘点来绘制飞行路线，并可对绘制的点进行名称、高度、和飞行速度的确认，确定保存后可对改点进行删除，也可查看该点在地图中动态定位到该点的位置；当绘制点都完成后，在西湖区倾斜摄影底座中可进行预览路线，在预览过程中可停止预览，如觉得在预览过程中认为站点位置可进行清空所有站点按钮，认为合理就保存该飞行路线</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支持地图定位：点击地物点位在地图上自动定位到该地物，并放大到适当比例尺使地物清晰可见。</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支持地图定位：点击地物点位在地图上自动定位到该地物，并放大到适当比例尺使地物清晰可见。</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（2）资源目录展示</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资源目录树：支持以资源目录树的形式对部门进行分类展示，可进行图叠加展示，实现数据资源上图，以及数据的查询、定位、查看等功能。</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bookmarkStart w:id="34" w:name="_Hlk103865060"/>
      <w:r>
        <w:rPr>
          <w:rFonts w:hint="eastAsia" w:asciiTheme="minorEastAsia" w:hAnsiTheme="minorEastAsia" w:eastAsiaTheme="minorEastAsia" w:cstheme="minorEastAsia"/>
          <w:bCs/>
          <w:color w:val="000000" w:themeColor="text1"/>
          <w:sz w:val="24"/>
          <w14:textFill>
            <w14:solidFill>
              <w14:schemeClr w14:val="tx1"/>
            </w14:solidFill>
          </w14:textFill>
        </w:rPr>
        <w:t>专题数据查询：支持对专题数据进行综合属性关键字查询，查询结果以列表形式呈现并与地图进行互动叠加展示</w:t>
      </w:r>
      <w:bookmarkEnd w:id="34"/>
      <w:r>
        <w:rPr>
          <w:rFonts w:hint="eastAsia" w:asciiTheme="minorEastAsia" w:hAnsiTheme="minorEastAsia" w:eastAsiaTheme="minorEastAsia" w:cstheme="minorEastAsia"/>
          <w:bCs/>
          <w:color w:val="000000" w:themeColor="text1"/>
          <w:sz w:val="24"/>
          <w14:textFill>
            <w14:solidFill>
              <w14:schemeClr w14:val="tx1"/>
            </w14:solidFill>
          </w14:textFill>
        </w:rPr>
        <w:t>。</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专题信息图层叠加展示：支持叠加各种专题信息图层，实现可叠加多类图层切换进行叠加展示。</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（3）关键指标展示</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提供各专题类型的关键指标统计分析，实现各项指标的可视化展示，能够实时掌握总体状况，对能够下钻的指标进行下钻展示。通过关键字段对各类资源图层对应的指标信息进行关联展示。</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（4）资源周边分析</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通过地图，结合中枢平台提供的设施数据，可通过空间分析周边范围内设施分布情况。根据资源的空间位置信息，进行周边自定义范围（100m、200m范围）的周边信息点位进行查询分析（如：监控摄像头、周边设施等），获得周边信息清单。</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（5）叠加分析</w:t>
      </w:r>
    </w:p>
    <w:p>
      <w:pPr>
        <w:pStyle w:val="2"/>
        <w:spacing w:line="360" w:lineRule="auto"/>
        <w:ind w:leftChars="0" w:firstLine="0" w:firstLineChars="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系统提供的叠加分析服务是将西湖数字地图各个数据层面进行叠加产生一个新数据层面的操作，其结果综合了原来两层或多层要素所具有的属性，可为西湖区规划和管理提供决策依据。</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（6）三维模型特效展示</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环境模拟：支持环境模拟，使用不同天色效果能够模拟城市真实环境状况，满足城市治理需求；</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白天黑夜模式：支持白天模式风格和黑夜模式风格切换，白天模式：可选择白天模式，可呈现精细模型与白色底图，让整体风格偏亮。黑夜模式：可选择黑夜模式风格，可整体呈现偏暗的模型和暗色系底图配色。</w:t>
      </w:r>
    </w:p>
    <w:p>
      <w:pPr>
        <w:spacing w:line="360" w:lineRule="auto"/>
        <w:ind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天气模式：支持天气状况风格切换，结合城市气象状况，可根据当时气象状况，自动实现城市当前气象状态效果。同时，也可手动切换晴天、雨天等不同气象状况的特效，满足同一区域不同环境下的不同情况的对比需求。</w:t>
      </w:r>
    </w:p>
    <w:p>
      <w:pPr>
        <w:pStyle w:val="2"/>
        <w:spacing w:line="360" w:lineRule="auto"/>
        <w:ind w:left="0" w:leftChars="0" w:firstLine="48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运行切换：支持运行切换，可以将拆分白模、精模独立展示，实现交互切换流畅性。</w:t>
      </w:r>
    </w:p>
    <w:p>
      <w:pPr>
        <w:pStyle w:val="6"/>
        <w:numPr>
          <w:ilvl w:val="1"/>
          <w:numId w:val="4"/>
        </w:numPr>
        <w:tabs>
          <w:tab w:val="left" w:pos="360"/>
        </w:tabs>
        <w:spacing w:line="360" w:lineRule="auto"/>
        <w:ind w:left="567" w:hanging="42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综合管理</w:t>
      </w:r>
    </w:p>
    <w:p>
      <w:pPr>
        <w:pStyle w:val="774"/>
        <w:spacing w:line="360" w:lineRule="auto"/>
        <w:ind w:left="0" w:firstLine="424" w:firstLineChars="177"/>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（1）地图服务配置</w:t>
      </w:r>
    </w:p>
    <w:p>
      <w:pPr>
        <w:pStyle w:val="774"/>
        <w:spacing w:line="360" w:lineRule="auto"/>
        <w:ind w:left="0" w:firstLine="424" w:firstLineChars="177"/>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提供地图服务配置功能，为地图服务提供管理和配置工具。平台对前端展示所有图层数据的服务，在后台可进行管理配置，配置完成后对地图进行服务发布展示。</w:t>
      </w:r>
    </w:p>
    <w:p>
      <w:pPr>
        <w:pStyle w:val="774"/>
        <w:spacing w:line="360" w:lineRule="auto"/>
        <w:ind w:left="0" w:firstLine="424" w:firstLineChars="177"/>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（2）用户日志控制</w:t>
      </w:r>
    </w:p>
    <w:p>
      <w:pPr>
        <w:pStyle w:val="774"/>
        <w:spacing w:line="360" w:lineRule="auto"/>
        <w:ind w:left="0" w:firstLine="424" w:firstLineChars="177"/>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提供用户登录日志控制功能，主要展示服务访问日志。实现日志的统计，生成各类报表，指导平台优化。</w:t>
      </w:r>
    </w:p>
    <w:p>
      <w:pPr>
        <w:pStyle w:val="774"/>
        <w:spacing w:line="360" w:lineRule="auto"/>
        <w:ind w:left="0" w:firstLine="424" w:firstLineChars="177"/>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（3）平台日志分析</w:t>
      </w:r>
    </w:p>
    <w:p>
      <w:pPr>
        <w:pStyle w:val="774"/>
        <w:spacing w:line="360" w:lineRule="auto"/>
        <w:ind w:left="0" w:firstLine="424" w:firstLineChars="177"/>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对调用平台各类服务接口，按照不同时间段内、不同部门相关用户进入平台情况、服务调用情况等日志信息进行统计分析，以统计图表方式进行展示，并日志信息查询检索功能。</w:t>
      </w:r>
    </w:p>
    <w:p>
      <w:pPr>
        <w:pStyle w:val="774"/>
        <w:spacing w:line="360" w:lineRule="auto"/>
        <w:ind w:left="0" w:firstLine="424" w:firstLineChars="177"/>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（4）个人中心</w:t>
      </w:r>
    </w:p>
    <w:p>
      <w:pPr>
        <w:pStyle w:val="774"/>
        <w:spacing w:line="360" w:lineRule="auto"/>
        <w:ind w:left="0" w:firstLine="424" w:firstLineChars="177"/>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支持服务和地图的申请，支持后台管理员在线审核服务申请。支持对平台中的服务进行收藏及查看。</w:t>
      </w:r>
    </w:p>
    <w:p>
      <w:pPr>
        <w:pStyle w:val="774"/>
        <w:spacing w:line="360" w:lineRule="auto"/>
        <w:ind w:left="0" w:firstLine="424" w:firstLineChars="177"/>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（5）浙政钉用户体系对接</w:t>
      </w:r>
    </w:p>
    <w:p>
      <w:pPr>
        <w:pStyle w:val="774"/>
        <w:spacing w:line="360" w:lineRule="auto"/>
        <w:ind w:left="0" w:firstLine="424" w:firstLineChars="177"/>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开发浙政钉对接接口，用户登录体系根据浙政钉角色和权限进行对接，实现同一体系验证登录的便捷操作。</w:t>
      </w:r>
    </w:p>
    <w:p>
      <w:pPr>
        <w:pStyle w:val="774"/>
        <w:spacing w:line="360" w:lineRule="auto"/>
        <w:ind w:left="0" w:firstLine="424" w:firstLineChars="177"/>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（6）IRS对接</w:t>
      </w:r>
    </w:p>
    <w:p>
      <w:pPr>
        <w:pStyle w:val="774"/>
        <w:spacing w:line="360" w:lineRule="auto"/>
        <w:ind w:left="0" w:firstLine="424" w:firstLineChars="177"/>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与西湖区一体化智能化公共数据平台对接，实现在irs平台上发布图层资源服务，在irs平台上可以申请、审核本平台资源，审核通过之后，用户可以调用本平台的服务。</w:t>
      </w:r>
    </w:p>
    <w:p>
      <w:pPr>
        <w:pStyle w:val="6"/>
        <w:numPr>
          <w:ilvl w:val="1"/>
          <w:numId w:val="4"/>
        </w:numPr>
        <w:tabs>
          <w:tab w:val="left" w:pos="360"/>
        </w:tabs>
        <w:spacing w:line="360" w:lineRule="auto"/>
        <w:ind w:left="567" w:hanging="42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CIM地图更新</w:t>
      </w:r>
    </w:p>
    <w:p>
      <w:pPr>
        <w:pStyle w:val="774"/>
        <w:spacing w:line="360" w:lineRule="auto"/>
        <w:ind w:left="0" w:firstLine="480" w:firstLineChars="200"/>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完成西湖区187.25平方公里的三维实景地图的航飞采集和数据建模工作，</w:t>
      </w:r>
      <w:r>
        <w:rPr>
          <w:rFonts w:hint="eastAsia" w:asciiTheme="minorEastAsia" w:hAnsiTheme="minorEastAsia" w:eastAsiaTheme="minorEastAsia" w:cstheme="minorEastAsia"/>
          <w:bCs/>
          <w:color w:val="000000" w:themeColor="text1"/>
          <w:szCs w:val="24"/>
          <w14:textFill>
            <w14:solidFill>
              <w14:schemeClr w14:val="tx1"/>
            </w14:solidFill>
          </w14:textFill>
        </w:rPr>
        <w:t>当获取到西湖区其余面积的倾斜摄影三维模型数据时，需将数据进行融合</w:t>
      </w: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，完成整个西湖区行政区划范围内的CIM地图更新。</w:t>
      </w:r>
    </w:p>
    <w:p>
      <w:pPr>
        <w:pStyle w:val="774"/>
        <w:spacing w:line="360" w:lineRule="auto"/>
        <w:ind w:left="0" w:firstLine="424" w:firstLineChars="177"/>
        <w:rPr>
          <w:rFonts w:asciiTheme="minorEastAsia" w:hAnsiTheme="minorEastAsia" w:eastAsiaTheme="minorEastAsia" w:cstheme="minorEastAsia"/>
          <w:bCs/>
          <w:color w:val="000000" w:themeColor="text1"/>
          <w:kern w:val="2"/>
          <w:szCs w:val="24"/>
          <w:lang w:val="en-US"/>
          <w14:textFill>
            <w14:solidFill>
              <w14:schemeClr w14:val="tx1"/>
            </w14:solidFill>
          </w14:textFill>
        </w:rPr>
      </w:pPr>
      <w:r>
        <w:rPr>
          <w:rFonts w:hint="eastAsia" w:asciiTheme="minorEastAsia" w:hAnsiTheme="minorEastAsia" w:eastAsiaTheme="minorEastAsia" w:cstheme="minorEastAsia"/>
          <w:bCs/>
          <w:color w:val="000000" w:themeColor="text1"/>
          <w:kern w:val="2"/>
          <w:szCs w:val="24"/>
          <w:lang w:val="en-US"/>
          <w14:textFill>
            <w14:solidFill>
              <w14:schemeClr w14:val="tx1"/>
            </w14:solidFill>
          </w14:textFill>
        </w:rPr>
        <w:t>整合采集的数据，制作基于CGCS2000坐标系的、标准OSGB格式的倾斜摄影三维模型；修正模型数据，调配色调、清理碎片漂浮物、修复物理破面、修复运动物体干扰，形成合格的倾斜摄影数据成果。</w:t>
      </w:r>
    </w:p>
    <w:p>
      <w:pPr>
        <w:pStyle w:val="6"/>
        <w:numPr>
          <w:ilvl w:val="1"/>
          <w:numId w:val="4"/>
        </w:numPr>
        <w:tabs>
          <w:tab w:val="left" w:pos="360"/>
        </w:tabs>
        <w:spacing w:line="360" w:lineRule="auto"/>
        <w:ind w:left="567" w:hanging="420"/>
        <w:rPr>
          <w:rFonts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运营商人口数据接口</w:t>
      </w:r>
    </w:p>
    <w:p>
      <w:pP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提供不少于2年的运营商人口数据统计查询接口。</w:t>
      </w:r>
    </w:p>
    <w:tbl>
      <w:tblPr>
        <w:tblStyle w:val="62"/>
        <w:tblW w:w="8631" w:type="dxa"/>
        <w:tblInd w:w="0" w:type="dxa"/>
        <w:tblLayout w:type="fixed"/>
        <w:tblCellMar>
          <w:top w:w="0" w:type="dxa"/>
          <w:left w:w="108" w:type="dxa"/>
          <w:bottom w:w="0" w:type="dxa"/>
          <w:right w:w="108" w:type="dxa"/>
        </w:tblCellMar>
      </w:tblPr>
      <w:tblGrid>
        <w:gridCol w:w="3631"/>
        <w:gridCol w:w="5000"/>
      </w:tblGrid>
      <w:tr>
        <w:tblPrEx>
          <w:tblCellMar>
            <w:top w:w="0" w:type="dxa"/>
            <w:left w:w="108" w:type="dxa"/>
            <w:bottom w:w="0" w:type="dxa"/>
            <w:right w:w="108" w:type="dxa"/>
          </w:tblCellMar>
        </w:tblPrEx>
        <w:trPr>
          <w:trHeight w:val="276" w:hRule="atLeast"/>
        </w:trPr>
        <w:tc>
          <w:tcPr>
            <w:tcW w:w="36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接口名称</w:t>
            </w:r>
          </w:p>
        </w:tc>
        <w:tc>
          <w:tcPr>
            <w:tcW w:w="500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数据分类</w:t>
            </w:r>
          </w:p>
        </w:tc>
      </w:tr>
      <w:tr>
        <w:tblPrEx>
          <w:tblCellMar>
            <w:top w:w="0" w:type="dxa"/>
            <w:left w:w="108" w:type="dxa"/>
            <w:bottom w:w="0" w:type="dxa"/>
            <w:right w:w="108" w:type="dxa"/>
          </w:tblCellMar>
        </w:tblPrEx>
        <w:trPr>
          <w:trHeight w:val="576" w:hRule="atLeast"/>
        </w:trPr>
        <w:tc>
          <w:tcPr>
            <w:tcW w:w="363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区域客流实时人数</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区域实时人数数据</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区域实时常驻人数数据</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区域实时居住人数数据</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区域实时工作人数数据</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区域实时途经人数数据</w:t>
            </w:r>
          </w:p>
        </w:tc>
      </w:tr>
      <w:tr>
        <w:tblPrEx>
          <w:tblCellMar>
            <w:top w:w="0" w:type="dxa"/>
            <w:left w:w="108" w:type="dxa"/>
            <w:bottom w:w="0" w:type="dxa"/>
            <w:right w:w="108" w:type="dxa"/>
          </w:tblCellMar>
        </w:tblPrEx>
        <w:trPr>
          <w:trHeight w:val="576" w:hRule="atLeast"/>
        </w:trPr>
        <w:tc>
          <w:tcPr>
            <w:tcW w:w="363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区域客流分布</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区域实时热力数据</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区域历史热力数据</w:t>
            </w:r>
          </w:p>
        </w:tc>
      </w:tr>
      <w:tr>
        <w:tblPrEx>
          <w:tblCellMar>
            <w:top w:w="0" w:type="dxa"/>
            <w:left w:w="108" w:type="dxa"/>
            <w:bottom w:w="0" w:type="dxa"/>
            <w:right w:w="108" w:type="dxa"/>
          </w:tblCellMar>
        </w:tblPrEx>
        <w:trPr>
          <w:trHeight w:val="864" w:hRule="atLeast"/>
        </w:trPr>
        <w:tc>
          <w:tcPr>
            <w:tcW w:w="363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区域客实时流超标告警</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区域告警明细</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区域告警统计</w:t>
            </w:r>
          </w:p>
        </w:tc>
      </w:tr>
      <w:tr>
        <w:tblPrEx>
          <w:tblCellMar>
            <w:top w:w="0" w:type="dxa"/>
            <w:left w:w="108" w:type="dxa"/>
            <w:bottom w:w="0" w:type="dxa"/>
            <w:right w:w="108" w:type="dxa"/>
          </w:tblCellMar>
        </w:tblPrEx>
        <w:trPr>
          <w:trHeight w:val="576" w:hRule="atLeast"/>
        </w:trPr>
        <w:tc>
          <w:tcPr>
            <w:tcW w:w="363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区域客流实时趋势</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区域客流当天趋势</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区域户籍省份当天趋势</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区域户籍省份历史趋势</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区域客流分钟级工作日平均趋势</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区域客流分钟级周末日平均趋势</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区域客流分钟级节假日平均趋势</w:t>
            </w:r>
          </w:p>
        </w:tc>
      </w:tr>
      <w:tr>
        <w:tblPrEx>
          <w:tblCellMar>
            <w:top w:w="0" w:type="dxa"/>
            <w:left w:w="108" w:type="dxa"/>
            <w:bottom w:w="0" w:type="dxa"/>
            <w:right w:w="108" w:type="dxa"/>
          </w:tblCellMar>
        </w:tblPrEx>
        <w:trPr>
          <w:trHeight w:val="288" w:hRule="atLeast"/>
        </w:trPr>
        <w:tc>
          <w:tcPr>
            <w:tcW w:w="3631"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区域客流按天趋势</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区域按天趋势数据</w:t>
            </w:r>
          </w:p>
        </w:tc>
      </w:tr>
      <w:tr>
        <w:tblPrEx>
          <w:tblCellMar>
            <w:top w:w="0" w:type="dxa"/>
            <w:left w:w="108" w:type="dxa"/>
            <w:bottom w:w="0" w:type="dxa"/>
            <w:right w:w="108" w:type="dxa"/>
          </w:tblCellMar>
        </w:tblPrEx>
        <w:trPr>
          <w:trHeight w:val="576" w:hRule="atLeast"/>
        </w:trPr>
        <w:tc>
          <w:tcPr>
            <w:tcW w:w="3631"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 xml:space="preserve"> 区域客流实时年龄构成</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区域年龄构成</w:t>
            </w:r>
          </w:p>
        </w:tc>
      </w:tr>
      <w:tr>
        <w:tblPrEx>
          <w:tblCellMar>
            <w:top w:w="0" w:type="dxa"/>
            <w:left w:w="108" w:type="dxa"/>
            <w:bottom w:w="0" w:type="dxa"/>
            <w:right w:w="108" w:type="dxa"/>
          </w:tblCellMar>
        </w:tblPrEx>
        <w:trPr>
          <w:trHeight w:val="288" w:hRule="atLeast"/>
        </w:trPr>
        <w:tc>
          <w:tcPr>
            <w:tcW w:w="3631"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区域客流实时性别构成</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区域性别构成</w:t>
            </w:r>
          </w:p>
        </w:tc>
      </w:tr>
      <w:tr>
        <w:tblPrEx>
          <w:tblCellMar>
            <w:top w:w="0" w:type="dxa"/>
            <w:left w:w="108" w:type="dxa"/>
            <w:bottom w:w="0" w:type="dxa"/>
            <w:right w:w="108" w:type="dxa"/>
          </w:tblCellMar>
        </w:tblPrEx>
        <w:trPr>
          <w:trHeight w:val="288" w:hRule="atLeast"/>
        </w:trPr>
        <w:tc>
          <w:tcPr>
            <w:tcW w:w="3631"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区域客流实时国籍构成</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区域国籍构成</w:t>
            </w:r>
          </w:p>
        </w:tc>
      </w:tr>
      <w:tr>
        <w:tblPrEx>
          <w:tblCellMar>
            <w:top w:w="0" w:type="dxa"/>
            <w:left w:w="108" w:type="dxa"/>
            <w:bottom w:w="0" w:type="dxa"/>
            <w:right w:w="108" w:type="dxa"/>
          </w:tblCellMar>
        </w:tblPrEx>
        <w:trPr>
          <w:trHeight w:val="576" w:hRule="atLeast"/>
        </w:trPr>
        <w:tc>
          <w:tcPr>
            <w:tcW w:w="363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区域客流实时户籍地构成</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区域户籍地市构成</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区域户籍省份构成</w:t>
            </w:r>
          </w:p>
        </w:tc>
      </w:tr>
      <w:tr>
        <w:tblPrEx>
          <w:tblCellMar>
            <w:top w:w="0" w:type="dxa"/>
            <w:left w:w="108" w:type="dxa"/>
            <w:bottom w:w="0" w:type="dxa"/>
            <w:right w:w="108" w:type="dxa"/>
          </w:tblCellMar>
        </w:tblPrEx>
        <w:trPr>
          <w:trHeight w:val="576" w:hRule="atLeast"/>
        </w:trPr>
        <w:tc>
          <w:tcPr>
            <w:tcW w:w="363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区域客流实时来源地构成</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区域来源地市构成</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区域来源地市（指定省份）构成</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区域来源省份构成</w:t>
            </w:r>
          </w:p>
        </w:tc>
      </w:tr>
      <w:tr>
        <w:tblPrEx>
          <w:tblCellMar>
            <w:top w:w="0" w:type="dxa"/>
            <w:left w:w="108" w:type="dxa"/>
            <w:bottom w:w="0" w:type="dxa"/>
            <w:right w:w="108" w:type="dxa"/>
          </w:tblCellMar>
        </w:tblPrEx>
        <w:trPr>
          <w:trHeight w:val="576" w:hRule="atLeast"/>
        </w:trPr>
        <w:tc>
          <w:tcPr>
            <w:tcW w:w="3631"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区域客流实时网络类型构成</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区域网络类型构成</w:t>
            </w:r>
          </w:p>
        </w:tc>
      </w:tr>
      <w:tr>
        <w:tblPrEx>
          <w:tblCellMar>
            <w:top w:w="0" w:type="dxa"/>
            <w:left w:w="108" w:type="dxa"/>
            <w:bottom w:w="0" w:type="dxa"/>
            <w:right w:w="108" w:type="dxa"/>
          </w:tblCellMar>
        </w:tblPrEx>
        <w:trPr>
          <w:trHeight w:val="576" w:hRule="atLeast"/>
        </w:trPr>
        <w:tc>
          <w:tcPr>
            <w:tcW w:w="3631" w:type="dxa"/>
            <w:tcBorders>
              <w:top w:val="nil"/>
              <w:left w:val="single" w:color="auto" w:sz="4" w:space="0"/>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区域客流实时消费能力构成</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区域消费能力构成</w:t>
            </w:r>
          </w:p>
        </w:tc>
      </w:tr>
      <w:tr>
        <w:tblPrEx>
          <w:tblCellMar>
            <w:top w:w="0" w:type="dxa"/>
            <w:left w:w="108" w:type="dxa"/>
            <w:bottom w:w="0" w:type="dxa"/>
            <w:right w:w="108" w:type="dxa"/>
          </w:tblCellMar>
        </w:tblPrEx>
        <w:trPr>
          <w:trHeight w:val="288" w:hRule="atLeast"/>
        </w:trPr>
        <w:tc>
          <w:tcPr>
            <w:tcW w:w="363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区域客流驻留构成</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区域累计人数数据</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区域驻留类型构成</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区域实时驻留时长构成（分钟）</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区域实时驻留时长构成（小时）</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区域实时驻留时长构成（天）</w:t>
            </w:r>
          </w:p>
        </w:tc>
      </w:tr>
      <w:tr>
        <w:tblPrEx>
          <w:tblCellMar>
            <w:top w:w="0" w:type="dxa"/>
            <w:left w:w="108" w:type="dxa"/>
            <w:bottom w:w="0" w:type="dxa"/>
            <w:right w:w="108" w:type="dxa"/>
          </w:tblCellMar>
        </w:tblPrEx>
        <w:trPr>
          <w:trHeight w:val="576"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区域累计驻留时长（分钟级）构成信息</w:t>
            </w:r>
          </w:p>
        </w:tc>
      </w:tr>
      <w:tr>
        <w:tblPrEx>
          <w:tblCellMar>
            <w:top w:w="0" w:type="dxa"/>
            <w:left w:w="108" w:type="dxa"/>
            <w:bottom w:w="0" w:type="dxa"/>
            <w:right w:w="108" w:type="dxa"/>
          </w:tblCellMar>
        </w:tblPrEx>
        <w:trPr>
          <w:trHeight w:val="576"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区域累计驻留时长（小时级）构成信息</w:t>
            </w:r>
          </w:p>
        </w:tc>
      </w:tr>
      <w:tr>
        <w:tblPrEx>
          <w:tblCellMar>
            <w:top w:w="0" w:type="dxa"/>
            <w:left w:w="108" w:type="dxa"/>
            <w:bottom w:w="0" w:type="dxa"/>
            <w:right w:w="108" w:type="dxa"/>
          </w:tblCellMar>
        </w:tblPrEx>
        <w:trPr>
          <w:trHeight w:val="288" w:hRule="atLeast"/>
        </w:trPr>
        <w:tc>
          <w:tcPr>
            <w:tcW w:w="363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区域按天客流构成分析</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区域按天国籍构成</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区域按天居住地构成</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区域按天年龄构成</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区域按天工作地构成</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区域按天号码归属构成</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区域按天性别构成</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区域按天来源省份构成</w:t>
            </w:r>
          </w:p>
        </w:tc>
      </w:tr>
      <w:tr>
        <w:tblPrEx>
          <w:tblCellMar>
            <w:top w:w="0" w:type="dxa"/>
            <w:left w:w="108" w:type="dxa"/>
            <w:bottom w:w="0" w:type="dxa"/>
            <w:right w:w="108" w:type="dxa"/>
          </w:tblCellMar>
        </w:tblPrEx>
        <w:trPr>
          <w:trHeight w:val="576"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区域按天来源地市（指定省份）构成</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区域按天户籍省份构成</w:t>
            </w:r>
          </w:p>
        </w:tc>
      </w:tr>
      <w:tr>
        <w:tblPrEx>
          <w:tblCellMar>
            <w:top w:w="0" w:type="dxa"/>
            <w:left w:w="108" w:type="dxa"/>
            <w:bottom w:w="0" w:type="dxa"/>
            <w:right w:w="108" w:type="dxa"/>
          </w:tblCellMar>
        </w:tblPrEx>
        <w:trPr>
          <w:trHeight w:val="576"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区域按天户籍地市（指定省份）构成</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区域按天消费构成</w:t>
            </w:r>
          </w:p>
        </w:tc>
      </w:tr>
      <w:tr>
        <w:tblPrEx>
          <w:tblCellMar>
            <w:top w:w="0" w:type="dxa"/>
            <w:left w:w="108" w:type="dxa"/>
            <w:bottom w:w="0" w:type="dxa"/>
            <w:right w:w="108" w:type="dxa"/>
          </w:tblCellMar>
        </w:tblPrEx>
        <w:trPr>
          <w:trHeight w:val="576" w:hRule="atLeast"/>
        </w:trPr>
        <w:tc>
          <w:tcPr>
            <w:tcW w:w="3631" w:type="dxa"/>
            <w:vMerge w:val="restart"/>
            <w:tcBorders>
              <w:top w:val="nil"/>
              <w:left w:val="single" w:color="auto" w:sz="4" w:space="0"/>
              <w:bottom w:val="single" w:color="000000"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区域累计人群构成</w:t>
            </w: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区域累计人群客源地构成信息（客源省份）</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区域累计游客人数数据</w:t>
            </w:r>
          </w:p>
        </w:tc>
      </w:tr>
      <w:tr>
        <w:tblPrEx>
          <w:tblCellMar>
            <w:top w:w="0" w:type="dxa"/>
            <w:left w:w="108" w:type="dxa"/>
            <w:bottom w:w="0" w:type="dxa"/>
            <w:right w:w="108" w:type="dxa"/>
          </w:tblCellMar>
        </w:tblPrEx>
        <w:trPr>
          <w:trHeight w:val="576"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区域累计人群客源地按号段省份构成信息（客源地市）</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区域累计居住人数数据</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 xml:space="preserve">区域累计常驻人数数据 </w:t>
            </w:r>
          </w:p>
        </w:tc>
      </w:tr>
      <w:tr>
        <w:tblPrEx>
          <w:tblCellMar>
            <w:top w:w="0" w:type="dxa"/>
            <w:left w:w="108" w:type="dxa"/>
            <w:bottom w:w="0" w:type="dxa"/>
            <w:right w:w="108" w:type="dxa"/>
          </w:tblCellMar>
        </w:tblPrEx>
        <w:trPr>
          <w:trHeight w:val="288" w:hRule="atLeast"/>
        </w:trPr>
        <w:tc>
          <w:tcPr>
            <w:tcW w:w="3631" w:type="dxa"/>
            <w:vMerge w:val="continue"/>
            <w:tcBorders>
              <w:top w:val="nil"/>
              <w:left w:val="single" w:color="auto" w:sz="4" w:space="0"/>
              <w:bottom w:val="single" w:color="000000" w:sz="4" w:space="0"/>
              <w:right w:val="single" w:color="auto" w:sz="4" w:space="0"/>
            </w:tcBorders>
            <w:vAlign w:val="center"/>
          </w:tcPr>
          <w:p>
            <w:pPr>
              <w:widowControl/>
              <w:adjustRightInd/>
              <w:jc w:val="left"/>
              <w:rPr>
                <w:rFonts w:asciiTheme="minorEastAsia" w:hAnsiTheme="minorEastAsia" w:eastAsiaTheme="minorEastAsia" w:cstheme="minorEastAsia"/>
                <w:color w:val="000000" w:themeColor="text1"/>
                <w:kern w:val="0"/>
                <w:sz w:val="24"/>
                <w14:textFill>
                  <w14:solidFill>
                    <w14:schemeClr w14:val="tx1"/>
                  </w14:solidFill>
                </w14:textFill>
              </w:rPr>
            </w:pPr>
          </w:p>
        </w:tc>
        <w:tc>
          <w:tcPr>
            <w:tcW w:w="5000" w:type="dxa"/>
            <w:tcBorders>
              <w:top w:val="nil"/>
              <w:left w:val="nil"/>
              <w:bottom w:val="single" w:color="auto" w:sz="4" w:space="0"/>
              <w:right w:val="single" w:color="auto" w:sz="4" w:space="0"/>
            </w:tcBorders>
            <w:shd w:val="clear" w:color="auto" w:fill="auto"/>
            <w:vAlign w:val="center"/>
          </w:tcPr>
          <w:p>
            <w:pPr>
              <w:widowControl/>
              <w:adjustRightInd/>
              <w:jc w:val="center"/>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区域累计工作人数数据</w:t>
            </w:r>
          </w:p>
        </w:tc>
      </w:tr>
    </w:tbl>
    <w:p>
      <w:pPr>
        <w:rPr>
          <w:rFonts w:asciiTheme="minorEastAsia" w:hAnsiTheme="minorEastAsia" w:eastAsiaTheme="minorEastAsia" w:cstheme="minorEastAsia"/>
          <w:color w:val="000000" w:themeColor="text1"/>
          <w:sz w:val="24"/>
          <w14:textFill>
            <w14:solidFill>
              <w14:schemeClr w14:val="tx1"/>
            </w14:solidFill>
          </w14:textFill>
        </w:rPr>
      </w:pPr>
    </w:p>
    <w:p>
      <w:pPr>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三、实施要求</w:t>
      </w:r>
    </w:p>
    <w:p>
      <w:pPr>
        <w:spacing w:line="360" w:lineRule="auto"/>
        <w:ind w:firstLine="482" w:firstLineChars="200"/>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项目开发建设工期为90天，试运行1个月。</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项目组应包含实施本项目所</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必需的</w:t>
      </w:r>
      <w:r>
        <w:rPr>
          <w:rFonts w:hint="eastAsia" w:asciiTheme="minorEastAsia" w:hAnsiTheme="minorEastAsia" w:eastAsiaTheme="minorEastAsia" w:cstheme="minorEastAsia"/>
          <w:bCs/>
          <w:color w:val="000000" w:themeColor="text1"/>
          <w:sz w:val="24"/>
          <w14:textFill>
            <w14:solidFill>
              <w14:schemeClr w14:val="tx1"/>
            </w14:solidFill>
          </w14:textFill>
        </w:rPr>
        <w:t>各类技术和管理人员。</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项目团队成员中至少具备1名高级数据治理技术专家认证、1名高级数据仓开发专家认证、1名高级实景建模应用工程师、1名cim技术应用工程师。</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项目实施过程中，项目经理和项目组主要成员不得擅自更换，如需更换需经采购人同意。</w:t>
      </w:r>
    </w:p>
    <w:p>
      <w:pPr>
        <w:pStyle w:val="2"/>
        <w:spacing w:line="360" w:lineRule="auto"/>
        <w:ind w:left="0" w:leftChars="0" w:firstLine="444" w:firstLineChars="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本项目需完成与区值班值守、楼宇经济、疫情防控、未来社区等数字三维系统的对接，提供详细的对接方案。</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对接方案中有对实施可能</w:t>
      </w:r>
      <w:r>
        <w:rPr>
          <w:rFonts w:hint="eastAsia" w:asciiTheme="minorEastAsia" w:hAnsiTheme="minorEastAsia" w:eastAsiaTheme="minorEastAsia" w:cstheme="minorEastAsia"/>
          <w:bCs/>
          <w:color w:val="000000" w:themeColor="text1"/>
          <w:sz w:val="24"/>
          <w14:textFill>
            <w14:solidFill>
              <w14:schemeClr w14:val="tx1"/>
            </w14:solidFill>
          </w14:textFill>
        </w:rPr>
        <w:t>遇到</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的问题及其应对</w:t>
      </w:r>
      <w:r>
        <w:rPr>
          <w:rFonts w:hint="eastAsia" w:asciiTheme="minorEastAsia" w:hAnsiTheme="minorEastAsia" w:eastAsiaTheme="minorEastAsia" w:cstheme="minorEastAsia"/>
          <w:bCs/>
          <w:color w:val="000000" w:themeColor="text1"/>
          <w:sz w:val="24"/>
          <w14:textFill>
            <w14:solidFill>
              <w14:schemeClr w14:val="tx1"/>
            </w14:solidFill>
          </w14:textFill>
        </w:rPr>
        <w:t xml:space="preserve">措施的描述（指图层资源复用）。 </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本项目还需考虑其他各类区级平台接入cim地图平台的情况，应提供CIM平台开发指南等技术规范，技术规范中有对实施可能遇到的技术问题及其应对措施的考虑。</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本项目需符合省市应用工厂代码托管要求。</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项目需通过等保2级认证，费用由中标人承担。</w:t>
      </w:r>
    </w:p>
    <w:p>
      <w:pPr>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四、质量保证</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投标人须保证所提供产品符合国家有关规定。投标人须保证所提供产品具有合法的版权或使用权，本项目采购的产品，如在本项目范围内使用过程中出现版权或使用权纠纷，应由中标人负责，采购人不承担责任。</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2.投标人必须保证解决项目所涉及的技术问题，如因技术原因无法满足用户需求，由此产生的风险由应标方承担。</w:t>
      </w:r>
    </w:p>
    <w:p>
      <w:pPr>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五、服务要求</w:t>
      </w:r>
    </w:p>
    <w:p>
      <w:pPr>
        <w:spacing w:line="360" w:lineRule="auto"/>
        <w:ind w:firstLine="480" w:firstLineChars="200"/>
        <w:jc w:val="left"/>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项目售后服务要求。本项目需提供3年的免费维护期，维护期从验收合格之日开始计算。维护期内所有的系统维护服务提供</w:t>
      </w:r>
      <w:r>
        <w:rPr>
          <w:rFonts w:hint="eastAsia" w:asciiTheme="minorEastAsia" w:hAnsiTheme="minorEastAsia" w:eastAsiaTheme="minorEastAsia" w:cstheme="minorEastAsia"/>
          <w:color w:val="000000" w:themeColor="text1"/>
          <w:sz w:val="24"/>
          <w14:textFill>
            <w14:solidFill>
              <w14:schemeClr w14:val="tx1"/>
            </w14:solidFill>
          </w14:textFill>
        </w:rPr>
        <w:t>7×24</w:t>
      </w:r>
      <w:r>
        <w:rPr>
          <w:rFonts w:hint="eastAsia" w:asciiTheme="minorEastAsia" w:hAnsiTheme="minorEastAsia" w:eastAsiaTheme="minorEastAsia" w:cstheme="minorEastAsia"/>
          <w:bCs/>
          <w:color w:val="000000" w:themeColor="text1"/>
          <w:sz w:val="24"/>
          <w14:textFill>
            <w14:solidFill>
              <w14:schemeClr w14:val="tx1"/>
            </w14:solidFill>
          </w14:textFill>
        </w:rPr>
        <w:t>小时远程服务，</w:t>
      </w:r>
      <w:r>
        <w:rPr>
          <w:rFonts w:asciiTheme="minorEastAsia" w:hAnsiTheme="minorEastAsia" w:eastAsiaTheme="minorEastAsia" w:cstheme="minorEastAsia"/>
          <w:bCs/>
          <w:color w:val="000000" w:themeColor="text1"/>
          <w:sz w:val="24"/>
          <w14:textFill>
            <w14:solidFill>
              <w14:schemeClr w14:val="tx1"/>
            </w14:solidFill>
          </w14:textFill>
        </w:rPr>
        <w:t>3</w:t>
      </w:r>
      <w:r>
        <w:rPr>
          <w:rFonts w:hint="eastAsia" w:asciiTheme="minorEastAsia" w:hAnsiTheme="minorEastAsia" w:eastAsiaTheme="minorEastAsia" w:cstheme="minorEastAsia"/>
          <w:bCs/>
          <w:color w:val="000000" w:themeColor="text1"/>
          <w:sz w:val="24"/>
          <w14:textFill>
            <w14:solidFill>
              <w14:schemeClr w14:val="tx1"/>
            </w14:solidFill>
          </w14:textFill>
        </w:rPr>
        <w:t>小时远程无法解决的问题需进行上门服务。</w:t>
      </w:r>
    </w:p>
    <w:p>
      <w:pPr>
        <w:pStyle w:val="2"/>
        <w:ind w:left="0" w:leftChars="0" w:firstLine="420"/>
      </w:pPr>
      <w:r>
        <w:rPr>
          <w:rFonts w:hint="eastAsia"/>
        </w:rPr>
        <w:t>中标人需为采购人提供相应的系统操作培训、日常维护系统培训。</w:t>
      </w:r>
    </w:p>
    <w:p>
      <w:pPr>
        <w:pStyle w:val="2"/>
        <w:ind w:firstLine="420"/>
        <w:sectPr>
          <w:headerReference r:id="rId9" w:type="first"/>
          <w:footerReference r:id="rId12" w:type="first"/>
          <w:headerReference r:id="rId8" w:type="default"/>
          <w:footerReference r:id="rId10" w:type="default"/>
          <w:footerReference r:id="rId11" w:type="even"/>
          <w:pgSz w:w="11906" w:h="16838"/>
          <w:pgMar w:top="1276" w:right="1418" w:bottom="1276" w:left="1418" w:header="851" w:footer="992" w:gutter="0"/>
          <w:cols w:space="720" w:num="1"/>
          <w:titlePg/>
          <w:docGrid w:linePitch="312" w:charSpace="0"/>
        </w:sectPr>
      </w:pPr>
    </w:p>
    <w:p>
      <w:pPr>
        <w:snapToGrid w:val="0"/>
        <w:spacing w:line="360" w:lineRule="auto"/>
        <w:ind w:firstLine="2891" w:firstLineChars="800"/>
        <w:rPr>
          <w:rFonts w:ascii="宋体" w:hAnsi="宋体" w:cs="宋体"/>
          <w:b/>
          <w:sz w:val="32"/>
          <w:szCs w:val="20"/>
        </w:rPr>
      </w:pPr>
      <w:r>
        <w:rPr>
          <w:rFonts w:hint="eastAsia" w:ascii="宋体" w:hAnsi="宋体" w:cs="宋体"/>
          <w:b/>
          <w:sz w:val="36"/>
          <w:szCs w:val="36"/>
        </w:rPr>
        <w:t xml:space="preserve">第四部分  </w:t>
      </w:r>
      <w:bookmarkStart w:id="35" w:name="_Toc184312075"/>
      <w:bookmarkEnd w:id="35"/>
      <w:bookmarkStart w:id="36" w:name="_Toc184312091"/>
      <w:bookmarkEnd w:id="36"/>
      <w:bookmarkStart w:id="37" w:name="_Toc184314434"/>
      <w:bookmarkEnd w:id="37"/>
      <w:bookmarkStart w:id="38" w:name="_Toc184310275"/>
      <w:bookmarkEnd w:id="38"/>
      <w:bookmarkStart w:id="39" w:name="_Toc184314470"/>
      <w:bookmarkEnd w:id="39"/>
      <w:bookmarkStart w:id="40" w:name="_Toc184308081"/>
      <w:bookmarkEnd w:id="40"/>
      <w:bookmarkStart w:id="41" w:name="_Toc184312117"/>
      <w:bookmarkEnd w:id="41"/>
      <w:bookmarkStart w:id="42" w:name="_Toc184310303"/>
      <w:bookmarkEnd w:id="42"/>
      <w:bookmarkStart w:id="43" w:name="_Toc184312089"/>
      <w:bookmarkEnd w:id="43"/>
      <w:bookmarkStart w:id="44" w:name="_Toc184310333"/>
      <w:bookmarkEnd w:id="44"/>
      <w:bookmarkStart w:id="45" w:name="_Toc184312134"/>
      <w:bookmarkEnd w:id="45"/>
      <w:bookmarkStart w:id="46" w:name="_Toc184313270"/>
      <w:bookmarkEnd w:id="46"/>
      <w:bookmarkStart w:id="47" w:name="_Toc184314427"/>
      <w:bookmarkEnd w:id="47"/>
      <w:bookmarkStart w:id="48" w:name="_Toc184308092"/>
      <w:bookmarkEnd w:id="48"/>
      <w:bookmarkStart w:id="49" w:name="_Toc184314476"/>
      <w:bookmarkEnd w:id="49"/>
      <w:bookmarkStart w:id="50" w:name="_Toc184313308"/>
      <w:bookmarkEnd w:id="50"/>
      <w:bookmarkStart w:id="51" w:name="_Toc184314432"/>
      <w:bookmarkEnd w:id="51"/>
      <w:bookmarkStart w:id="52" w:name="_Toc184308094"/>
      <w:bookmarkEnd w:id="52"/>
      <w:bookmarkStart w:id="53" w:name="_Toc184310294"/>
      <w:bookmarkEnd w:id="53"/>
      <w:bookmarkStart w:id="54" w:name="_Toc184313239"/>
      <w:bookmarkEnd w:id="54"/>
      <w:bookmarkStart w:id="55" w:name="_Toc184308082"/>
      <w:bookmarkEnd w:id="55"/>
      <w:bookmarkStart w:id="56" w:name="_Toc184312097"/>
      <w:bookmarkEnd w:id="56"/>
      <w:bookmarkStart w:id="57" w:name="_Toc184310304"/>
      <w:bookmarkEnd w:id="57"/>
      <w:bookmarkStart w:id="58" w:name="_Toc184312119"/>
      <w:bookmarkEnd w:id="58"/>
      <w:bookmarkStart w:id="59" w:name="_Toc184310272"/>
      <w:bookmarkEnd w:id="59"/>
      <w:bookmarkStart w:id="60" w:name="_Toc184312112"/>
      <w:bookmarkEnd w:id="60"/>
      <w:bookmarkStart w:id="61" w:name="_Toc184313254"/>
      <w:bookmarkEnd w:id="61"/>
      <w:bookmarkStart w:id="62" w:name="_Toc184314465"/>
      <w:bookmarkEnd w:id="62"/>
      <w:bookmarkStart w:id="63" w:name="_Toc184313278"/>
      <w:bookmarkEnd w:id="63"/>
      <w:bookmarkStart w:id="64" w:name="_Toc184312108"/>
      <w:bookmarkEnd w:id="64"/>
      <w:bookmarkStart w:id="65" w:name="_Toc184310339"/>
      <w:bookmarkEnd w:id="65"/>
      <w:bookmarkStart w:id="66" w:name="_Toc184308099"/>
      <w:bookmarkEnd w:id="66"/>
      <w:bookmarkStart w:id="67" w:name="_Toc184310316"/>
      <w:bookmarkEnd w:id="67"/>
      <w:bookmarkStart w:id="68" w:name="_Toc184313246"/>
      <w:bookmarkEnd w:id="68"/>
      <w:bookmarkStart w:id="69" w:name="_Toc184310301"/>
      <w:bookmarkEnd w:id="69"/>
      <w:bookmarkStart w:id="70" w:name="_Toc184312087"/>
      <w:bookmarkEnd w:id="70"/>
      <w:bookmarkStart w:id="71" w:name="_Toc184308059"/>
      <w:bookmarkEnd w:id="71"/>
      <w:bookmarkStart w:id="72" w:name="_Toc184314477"/>
      <w:bookmarkEnd w:id="72"/>
      <w:bookmarkStart w:id="73" w:name="_Toc184310278"/>
      <w:bookmarkEnd w:id="73"/>
      <w:bookmarkStart w:id="74" w:name="_Toc184314425"/>
      <w:bookmarkEnd w:id="74"/>
      <w:bookmarkStart w:id="75" w:name="_Toc184308055"/>
      <w:bookmarkEnd w:id="75"/>
      <w:bookmarkStart w:id="76" w:name="_Toc184313248"/>
      <w:bookmarkEnd w:id="76"/>
      <w:bookmarkStart w:id="77" w:name="_Toc184308061"/>
      <w:bookmarkEnd w:id="77"/>
      <w:bookmarkStart w:id="78" w:name="_Toc184312106"/>
      <w:bookmarkEnd w:id="78"/>
      <w:bookmarkStart w:id="79" w:name="_Toc184312111"/>
      <w:bookmarkEnd w:id="79"/>
      <w:bookmarkStart w:id="80" w:name="_Toc184310280"/>
      <w:bookmarkEnd w:id="80"/>
      <w:bookmarkStart w:id="81" w:name="_Toc184313259"/>
      <w:bookmarkEnd w:id="81"/>
      <w:bookmarkStart w:id="82" w:name="_Toc184312124"/>
      <w:bookmarkEnd w:id="82"/>
      <w:bookmarkStart w:id="83" w:name="_Toc184313257"/>
      <w:bookmarkEnd w:id="83"/>
      <w:bookmarkStart w:id="84" w:name="_Toc184308083"/>
      <w:bookmarkEnd w:id="84"/>
      <w:bookmarkStart w:id="85" w:name="_Toc184310336"/>
      <w:bookmarkEnd w:id="85"/>
      <w:bookmarkStart w:id="86" w:name="_Toc184312074"/>
      <w:bookmarkEnd w:id="86"/>
      <w:bookmarkStart w:id="87" w:name="_Toc184312092"/>
      <w:bookmarkEnd w:id="87"/>
      <w:bookmarkStart w:id="88" w:name="_Toc184314419"/>
      <w:bookmarkEnd w:id="88"/>
      <w:bookmarkStart w:id="89" w:name="_Toc184313290"/>
      <w:bookmarkEnd w:id="89"/>
      <w:bookmarkStart w:id="90" w:name="_Toc184313294"/>
      <w:bookmarkEnd w:id="90"/>
      <w:bookmarkStart w:id="91" w:name="_Toc184308087"/>
      <w:bookmarkEnd w:id="91"/>
      <w:bookmarkStart w:id="92" w:name="_Toc184308041"/>
      <w:bookmarkEnd w:id="92"/>
      <w:bookmarkStart w:id="93" w:name="_Toc184310329"/>
      <w:bookmarkEnd w:id="93"/>
      <w:bookmarkStart w:id="94" w:name="_Toc184314437"/>
      <w:bookmarkEnd w:id="94"/>
      <w:bookmarkStart w:id="95" w:name="_Toc184314462"/>
      <w:bookmarkEnd w:id="95"/>
      <w:bookmarkStart w:id="96" w:name="_Toc184310279"/>
      <w:bookmarkEnd w:id="96"/>
      <w:bookmarkStart w:id="97" w:name="_Toc184313280"/>
      <w:bookmarkEnd w:id="97"/>
      <w:bookmarkStart w:id="98" w:name="_Toc184312090"/>
      <w:bookmarkEnd w:id="98"/>
      <w:bookmarkStart w:id="99" w:name="_Toc184310309"/>
      <w:bookmarkEnd w:id="99"/>
      <w:bookmarkStart w:id="100" w:name="_Toc184314464"/>
      <w:bookmarkEnd w:id="100"/>
      <w:bookmarkStart w:id="101" w:name="_Toc184310344"/>
      <w:bookmarkEnd w:id="101"/>
      <w:bookmarkStart w:id="102" w:name="_Toc184313265"/>
      <w:bookmarkEnd w:id="102"/>
      <w:bookmarkStart w:id="103" w:name="_Toc184313301"/>
      <w:bookmarkEnd w:id="103"/>
      <w:bookmarkStart w:id="104" w:name="_Toc184308038"/>
      <w:bookmarkEnd w:id="104"/>
      <w:bookmarkStart w:id="105" w:name="_Toc184312120"/>
      <w:bookmarkEnd w:id="105"/>
      <w:bookmarkStart w:id="106" w:name="_Toc184310330"/>
      <w:bookmarkEnd w:id="106"/>
      <w:bookmarkStart w:id="107" w:name="_Toc184314481"/>
      <w:bookmarkEnd w:id="107"/>
      <w:bookmarkStart w:id="108" w:name="_Toc184314451"/>
      <w:bookmarkEnd w:id="108"/>
      <w:bookmarkStart w:id="109" w:name="_Toc184308108"/>
      <w:bookmarkEnd w:id="109"/>
      <w:bookmarkStart w:id="110" w:name="_Toc184312093"/>
      <w:bookmarkEnd w:id="110"/>
      <w:bookmarkStart w:id="111" w:name="_Toc184313247"/>
      <w:bookmarkEnd w:id="111"/>
      <w:bookmarkStart w:id="112" w:name="_Toc184310314"/>
      <w:bookmarkEnd w:id="112"/>
      <w:bookmarkStart w:id="113" w:name="_Toc184308045"/>
      <w:bookmarkEnd w:id="113"/>
      <w:bookmarkStart w:id="114" w:name="_Toc184312136"/>
      <w:bookmarkEnd w:id="114"/>
      <w:bookmarkStart w:id="115" w:name="_Toc184308077"/>
      <w:bookmarkEnd w:id="115"/>
      <w:bookmarkStart w:id="116" w:name="_Toc184310312"/>
      <w:bookmarkEnd w:id="116"/>
      <w:bookmarkStart w:id="117" w:name="_Toc184310293"/>
      <w:bookmarkEnd w:id="117"/>
      <w:bookmarkStart w:id="118" w:name="_Toc184314459"/>
      <w:bookmarkEnd w:id="118"/>
      <w:bookmarkStart w:id="119" w:name="_Toc184312095"/>
      <w:bookmarkEnd w:id="119"/>
      <w:bookmarkStart w:id="120" w:name="_Toc184314463"/>
      <w:bookmarkEnd w:id="120"/>
      <w:bookmarkStart w:id="121" w:name="_Toc184313304"/>
      <w:bookmarkEnd w:id="121"/>
      <w:bookmarkStart w:id="122" w:name="_Toc184314447"/>
      <w:bookmarkEnd w:id="122"/>
      <w:bookmarkStart w:id="123" w:name="_Toc184314445"/>
      <w:bookmarkEnd w:id="123"/>
      <w:bookmarkStart w:id="124" w:name="_Toc184312082"/>
      <w:bookmarkEnd w:id="124"/>
      <w:bookmarkStart w:id="125" w:name="_Toc184314479"/>
      <w:bookmarkEnd w:id="125"/>
      <w:bookmarkStart w:id="126" w:name="_Toc184310341"/>
      <w:bookmarkEnd w:id="126"/>
      <w:bookmarkStart w:id="127" w:name="_Toc184308105"/>
      <w:bookmarkEnd w:id="127"/>
      <w:bookmarkStart w:id="128" w:name="_Toc184308043"/>
      <w:bookmarkEnd w:id="128"/>
      <w:bookmarkStart w:id="129" w:name="_Toc184310342"/>
      <w:bookmarkEnd w:id="129"/>
      <w:bookmarkStart w:id="130" w:name="_Toc184308088"/>
      <w:bookmarkEnd w:id="130"/>
      <w:bookmarkStart w:id="131" w:name="_Toc184310289"/>
      <w:bookmarkEnd w:id="131"/>
      <w:bookmarkStart w:id="132" w:name="_Toc184312085"/>
      <w:bookmarkEnd w:id="132"/>
      <w:bookmarkStart w:id="133" w:name="_Toc184313303"/>
      <w:bookmarkEnd w:id="133"/>
      <w:bookmarkStart w:id="134" w:name="_Toc184314426"/>
      <w:bookmarkEnd w:id="134"/>
      <w:bookmarkStart w:id="135" w:name="_Toc184314467"/>
      <w:bookmarkEnd w:id="135"/>
      <w:bookmarkStart w:id="136" w:name="_Toc184314429"/>
      <w:bookmarkEnd w:id="136"/>
      <w:bookmarkStart w:id="137" w:name="_Toc184314413"/>
      <w:bookmarkEnd w:id="137"/>
      <w:bookmarkStart w:id="138" w:name="_Toc184310282"/>
      <w:bookmarkEnd w:id="138"/>
      <w:bookmarkStart w:id="139" w:name="_Toc184310322"/>
      <w:bookmarkEnd w:id="139"/>
      <w:bookmarkStart w:id="140" w:name="_Toc184314452"/>
      <w:bookmarkEnd w:id="140"/>
      <w:bookmarkStart w:id="141" w:name="_Toc184313302"/>
      <w:bookmarkEnd w:id="141"/>
      <w:bookmarkStart w:id="142" w:name="_Toc184313238"/>
      <w:bookmarkEnd w:id="142"/>
      <w:bookmarkStart w:id="143" w:name="_Toc184308047"/>
      <w:bookmarkEnd w:id="143"/>
      <w:bookmarkStart w:id="144" w:name="_Toc184308098"/>
      <w:bookmarkEnd w:id="144"/>
      <w:bookmarkStart w:id="145" w:name="_Toc184313305"/>
      <w:bookmarkEnd w:id="145"/>
      <w:bookmarkStart w:id="146" w:name="_Toc184310328"/>
      <w:bookmarkEnd w:id="146"/>
      <w:bookmarkStart w:id="147" w:name="_Toc184310300"/>
      <w:bookmarkEnd w:id="147"/>
      <w:bookmarkStart w:id="148" w:name="_Toc184314450"/>
      <w:bookmarkEnd w:id="148"/>
      <w:bookmarkStart w:id="149" w:name="_Toc184314441"/>
      <w:bookmarkEnd w:id="149"/>
      <w:bookmarkStart w:id="150" w:name="_Toc184313275"/>
      <w:bookmarkEnd w:id="150"/>
      <w:bookmarkStart w:id="151" w:name="_Toc184312070"/>
      <w:bookmarkEnd w:id="151"/>
      <w:bookmarkStart w:id="152" w:name="_Toc184308052"/>
      <w:bookmarkEnd w:id="152"/>
      <w:bookmarkStart w:id="153" w:name="_Toc184310306"/>
      <w:bookmarkEnd w:id="153"/>
      <w:bookmarkStart w:id="154" w:name="_Toc184313252"/>
      <w:bookmarkEnd w:id="154"/>
      <w:bookmarkStart w:id="155" w:name="_Toc184313293"/>
      <w:bookmarkEnd w:id="155"/>
      <w:bookmarkStart w:id="156" w:name="_Toc184312126"/>
      <w:bookmarkEnd w:id="156"/>
      <w:bookmarkStart w:id="157" w:name="_Toc184310307"/>
      <w:bookmarkEnd w:id="157"/>
      <w:bookmarkStart w:id="158" w:name="_Toc184313260"/>
      <w:bookmarkEnd w:id="158"/>
      <w:bookmarkStart w:id="159" w:name="_Toc184310320"/>
      <w:bookmarkEnd w:id="159"/>
      <w:bookmarkStart w:id="160" w:name="_Toc184314472"/>
      <w:bookmarkEnd w:id="160"/>
      <w:bookmarkStart w:id="161" w:name="_Toc184313251"/>
      <w:bookmarkEnd w:id="161"/>
      <w:bookmarkStart w:id="162" w:name="_Toc184310334"/>
      <w:bookmarkEnd w:id="162"/>
      <w:bookmarkStart w:id="163" w:name="_Toc184314448"/>
      <w:bookmarkEnd w:id="163"/>
      <w:bookmarkStart w:id="164" w:name="_Toc184314440"/>
      <w:bookmarkEnd w:id="164"/>
      <w:bookmarkStart w:id="165" w:name="_Toc184312105"/>
      <w:bookmarkEnd w:id="165"/>
      <w:bookmarkStart w:id="166" w:name="_Toc184314471"/>
      <w:bookmarkEnd w:id="166"/>
      <w:bookmarkStart w:id="167" w:name="_Toc184313269"/>
      <w:bookmarkEnd w:id="167"/>
      <w:bookmarkStart w:id="168" w:name="_Toc184308071"/>
      <w:bookmarkEnd w:id="168"/>
      <w:bookmarkStart w:id="169" w:name="_Toc184312100"/>
      <w:bookmarkEnd w:id="169"/>
      <w:bookmarkStart w:id="170" w:name="_Toc184314436"/>
      <w:bookmarkEnd w:id="170"/>
      <w:bookmarkStart w:id="171" w:name="_Toc184314469"/>
      <w:bookmarkEnd w:id="171"/>
      <w:bookmarkStart w:id="172" w:name="_Toc184310319"/>
      <w:bookmarkEnd w:id="172"/>
      <w:bookmarkStart w:id="173" w:name="_Toc184310335"/>
      <w:bookmarkEnd w:id="173"/>
      <w:bookmarkStart w:id="174" w:name="_Toc184313283"/>
      <w:bookmarkEnd w:id="174"/>
      <w:bookmarkStart w:id="175" w:name="_Toc184313277"/>
      <w:bookmarkEnd w:id="175"/>
      <w:bookmarkStart w:id="176" w:name="_Toc184308051"/>
      <w:bookmarkEnd w:id="176"/>
      <w:bookmarkStart w:id="177" w:name="_Toc184313245"/>
      <w:bookmarkEnd w:id="177"/>
      <w:bookmarkStart w:id="178" w:name="_Toc184310310"/>
      <w:bookmarkEnd w:id="178"/>
      <w:bookmarkStart w:id="179" w:name="_Toc184310288"/>
      <w:bookmarkEnd w:id="179"/>
      <w:bookmarkStart w:id="180" w:name="_Toc184308086"/>
      <w:bookmarkEnd w:id="180"/>
      <w:bookmarkStart w:id="181" w:name="_Toc184310283"/>
      <w:bookmarkEnd w:id="181"/>
      <w:bookmarkStart w:id="182" w:name="_Toc184314424"/>
      <w:bookmarkEnd w:id="182"/>
      <w:bookmarkStart w:id="183" w:name="_Toc184313296"/>
      <w:bookmarkEnd w:id="183"/>
      <w:bookmarkStart w:id="184" w:name="_Toc184310296"/>
      <w:bookmarkEnd w:id="184"/>
      <w:bookmarkStart w:id="185" w:name="_Toc184312080"/>
      <w:bookmarkEnd w:id="185"/>
      <w:bookmarkStart w:id="186" w:name="_Toc184308076"/>
      <w:bookmarkEnd w:id="186"/>
      <w:bookmarkStart w:id="187" w:name="_Toc184310297"/>
      <w:bookmarkEnd w:id="187"/>
      <w:bookmarkStart w:id="188" w:name="_Toc184313307"/>
      <w:bookmarkEnd w:id="188"/>
      <w:bookmarkStart w:id="189" w:name="_Toc184312072"/>
      <w:bookmarkEnd w:id="189"/>
      <w:bookmarkStart w:id="190" w:name="_Toc184314454"/>
      <w:bookmarkEnd w:id="190"/>
      <w:bookmarkStart w:id="191" w:name="_Toc184314456"/>
      <w:bookmarkEnd w:id="191"/>
      <w:bookmarkStart w:id="192" w:name="_Toc184314444"/>
      <w:bookmarkEnd w:id="192"/>
      <w:bookmarkStart w:id="193" w:name="_Toc184312069"/>
      <w:bookmarkEnd w:id="193"/>
      <w:bookmarkStart w:id="194" w:name="_Toc184308095"/>
      <w:bookmarkEnd w:id="194"/>
      <w:bookmarkStart w:id="195" w:name="_Toc184313286"/>
      <w:bookmarkEnd w:id="195"/>
      <w:bookmarkStart w:id="196" w:name="_Toc184308069"/>
      <w:bookmarkEnd w:id="196"/>
      <w:bookmarkStart w:id="197" w:name="_Toc184313272"/>
      <w:bookmarkEnd w:id="197"/>
      <w:bookmarkStart w:id="198" w:name="_Toc184314449"/>
      <w:bookmarkEnd w:id="198"/>
      <w:bookmarkStart w:id="199" w:name="_Toc184314414"/>
      <w:bookmarkEnd w:id="199"/>
      <w:bookmarkStart w:id="200" w:name="_Toc184308080"/>
      <w:bookmarkEnd w:id="200"/>
      <w:bookmarkStart w:id="201" w:name="_Toc184310313"/>
      <w:bookmarkEnd w:id="201"/>
      <w:bookmarkStart w:id="202" w:name="_Toc184313268"/>
      <w:bookmarkEnd w:id="202"/>
      <w:bookmarkStart w:id="203" w:name="_Toc184308079"/>
      <w:bookmarkEnd w:id="203"/>
      <w:bookmarkStart w:id="204" w:name="_Toc184310299"/>
      <w:bookmarkEnd w:id="204"/>
      <w:bookmarkStart w:id="205" w:name="_Toc184310343"/>
      <w:bookmarkEnd w:id="205"/>
      <w:bookmarkStart w:id="206" w:name="_Toc184313288"/>
      <w:bookmarkEnd w:id="206"/>
      <w:bookmarkStart w:id="207" w:name="_Toc184312125"/>
      <w:bookmarkEnd w:id="207"/>
      <w:bookmarkStart w:id="208" w:name="_Toc184308058"/>
      <w:bookmarkEnd w:id="208"/>
      <w:bookmarkStart w:id="209" w:name="_Toc184310321"/>
      <w:bookmarkEnd w:id="209"/>
      <w:bookmarkStart w:id="210" w:name="_Toc184314420"/>
      <w:bookmarkEnd w:id="210"/>
      <w:bookmarkStart w:id="211" w:name="_Toc184314438"/>
      <w:bookmarkEnd w:id="211"/>
      <w:bookmarkStart w:id="212" w:name="_Toc184314428"/>
      <w:bookmarkEnd w:id="212"/>
      <w:bookmarkStart w:id="213" w:name="_Toc184310332"/>
      <w:bookmarkEnd w:id="213"/>
      <w:bookmarkStart w:id="214" w:name="_Toc184314421"/>
      <w:bookmarkEnd w:id="214"/>
      <w:bookmarkStart w:id="215" w:name="_Toc184312139"/>
      <w:bookmarkEnd w:id="215"/>
      <w:bookmarkStart w:id="216" w:name="_Toc184313256"/>
      <w:bookmarkEnd w:id="216"/>
      <w:bookmarkStart w:id="217" w:name="_Toc184308078"/>
      <w:bookmarkEnd w:id="217"/>
      <w:bookmarkStart w:id="218" w:name="_Toc184308073"/>
      <w:bookmarkEnd w:id="218"/>
      <w:bookmarkStart w:id="219" w:name="_Toc184314430"/>
      <w:bookmarkEnd w:id="219"/>
      <w:bookmarkStart w:id="220" w:name="_Toc184313291"/>
      <w:bookmarkEnd w:id="220"/>
      <w:bookmarkStart w:id="221" w:name="_Toc184310281"/>
      <w:bookmarkEnd w:id="221"/>
      <w:bookmarkStart w:id="222" w:name="_Toc184312067"/>
      <w:bookmarkEnd w:id="222"/>
      <w:bookmarkStart w:id="223" w:name="_Toc184313309"/>
      <w:bookmarkEnd w:id="223"/>
      <w:bookmarkStart w:id="224" w:name="_Toc184313289"/>
      <w:bookmarkEnd w:id="224"/>
      <w:bookmarkStart w:id="225" w:name="_Toc184314455"/>
      <w:bookmarkEnd w:id="225"/>
      <w:bookmarkStart w:id="226" w:name="_Toc184313285"/>
      <w:bookmarkEnd w:id="226"/>
      <w:bookmarkStart w:id="227" w:name="_Toc184308101"/>
      <w:bookmarkEnd w:id="227"/>
      <w:bookmarkStart w:id="228" w:name="_Toc184310311"/>
      <w:bookmarkEnd w:id="228"/>
      <w:bookmarkStart w:id="229" w:name="_Toc184310315"/>
      <w:bookmarkEnd w:id="229"/>
      <w:bookmarkStart w:id="230" w:name="_Toc184314431"/>
      <w:bookmarkEnd w:id="230"/>
      <w:bookmarkStart w:id="231" w:name="_Toc184308062"/>
      <w:bookmarkEnd w:id="231"/>
      <w:bookmarkStart w:id="232" w:name="_Toc184312083"/>
      <w:bookmarkEnd w:id="232"/>
      <w:bookmarkStart w:id="233" w:name="_Toc184308107"/>
      <w:bookmarkEnd w:id="233"/>
      <w:bookmarkStart w:id="234" w:name="_Toc184308100"/>
      <w:bookmarkEnd w:id="234"/>
      <w:bookmarkStart w:id="235" w:name="_Toc184313292"/>
      <w:bookmarkEnd w:id="235"/>
      <w:bookmarkStart w:id="236" w:name="_Toc184310318"/>
      <w:bookmarkEnd w:id="236"/>
      <w:bookmarkStart w:id="237" w:name="_Toc184313306"/>
      <w:bookmarkEnd w:id="237"/>
      <w:bookmarkStart w:id="238" w:name="_Toc184308054"/>
      <w:bookmarkEnd w:id="238"/>
      <w:bookmarkStart w:id="239" w:name="_Toc184312107"/>
      <w:bookmarkEnd w:id="239"/>
      <w:bookmarkStart w:id="240" w:name="_Toc184308042"/>
      <w:bookmarkEnd w:id="240"/>
      <w:bookmarkStart w:id="241" w:name="_Toc184308056"/>
      <w:bookmarkEnd w:id="241"/>
      <w:bookmarkStart w:id="242" w:name="_Toc184308093"/>
      <w:bookmarkEnd w:id="242"/>
      <w:bookmarkStart w:id="243" w:name="_Toc184310324"/>
      <w:bookmarkEnd w:id="243"/>
      <w:bookmarkStart w:id="244" w:name="_Toc184313271"/>
      <w:bookmarkEnd w:id="244"/>
      <w:bookmarkStart w:id="245" w:name="_Toc184308096"/>
      <w:bookmarkEnd w:id="245"/>
      <w:bookmarkStart w:id="246" w:name="_Toc184312102"/>
      <w:bookmarkEnd w:id="246"/>
      <w:bookmarkStart w:id="247" w:name="_Toc184308063"/>
      <w:bookmarkEnd w:id="247"/>
      <w:bookmarkStart w:id="248" w:name="_Toc184313297"/>
      <w:bookmarkEnd w:id="248"/>
      <w:bookmarkStart w:id="249" w:name="_Toc184314480"/>
      <w:bookmarkEnd w:id="249"/>
      <w:bookmarkStart w:id="250" w:name="_Toc184312122"/>
      <w:bookmarkEnd w:id="250"/>
      <w:bookmarkStart w:id="251" w:name="_Toc184308050"/>
      <w:bookmarkEnd w:id="251"/>
      <w:bookmarkStart w:id="252" w:name="_Toc184308039"/>
      <w:bookmarkEnd w:id="252"/>
      <w:bookmarkStart w:id="253" w:name="_Toc184310340"/>
      <w:bookmarkEnd w:id="253"/>
      <w:bookmarkStart w:id="254" w:name="_Toc184314435"/>
      <w:bookmarkEnd w:id="254"/>
      <w:bookmarkStart w:id="255" w:name="_Toc184313244"/>
      <w:bookmarkEnd w:id="255"/>
      <w:bookmarkStart w:id="256" w:name="_Toc184310292"/>
      <w:bookmarkEnd w:id="256"/>
      <w:bookmarkStart w:id="257" w:name="_Toc184310284"/>
      <w:bookmarkEnd w:id="257"/>
      <w:bookmarkStart w:id="258" w:name="_Toc184308106"/>
      <w:bookmarkEnd w:id="258"/>
      <w:bookmarkStart w:id="259" w:name="_Toc184312131"/>
      <w:bookmarkEnd w:id="259"/>
      <w:bookmarkStart w:id="260" w:name="_Toc184312128"/>
      <w:bookmarkEnd w:id="260"/>
      <w:bookmarkStart w:id="261" w:name="_Toc184313264"/>
      <w:bookmarkEnd w:id="261"/>
      <w:bookmarkStart w:id="262" w:name="_Toc184308057"/>
      <w:bookmarkEnd w:id="262"/>
      <w:bookmarkStart w:id="263" w:name="_Toc184313250"/>
      <w:bookmarkEnd w:id="263"/>
      <w:bookmarkStart w:id="264" w:name="_Toc184310298"/>
      <w:bookmarkEnd w:id="264"/>
      <w:bookmarkStart w:id="265" w:name="_Toc184312115"/>
      <w:bookmarkEnd w:id="265"/>
      <w:bookmarkStart w:id="266" w:name="_Toc184313279"/>
      <w:bookmarkEnd w:id="266"/>
      <w:bookmarkStart w:id="267" w:name="_Toc184312129"/>
      <w:bookmarkEnd w:id="267"/>
      <w:bookmarkStart w:id="268" w:name="_Toc184312127"/>
      <w:bookmarkEnd w:id="268"/>
      <w:bookmarkStart w:id="269" w:name="_Toc184313287"/>
      <w:bookmarkEnd w:id="269"/>
      <w:bookmarkStart w:id="270" w:name="_Toc184308097"/>
      <w:bookmarkEnd w:id="270"/>
      <w:bookmarkStart w:id="271" w:name="_Toc184312110"/>
      <w:bookmarkEnd w:id="271"/>
      <w:bookmarkStart w:id="272" w:name="_Toc184314482"/>
      <w:bookmarkEnd w:id="272"/>
      <w:bookmarkStart w:id="273" w:name="_Toc184308036"/>
      <w:bookmarkEnd w:id="273"/>
      <w:bookmarkStart w:id="274" w:name="_Toc184308091"/>
      <w:bookmarkEnd w:id="274"/>
      <w:bookmarkStart w:id="275" w:name="_Toc184308072"/>
      <w:bookmarkEnd w:id="275"/>
      <w:bookmarkStart w:id="276" w:name="_Toc184310327"/>
      <w:bookmarkEnd w:id="276"/>
      <w:bookmarkStart w:id="277" w:name="_Toc184313284"/>
      <w:bookmarkEnd w:id="277"/>
      <w:bookmarkStart w:id="278" w:name="_Toc184314410"/>
      <w:bookmarkEnd w:id="278"/>
      <w:bookmarkStart w:id="279" w:name="_Toc184313276"/>
      <w:bookmarkEnd w:id="279"/>
      <w:bookmarkStart w:id="280" w:name="_Toc184313295"/>
      <w:bookmarkEnd w:id="280"/>
      <w:bookmarkStart w:id="281" w:name="_Toc184310326"/>
      <w:bookmarkEnd w:id="281"/>
      <w:bookmarkStart w:id="282" w:name="_Toc184310287"/>
      <w:bookmarkEnd w:id="282"/>
      <w:bookmarkStart w:id="283" w:name="_Toc184314460"/>
      <w:bookmarkEnd w:id="283"/>
      <w:bookmarkStart w:id="284" w:name="_Toc184308067"/>
      <w:bookmarkEnd w:id="284"/>
      <w:bookmarkStart w:id="285" w:name="_Toc184313258"/>
      <w:bookmarkEnd w:id="285"/>
      <w:bookmarkStart w:id="286" w:name="_Toc184308066"/>
      <w:bookmarkEnd w:id="286"/>
      <w:bookmarkStart w:id="287" w:name="_Toc184314411"/>
      <w:bookmarkEnd w:id="287"/>
      <w:bookmarkStart w:id="288" w:name="_Toc184312114"/>
      <w:bookmarkEnd w:id="288"/>
      <w:bookmarkStart w:id="289" w:name="_Toc184312133"/>
      <w:bookmarkEnd w:id="289"/>
      <w:bookmarkStart w:id="290" w:name="_Toc184312086"/>
      <w:bookmarkEnd w:id="290"/>
      <w:bookmarkStart w:id="291" w:name="_Toc184313282"/>
      <w:bookmarkEnd w:id="291"/>
      <w:bookmarkStart w:id="292" w:name="_Toc184312137"/>
      <w:bookmarkEnd w:id="292"/>
      <w:bookmarkStart w:id="293" w:name="_Toc184312078"/>
      <w:bookmarkEnd w:id="293"/>
      <w:bookmarkStart w:id="294" w:name="_Toc184310317"/>
      <w:bookmarkEnd w:id="294"/>
      <w:bookmarkStart w:id="295" w:name="_Toc184312073"/>
      <w:bookmarkEnd w:id="295"/>
      <w:bookmarkStart w:id="296" w:name="_Toc184313261"/>
      <w:bookmarkEnd w:id="296"/>
      <w:bookmarkStart w:id="297" w:name="_Toc184312079"/>
      <w:bookmarkEnd w:id="297"/>
      <w:bookmarkStart w:id="298" w:name="_Toc184314473"/>
      <w:bookmarkEnd w:id="298"/>
      <w:bookmarkStart w:id="299" w:name="_Toc184308085"/>
      <w:bookmarkEnd w:id="299"/>
      <w:bookmarkStart w:id="300" w:name="_Toc184312138"/>
      <w:bookmarkEnd w:id="300"/>
      <w:bookmarkStart w:id="301" w:name="_Toc184312098"/>
      <w:bookmarkEnd w:id="301"/>
      <w:bookmarkStart w:id="302" w:name="_Toc184314443"/>
      <w:bookmarkEnd w:id="302"/>
      <w:bookmarkStart w:id="303" w:name="_Toc184312123"/>
      <w:bookmarkEnd w:id="303"/>
      <w:bookmarkStart w:id="304" w:name="_Toc184314478"/>
      <w:bookmarkEnd w:id="304"/>
      <w:bookmarkStart w:id="305" w:name="_Toc184312101"/>
      <w:bookmarkEnd w:id="305"/>
      <w:bookmarkStart w:id="306" w:name="_Toc184313255"/>
      <w:bookmarkEnd w:id="306"/>
      <w:bookmarkStart w:id="307" w:name="_Toc184314418"/>
      <w:bookmarkEnd w:id="307"/>
      <w:bookmarkStart w:id="308" w:name="_Toc184312103"/>
      <w:bookmarkEnd w:id="308"/>
      <w:bookmarkStart w:id="309" w:name="_Toc184314474"/>
      <w:bookmarkEnd w:id="309"/>
      <w:bookmarkStart w:id="310" w:name="_Toc184313298"/>
      <w:bookmarkEnd w:id="310"/>
      <w:bookmarkStart w:id="311" w:name="_Toc184313263"/>
      <w:bookmarkEnd w:id="311"/>
      <w:bookmarkStart w:id="312" w:name="_Toc184308064"/>
      <w:bookmarkEnd w:id="312"/>
      <w:bookmarkStart w:id="313" w:name="_Toc184310273"/>
      <w:bookmarkEnd w:id="313"/>
      <w:bookmarkStart w:id="314" w:name="_Toc184308037"/>
      <w:bookmarkEnd w:id="314"/>
      <w:bookmarkStart w:id="315" w:name="_Toc184314446"/>
      <w:bookmarkEnd w:id="315"/>
      <w:bookmarkStart w:id="316" w:name="_Toc184314461"/>
      <w:bookmarkEnd w:id="316"/>
      <w:bookmarkStart w:id="317" w:name="_Toc184312071"/>
      <w:bookmarkEnd w:id="317"/>
      <w:bookmarkStart w:id="318" w:name="_Toc184312099"/>
      <w:bookmarkEnd w:id="318"/>
      <w:bookmarkStart w:id="319" w:name="_Toc184313242"/>
      <w:bookmarkEnd w:id="319"/>
      <w:bookmarkStart w:id="320" w:name="_Toc184308070"/>
      <w:bookmarkEnd w:id="320"/>
      <w:bookmarkStart w:id="321" w:name="_Toc184313253"/>
      <w:bookmarkEnd w:id="321"/>
      <w:bookmarkStart w:id="322" w:name="_Toc184308068"/>
      <w:bookmarkEnd w:id="322"/>
      <w:bookmarkStart w:id="323" w:name="_Toc184312132"/>
      <w:bookmarkEnd w:id="323"/>
      <w:bookmarkStart w:id="324" w:name="_Toc184308102"/>
      <w:bookmarkEnd w:id="324"/>
      <w:bookmarkStart w:id="325" w:name="_Toc184312076"/>
      <w:bookmarkEnd w:id="325"/>
      <w:bookmarkStart w:id="326" w:name="_Toc184308065"/>
      <w:bookmarkEnd w:id="326"/>
      <w:bookmarkStart w:id="327" w:name="_Toc184308040"/>
      <w:bookmarkEnd w:id="327"/>
      <w:bookmarkStart w:id="328" w:name="_Toc184313241"/>
      <w:bookmarkEnd w:id="328"/>
      <w:bookmarkStart w:id="329" w:name="_Toc184312084"/>
      <w:bookmarkEnd w:id="329"/>
      <w:bookmarkStart w:id="330" w:name="_Toc184314417"/>
      <w:bookmarkEnd w:id="330"/>
      <w:bookmarkStart w:id="331" w:name="_Toc184310291"/>
      <w:bookmarkEnd w:id="331"/>
      <w:bookmarkStart w:id="332" w:name="_Toc184313281"/>
      <w:bookmarkEnd w:id="332"/>
      <w:bookmarkStart w:id="333" w:name="_Toc184314412"/>
      <w:bookmarkEnd w:id="333"/>
      <w:bookmarkStart w:id="334" w:name="_Toc184310337"/>
      <w:bookmarkEnd w:id="334"/>
      <w:bookmarkStart w:id="335" w:name="_Toc184313274"/>
      <w:bookmarkEnd w:id="335"/>
      <w:bookmarkStart w:id="336" w:name="_Toc184312113"/>
      <w:bookmarkEnd w:id="336"/>
      <w:bookmarkStart w:id="337" w:name="_Toc184308060"/>
      <w:bookmarkEnd w:id="337"/>
      <w:bookmarkStart w:id="338" w:name="_Toc184313243"/>
      <w:bookmarkEnd w:id="338"/>
      <w:bookmarkStart w:id="339" w:name="_Toc184308084"/>
      <w:bookmarkEnd w:id="339"/>
      <w:bookmarkStart w:id="340" w:name="_Toc184308044"/>
      <w:bookmarkEnd w:id="340"/>
      <w:bookmarkStart w:id="341" w:name="_Toc184308074"/>
      <w:bookmarkEnd w:id="341"/>
      <w:bookmarkStart w:id="342" w:name="_Toc184313240"/>
      <w:bookmarkEnd w:id="342"/>
      <w:bookmarkStart w:id="343" w:name="_Toc184312109"/>
      <w:bookmarkEnd w:id="343"/>
      <w:bookmarkStart w:id="344" w:name="_Toc184308089"/>
      <w:bookmarkEnd w:id="344"/>
      <w:bookmarkStart w:id="345" w:name="_Toc184310325"/>
      <w:bookmarkEnd w:id="345"/>
      <w:bookmarkStart w:id="346" w:name="_Toc184308053"/>
      <w:bookmarkEnd w:id="346"/>
      <w:bookmarkStart w:id="347" w:name="_Toc184310277"/>
      <w:bookmarkEnd w:id="347"/>
      <w:bookmarkStart w:id="348" w:name="_Toc184313266"/>
      <w:bookmarkEnd w:id="348"/>
      <w:bookmarkStart w:id="349" w:name="_Toc184310276"/>
      <w:bookmarkEnd w:id="349"/>
      <w:bookmarkStart w:id="350" w:name="_Toc184313299"/>
      <w:bookmarkEnd w:id="350"/>
      <w:bookmarkStart w:id="351" w:name="_Toc184310295"/>
      <w:bookmarkEnd w:id="351"/>
      <w:bookmarkStart w:id="352" w:name="_Toc184312094"/>
      <w:bookmarkEnd w:id="352"/>
      <w:bookmarkStart w:id="353" w:name="_Toc184310308"/>
      <w:bookmarkEnd w:id="353"/>
      <w:bookmarkStart w:id="354" w:name="_Toc184312068"/>
      <w:bookmarkEnd w:id="354"/>
      <w:bookmarkStart w:id="355" w:name="_Toc184314423"/>
      <w:bookmarkEnd w:id="355"/>
      <w:bookmarkStart w:id="356" w:name="_Toc184312077"/>
      <w:bookmarkEnd w:id="356"/>
      <w:bookmarkStart w:id="357" w:name="_Toc184312135"/>
      <w:bookmarkEnd w:id="357"/>
      <w:bookmarkStart w:id="358" w:name="_Toc184314442"/>
      <w:bookmarkEnd w:id="358"/>
      <w:bookmarkStart w:id="359" w:name="_Toc184310338"/>
      <w:bookmarkEnd w:id="359"/>
      <w:bookmarkStart w:id="360" w:name="_Toc184314433"/>
      <w:bookmarkEnd w:id="360"/>
      <w:bookmarkStart w:id="361" w:name="_Toc184312130"/>
      <w:bookmarkEnd w:id="361"/>
      <w:bookmarkStart w:id="362" w:name="_Toc184313300"/>
      <w:bookmarkEnd w:id="362"/>
      <w:bookmarkStart w:id="363" w:name="_Toc184314439"/>
      <w:bookmarkEnd w:id="363"/>
      <w:bookmarkStart w:id="364" w:name="_Toc184313262"/>
      <w:bookmarkEnd w:id="364"/>
      <w:bookmarkStart w:id="365" w:name="_Toc184314458"/>
      <w:bookmarkEnd w:id="365"/>
      <w:bookmarkStart w:id="366" w:name="_Toc184314466"/>
      <w:bookmarkEnd w:id="366"/>
      <w:bookmarkStart w:id="367" w:name="_Toc184310274"/>
      <w:bookmarkEnd w:id="367"/>
      <w:bookmarkStart w:id="368" w:name="_Toc184310305"/>
      <w:bookmarkEnd w:id="368"/>
      <w:bookmarkStart w:id="369" w:name="_Toc184310302"/>
      <w:bookmarkEnd w:id="369"/>
      <w:bookmarkStart w:id="370" w:name="_Toc184312116"/>
      <w:bookmarkEnd w:id="370"/>
      <w:bookmarkStart w:id="371" w:name="_Toc184313249"/>
      <w:bookmarkEnd w:id="371"/>
      <w:bookmarkStart w:id="372" w:name="_Toc184310331"/>
      <w:bookmarkEnd w:id="372"/>
      <w:bookmarkStart w:id="373" w:name="_Toc184312118"/>
      <w:bookmarkEnd w:id="373"/>
      <w:bookmarkStart w:id="374" w:name="_Toc184308103"/>
      <w:bookmarkEnd w:id="374"/>
      <w:bookmarkStart w:id="375" w:name="_Toc184308075"/>
      <w:bookmarkEnd w:id="375"/>
      <w:bookmarkStart w:id="376" w:name="_Toc184312104"/>
      <w:bookmarkEnd w:id="376"/>
      <w:bookmarkStart w:id="377" w:name="_Toc184314468"/>
      <w:bookmarkEnd w:id="377"/>
      <w:bookmarkStart w:id="378" w:name="_Toc184310285"/>
      <w:bookmarkEnd w:id="378"/>
      <w:bookmarkStart w:id="379" w:name="_Toc184312081"/>
      <w:bookmarkEnd w:id="379"/>
      <w:bookmarkStart w:id="380" w:name="_Toc184313310"/>
      <w:bookmarkEnd w:id="380"/>
      <w:bookmarkStart w:id="381" w:name="_Toc184314416"/>
      <w:bookmarkEnd w:id="381"/>
      <w:bookmarkStart w:id="382" w:name="_Toc184313273"/>
      <w:bookmarkEnd w:id="382"/>
      <w:bookmarkStart w:id="383" w:name="_Toc184308049"/>
      <w:bookmarkEnd w:id="383"/>
      <w:bookmarkStart w:id="384" w:name="_Toc184314457"/>
      <w:bookmarkEnd w:id="384"/>
      <w:bookmarkStart w:id="385" w:name="_Toc184314422"/>
      <w:bookmarkEnd w:id="385"/>
      <w:bookmarkStart w:id="386" w:name="_Toc184308104"/>
      <w:bookmarkEnd w:id="386"/>
      <w:bookmarkStart w:id="387" w:name="_Toc184310286"/>
      <w:bookmarkEnd w:id="387"/>
      <w:bookmarkStart w:id="388" w:name="_Toc184308046"/>
      <w:bookmarkEnd w:id="388"/>
      <w:bookmarkStart w:id="389" w:name="_Toc184312088"/>
      <w:bookmarkEnd w:id="389"/>
      <w:bookmarkStart w:id="390" w:name="_Toc184312121"/>
      <w:bookmarkEnd w:id="390"/>
      <w:bookmarkStart w:id="391" w:name="_Toc184314475"/>
      <w:bookmarkEnd w:id="391"/>
      <w:bookmarkStart w:id="392" w:name="_Toc184308090"/>
      <w:bookmarkEnd w:id="392"/>
      <w:bookmarkStart w:id="393" w:name="_Toc184308048"/>
      <w:bookmarkEnd w:id="393"/>
      <w:bookmarkStart w:id="394" w:name="_Toc184310290"/>
      <w:bookmarkEnd w:id="394"/>
      <w:bookmarkStart w:id="395" w:name="_Toc184313267"/>
      <w:bookmarkEnd w:id="395"/>
      <w:bookmarkStart w:id="396" w:name="_Toc184314453"/>
      <w:bookmarkEnd w:id="396"/>
      <w:bookmarkStart w:id="397" w:name="_Toc184312096"/>
      <w:bookmarkEnd w:id="397"/>
      <w:bookmarkStart w:id="398" w:name="_Toc184310323"/>
      <w:bookmarkEnd w:id="398"/>
      <w:bookmarkStart w:id="399" w:name="_Toc184314415"/>
      <w:bookmarkEnd w:id="399"/>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2"/>
        <w:tblW w:w="524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505"/>
        <w:gridCol w:w="4402"/>
        <w:gridCol w:w="791"/>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468" w:type="pct"/>
            <w:vAlign w:val="center"/>
          </w:tcPr>
          <w:p>
            <w:pPr>
              <w:spacing w:line="360" w:lineRule="auto"/>
              <w:jc w:val="center"/>
              <w:outlineLvl w:val="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序号</w:t>
            </w:r>
          </w:p>
        </w:tc>
        <w:tc>
          <w:tcPr>
            <w:tcW w:w="3030" w:type="pct"/>
            <w:gridSpan w:val="2"/>
            <w:vAlign w:val="center"/>
          </w:tcPr>
          <w:p>
            <w:pPr>
              <w:spacing w:line="360" w:lineRule="auto"/>
              <w:jc w:val="center"/>
              <w:outlineLvl w:val="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评标标准</w:t>
            </w:r>
          </w:p>
        </w:tc>
        <w:tc>
          <w:tcPr>
            <w:tcW w:w="406" w:type="pct"/>
            <w:vAlign w:val="center"/>
          </w:tcPr>
          <w:p>
            <w:pPr>
              <w:spacing w:line="360" w:lineRule="auto"/>
              <w:outlineLvl w:val="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权重</w:t>
            </w:r>
          </w:p>
        </w:tc>
        <w:tc>
          <w:tcPr>
            <w:tcW w:w="1094" w:type="pct"/>
          </w:tcPr>
          <w:p>
            <w:pPr>
              <w:spacing w:line="360" w:lineRule="auto"/>
              <w:outlineLvl w:val="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投标文件中评标标准相应的商务技术资料目录</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68" w:type="pct"/>
            <w:vMerge w:val="restart"/>
            <w:vAlign w:val="center"/>
          </w:tcPr>
          <w:p>
            <w:pPr>
              <w:spacing w:line="360" w:lineRule="auto"/>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p>
        </w:tc>
        <w:tc>
          <w:tcPr>
            <w:tcW w:w="3030" w:type="pct"/>
            <w:gridSpan w:val="2"/>
            <w:vAlign w:val="center"/>
          </w:tcPr>
          <w:p>
            <w:pPr>
              <w:spacing w:line="360" w:lineRule="auto"/>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投标方案与需求的吻合程度以及方案的理解情况，与区值班值守、楼宇经济、疫情防控、未来社区等数字三维系统实现对接，提供详细的对接方案，对接方案中有对实施可能遇到的问题及其应对措施的描述</w:t>
            </w:r>
            <w:r>
              <w:rPr>
                <w:rFonts w:hint="eastAsia" w:asciiTheme="minorEastAsia" w:hAnsiTheme="minorEastAsia" w:eastAsiaTheme="minorEastAsia" w:cstheme="minorEastAsia"/>
                <w:b/>
                <w:bCs/>
                <w:color w:val="000000" w:themeColor="text1"/>
                <w:sz w:val="24"/>
                <w:shd w:val="clear" w:color="auto" w:fill="FFFFFF"/>
                <w14:textFill>
                  <w14:solidFill>
                    <w14:schemeClr w14:val="tx1"/>
                  </w14:solidFill>
                </w14:textFill>
              </w:rPr>
              <w:t>（指图层资源复用）</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w:t>
            </w:r>
            <w:r>
              <w:rPr>
                <w:rFonts w:asciiTheme="minorEastAsia" w:hAnsiTheme="minorEastAsia" w:eastAsiaTheme="minorEastAsia" w:cstheme="minorEastAsia"/>
                <w:color w:val="000000" w:themeColor="text1"/>
                <w:sz w:val="24"/>
                <w:shd w:val="clear" w:color="auto" w:fill="FFFFFF"/>
                <w14:textFill>
                  <w14:solidFill>
                    <w14:schemeClr w14:val="tx1"/>
                  </w14:solidFill>
                </w14:textFill>
              </w:rPr>
              <w:t>8</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分）；</w:t>
            </w:r>
          </w:p>
        </w:tc>
        <w:tc>
          <w:tcPr>
            <w:tcW w:w="406" w:type="pct"/>
            <w:vAlign w:val="center"/>
          </w:tcPr>
          <w:p>
            <w:pPr>
              <w:spacing w:line="360" w:lineRule="auto"/>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8</w:t>
            </w:r>
          </w:p>
        </w:tc>
        <w:tc>
          <w:tcPr>
            <w:tcW w:w="1094" w:type="pct"/>
            <w:vMerge w:val="restart"/>
            <w:vAlign w:val="center"/>
          </w:tcPr>
          <w:p>
            <w:pPr>
              <w:spacing w:line="360" w:lineRule="auto"/>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（一）技术总体方案科学性和完整性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68" w:type="pct"/>
            <w:vMerge w:val="continue"/>
            <w:vAlign w:val="center"/>
          </w:tcPr>
          <w:p>
            <w:pPr>
              <w:spacing w:line="360" w:lineRule="auto"/>
              <w:outlineLvl w:val="0"/>
              <w:rPr>
                <w:rFonts w:asciiTheme="minorEastAsia" w:hAnsiTheme="minorEastAsia" w:eastAsiaTheme="minorEastAsia" w:cstheme="minorEastAsia"/>
                <w:color w:val="000000" w:themeColor="text1"/>
                <w:sz w:val="24"/>
                <w14:textFill>
                  <w14:solidFill>
                    <w14:schemeClr w14:val="tx1"/>
                  </w14:solidFill>
                </w14:textFill>
              </w:rPr>
            </w:pPr>
          </w:p>
        </w:tc>
        <w:tc>
          <w:tcPr>
            <w:tcW w:w="3030" w:type="pct"/>
            <w:gridSpan w:val="2"/>
            <w:vAlign w:val="center"/>
          </w:tcPr>
          <w:p>
            <w:pPr>
              <w:spacing w:line="360" w:lineRule="auto"/>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对项目建设整体框架的理解、描述是否全面、透彻。投标方案是否提出合理可操作CIM平台开发指南等技术规范，技术规范中有对实施可能遇到的技术问题及其应对措施的考虑（</w:t>
            </w:r>
            <w:r>
              <w:rPr>
                <w:rFonts w:asciiTheme="minorEastAsia" w:hAnsiTheme="minorEastAsia" w:eastAsiaTheme="minorEastAsia" w:cstheme="minorEastAsia"/>
                <w:color w:val="000000" w:themeColor="text1"/>
                <w:sz w:val="24"/>
                <w:shd w:val="clear" w:color="auto" w:fill="FFFFFF"/>
                <w14:textFill>
                  <w14:solidFill>
                    <w14:schemeClr w14:val="tx1"/>
                  </w14:solidFill>
                </w14:textFill>
              </w:rPr>
              <w:t>8</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分）；</w:t>
            </w:r>
          </w:p>
        </w:tc>
        <w:tc>
          <w:tcPr>
            <w:tcW w:w="406" w:type="pct"/>
            <w:vAlign w:val="center"/>
          </w:tcPr>
          <w:p>
            <w:pPr>
              <w:spacing w:line="360" w:lineRule="auto"/>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8</w:t>
            </w:r>
          </w:p>
        </w:tc>
        <w:tc>
          <w:tcPr>
            <w:tcW w:w="1094" w:type="pct"/>
            <w:vMerge w:val="continue"/>
            <w:vAlign w:val="center"/>
          </w:tcPr>
          <w:p>
            <w:pPr>
              <w:spacing w:line="360" w:lineRule="auto"/>
              <w:jc w:val="center"/>
              <w:outlineLvl w:val="0"/>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468" w:type="pct"/>
            <w:vAlign w:val="center"/>
          </w:tcPr>
          <w:p>
            <w:pPr>
              <w:spacing w:line="360" w:lineRule="auto"/>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w:t>
            </w:r>
          </w:p>
        </w:tc>
        <w:tc>
          <w:tcPr>
            <w:tcW w:w="3030" w:type="pct"/>
            <w:gridSpan w:val="2"/>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提供的投标方案是否包含以下内容，方案需最大限度满足系统需求，方案与需求的契合度，对各功能细项进行详细论述。</w:t>
            </w:r>
          </w:p>
          <w:p>
            <w:pPr>
              <w:adjustRightInd/>
              <w:spacing w:line="360" w:lineRule="auto"/>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1、数据标准规范及更新机制建设（3分）</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各类矢量数据、三维数据的归集标准；</w:t>
            </w:r>
          </w:p>
          <w:p>
            <w:pPr>
              <w:adjustRightInd/>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数据处理标准；</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数据更新标准；</w:t>
            </w:r>
          </w:p>
          <w:p>
            <w:pPr>
              <w:adjustRightInd/>
              <w:spacing w:line="360" w:lineRule="auto"/>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2、空间数据归集和处理工具（3分）</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数据流程闭环管理；</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数据流程归集；</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数据融合治理工具；</w:t>
            </w:r>
          </w:p>
          <w:p>
            <w:pPr>
              <w:adjustRightInd/>
              <w:spacing w:line="360" w:lineRule="auto"/>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3、资源管理平台建设（3分）</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数据服务；</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功能服务；</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工具箱管理；</w:t>
            </w:r>
          </w:p>
          <w:p>
            <w:pPr>
              <w:adjustRightInd/>
              <w:spacing w:line="360" w:lineRule="auto"/>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4、资源服务平台建设（4分）</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平台统一应用门户；</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资源共享中心；</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服务管理；</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 xml:space="preserve">云GIS访问统计； </w:t>
            </w:r>
          </w:p>
          <w:p>
            <w:pPr>
              <w:adjustRightInd/>
              <w:spacing w:line="360" w:lineRule="auto"/>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5、二三维可视化服务能力（6分）</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地图管理；</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资源目录展示；</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关键指标展示；</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资源周边分析；</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叠加分析；</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三维模型特效展示；</w:t>
            </w:r>
          </w:p>
          <w:p>
            <w:pPr>
              <w:adjustRightInd/>
              <w:spacing w:line="360" w:lineRule="auto"/>
              <w:rPr>
                <w:rFonts w:asciiTheme="minorEastAsia" w:hAnsiTheme="minorEastAsia" w:eastAsiaTheme="minorEastAsia" w:cstheme="minorEastAsia"/>
                <w:bCs/>
                <w:color w:val="000000" w:themeColor="text1"/>
                <w:sz w:val="24"/>
                <w14:textFill>
                  <w14:solidFill>
                    <w14:schemeClr w14:val="tx1"/>
                  </w14:solidFill>
                </w14:textFill>
              </w:rPr>
            </w:pPr>
            <w:r>
              <w:rPr>
                <w:rFonts w:asciiTheme="minorEastAsia" w:hAnsiTheme="minorEastAsia" w:eastAsiaTheme="minorEastAsia" w:cstheme="minorEastAsia"/>
                <w:bCs/>
                <w:color w:val="000000" w:themeColor="text1"/>
                <w:sz w:val="24"/>
                <w14:textFill>
                  <w14:solidFill>
                    <w14:schemeClr w14:val="tx1"/>
                  </w14:solidFill>
                </w14:textFill>
              </w:rPr>
              <w:t>6</w:t>
            </w:r>
            <w:r>
              <w:rPr>
                <w:rFonts w:hint="eastAsia" w:asciiTheme="minorEastAsia" w:hAnsiTheme="minorEastAsia" w:eastAsiaTheme="minorEastAsia" w:cstheme="minorEastAsia"/>
                <w:bCs/>
                <w:color w:val="000000" w:themeColor="text1"/>
                <w:sz w:val="24"/>
                <w14:textFill>
                  <w14:solidFill>
                    <w14:schemeClr w14:val="tx1"/>
                  </w14:solidFill>
                </w14:textFill>
              </w:rPr>
              <w:t>、综合管理（6分）</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地图服务配置；</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用户日志控制；</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平台日志分析；</w:t>
            </w:r>
          </w:p>
          <w:p>
            <w:pPr>
              <w:adjustRightInd/>
              <w:spacing w:line="360" w:lineRule="auto"/>
              <w:ind w:firstLine="482"/>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个人中心；</w:t>
            </w:r>
          </w:p>
          <w:p>
            <w:pPr>
              <w:pStyle w:val="2"/>
              <w:spacing w:after="0" w:line="360" w:lineRule="auto"/>
              <w:ind w:left="0" w:leftChars="0" w:firstLine="482" w:firstLineChars="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浙政钉用户体系对接；</w:t>
            </w:r>
          </w:p>
          <w:p>
            <w:pPr>
              <w:pStyle w:val="2"/>
              <w:spacing w:after="0" w:line="360" w:lineRule="auto"/>
              <w:ind w:left="0" w:leftChars="0" w:firstLine="482" w:firstLineChars="0"/>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Irs对接。</w:t>
            </w:r>
          </w:p>
        </w:tc>
        <w:tc>
          <w:tcPr>
            <w:tcW w:w="406" w:type="pct"/>
            <w:vAlign w:val="center"/>
          </w:tcPr>
          <w:p>
            <w:pPr>
              <w:spacing w:line="360" w:lineRule="auto"/>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25</w:t>
            </w:r>
          </w:p>
        </w:tc>
        <w:tc>
          <w:tcPr>
            <w:tcW w:w="1094" w:type="pct"/>
            <w:vAlign w:val="center"/>
          </w:tcPr>
          <w:p>
            <w:pPr>
              <w:spacing w:line="360" w:lineRule="auto"/>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（二）功能需求的吻合程度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468" w:type="pct"/>
            <w:vMerge w:val="restart"/>
            <w:vAlign w:val="center"/>
          </w:tcPr>
          <w:p>
            <w:pPr>
              <w:spacing w:line="360" w:lineRule="auto"/>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w:t>
            </w:r>
          </w:p>
        </w:tc>
        <w:tc>
          <w:tcPr>
            <w:tcW w:w="3030" w:type="pct"/>
            <w:gridSpan w:val="2"/>
            <w:vAlign w:val="center"/>
          </w:tcPr>
          <w:p>
            <w:pPr>
              <w:tabs>
                <w:tab w:val="left" w:pos="0"/>
              </w:tabs>
              <w:spacing w:line="360" w:lineRule="auto"/>
              <w:jc w:val="left"/>
              <w:rPr>
                <w:rFonts w:asciiTheme="minorEastAsia" w:hAnsiTheme="minorEastAsia" w:eastAsiaTheme="minorEastAsia" w:cstheme="minorEastAsia"/>
                <w:strike/>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是否具有完善的项目实施规范和管理制度，是否有完善的项目管理体系，</w:t>
            </w:r>
            <w:r>
              <w:rPr>
                <w:rFonts w:hint="eastAsia" w:asciiTheme="minorEastAsia" w:hAnsiTheme="minorEastAsia" w:eastAsiaTheme="minorEastAsia" w:cstheme="minorEastAsia"/>
                <w:color w:val="000000" w:themeColor="text1"/>
                <w:sz w:val="24"/>
                <w14:textFill>
                  <w14:solidFill>
                    <w14:schemeClr w14:val="tx1"/>
                  </w14:solidFill>
                </w14:textFill>
              </w:rPr>
              <w:t>拟投入本项目的管理与作业人员总数、软件的综合水平情况（3分）；</w:t>
            </w:r>
          </w:p>
        </w:tc>
        <w:tc>
          <w:tcPr>
            <w:tcW w:w="406" w:type="pct"/>
            <w:vAlign w:val="center"/>
          </w:tcPr>
          <w:p>
            <w:pPr>
              <w:tabs>
                <w:tab w:val="left" w:pos="0"/>
              </w:tabs>
              <w:spacing w:line="360" w:lineRule="auto"/>
              <w:jc w:val="center"/>
              <w:rPr>
                <w:rFonts w:asciiTheme="minorEastAsia" w:hAnsiTheme="minorEastAsia" w:eastAsiaTheme="minorEastAsia" w:cstheme="minorEastAsia"/>
                <w:strike/>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w:t>
            </w:r>
          </w:p>
        </w:tc>
        <w:tc>
          <w:tcPr>
            <w:tcW w:w="1094" w:type="pct"/>
            <w:vMerge w:val="restart"/>
            <w:vAlign w:val="center"/>
          </w:tcPr>
          <w:p>
            <w:pPr>
              <w:spacing w:line="360" w:lineRule="auto"/>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（三）项目组人员素质情况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68" w:type="pct"/>
            <w:vMerge w:val="continue"/>
            <w:vAlign w:val="center"/>
          </w:tcPr>
          <w:p>
            <w:pPr>
              <w:tabs>
                <w:tab w:val="left" w:pos="0"/>
              </w:tabs>
              <w:spacing w:line="360" w:lineRule="auto"/>
              <w:jc w:val="left"/>
              <w:rPr>
                <w:rFonts w:asciiTheme="minorEastAsia" w:hAnsiTheme="minorEastAsia" w:eastAsiaTheme="minorEastAsia" w:cstheme="minorEastAsia"/>
                <w:color w:val="000000" w:themeColor="text1"/>
                <w:sz w:val="24"/>
                <w14:textFill>
                  <w14:solidFill>
                    <w14:schemeClr w14:val="tx1"/>
                  </w14:solidFill>
                </w14:textFill>
              </w:rPr>
            </w:pPr>
          </w:p>
        </w:tc>
        <w:tc>
          <w:tcPr>
            <w:tcW w:w="3030" w:type="pct"/>
            <w:gridSpan w:val="2"/>
            <w:vAlign w:val="center"/>
          </w:tcPr>
          <w:p>
            <w:pPr>
              <w:tabs>
                <w:tab w:val="left" w:pos="0"/>
              </w:tabs>
              <w:spacing w:line="360" w:lineRule="auto"/>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拟派的项目经理的专业素质、技术能力、经验等情况，是否具有类似项目建设经验等（</w:t>
            </w:r>
            <w:r>
              <w:rPr>
                <w:rFonts w:hint="eastAsia" w:asciiTheme="minorEastAsia" w:hAnsiTheme="minorEastAsia" w:eastAsiaTheme="minorEastAsia" w:cstheme="minorEastAsia"/>
                <w:color w:val="000000" w:themeColor="text1"/>
                <w:sz w:val="24"/>
                <w14:textFill>
                  <w14:solidFill>
                    <w14:schemeClr w14:val="tx1"/>
                  </w14:solidFill>
                </w14:textFill>
              </w:rPr>
              <w:t>提供项目经理资质、工作履历、参保证明等证明材料</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14:textFill>
                  <w14:solidFill>
                    <w14:schemeClr w14:val="tx1"/>
                  </w14:solidFill>
                </w14:textFill>
              </w:rPr>
              <w:t>2</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分）；</w:t>
            </w:r>
          </w:p>
        </w:tc>
        <w:tc>
          <w:tcPr>
            <w:tcW w:w="406" w:type="pct"/>
            <w:vAlign w:val="center"/>
          </w:tcPr>
          <w:p>
            <w:pPr>
              <w:tabs>
                <w:tab w:val="left" w:pos="0"/>
              </w:tabs>
              <w:spacing w:line="360" w:lineRule="auto"/>
              <w:jc w:val="center"/>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w:t>
            </w:r>
          </w:p>
        </w:tc>
        <w:tc>
          <w:tcPr>
            <w:tcW w:w="1094" w:type="pct"/>
            <w:vMerge w:val="continue"/>
            <w:vAlign w:val="center"/>
          </w:tcPr>
          <w:p>
            <w:pPr>
              <w:tabs>
                <w:tab w:val="left" w:pos="0"/>
              </w:tabs>
              <w:spacing w:line="360" w:lineRule="auto"/>
              <w:jc w:val="left"/>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468" w:type="pct"/>
            <w:vMerge w:val="continue"/>
            <w:vAlign w:val="center"/>
          </w:tcPr>
          <w:p>
            <w:pPr>
              <w:tabs>
                <w:tab w:val="left" w:pos="0"/>
              </w:tabs>
              <w:spacing w:line="360" w:lineRule="auto"/>
              <w:jc w:val="left"/>
              <w:rPr>
                <w:rFonts w:asciiTheme="minorEastAsia" w:hAnsiTheme="minorEastAsia" w:eastAsiaTheme="minorEastAsia" w:cstheme="minorEastAsia"/>
                <w:color w:val="000000" w:themeColor="text1"/>
                <w:sz w:val="24"/>
                <w14:textFill>
                  <w14:solidFill>
                    <w14:schemeClr w14:val="tx1"/>
                  </w14:solidFill>
                </w14:textFill>
              </w:rPr>
            </w:pPr>
          </w:p>
        </w:tc>
        <w:tc>
          <w:tcPr>
            <w:tcW w:w="3030" w:type="pct"/>
            <w:gridSpan w:val="2"/>
            <w:vAlign w:val="center"/>
          </w:tcPr>
          <w:p>
            <w:pPr>
              <w:tabs>
                <w:tab w:val="left" w:pos="0"/>
              </w:tabs>
              <w:spacing w:line="360" w:lineRule="auto"/>
              <w:jc w:val="lef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拟担任本项目团队人员中是否至少具备1名高级数据治理技术专家认证、1名高级数据仓开发专家认证、</w:t>
            </w:r>
            <w:r>
              <w:t>1</w:t>
            </w:r>
            <w:r>
              <w:rPr>
                <w:rFonts w:hint="eastAsia" w:asciiTheme="minorEastAsia" w:hAnsiTheme="minorEastAsia" w:eastAsiaTheme="minorEastAsia" w:cstheme="minorEastAsia"/>
                <w:color w:val="000000" w:themeColor="text1"/>
                <w:kern w:val="0"/>
                <w:sz w:val="24"/>
                <w14:textFill>
                  <w14:solidFill>
                    <w14:schemeClr w14:val="tx1"/>
                  </w14:solidFill>
                </w14:textFill>
              </w:rPr>
              <w:t>名</w:t>
            </w:r>
            <w:r>
              <w:rPr>
                <w:rFonts w:hint="eastAsia" w:asciiTheme="minorEastAsia" w:hAnsiTheme="minorEastAsia" w:eastAsiaTheme="minorEastAsia" w:cstheme="minorEastAsia"/>
                <w:bCs/>
                <w:color w:val="000000" w:themeColor="text1"/>
                <w:sz w:val="24"/>
                <w14:textFill>
                  <w14:solidFill>
                    <w14:schemeClr w14:val="tx1"/>
                  </w14:solidFill>
                </w14:textFill>
              </w:rPr>
              <w:t>高级实景建模应用工程师和1</w:t>
            </w:r>
            <w:r>
              <w:rPr>
                <w:rFonts w:hint="eastAsia" w:asciiTheme="minorEastAsia" w:hAnsiTheme="minorEastAsia" w:eastAsiaTheme="minorEastAsia" w:cstheme="minorEastAsia"/>
                <w:color w:val="000000" w:themeColor="text1"/>
                <w:kern w:val="0"/>
                <w:sz w:val="24"/>
                <w14:textFill>
                  <w14:solidFill>
                    <w14:schemeClr w14:val="tx1"/>
                  </w14:solidFill>
                </w14:textFill>
              </w:rPr>
              <w:t>名</w:t>
            </w:r>
            <w:r>
              <w:rPr>
                <w:rFonts w:hint="eastAsia" w:asciiTheme="minorEastAsia" w:hAnsiTheme="minorEastAsia" w:eastAsiaTheme="minorEastAsia" w:cstheme="minorEastAsia"/>
                <w:bCs/>
                <w:color w:val="000000" w:themeColor="text1"/>
                <w:sz w:val="24"/>
                <w14:textFill>
                  <w14:solidFill>
                    <w14:schemeClr w14:val="tx1"/>
                  </w14:solidFill>
                </w14:textFill>
              </w:rPr>
              <w:t>cim技术应用工程师</w:t>
            </w:r>
            <w:r>
              <w:rPr>
                <w:rFonts w:hint="eastAsia" w:asciiTheme="minorEastAsia" w:hAnsiTheme="minorEastAsia" w:eastAsiaTheme="minorEastAsia" w:cstheme="minorEastAsia"/>
                <w:color w:val="000000" w:themeColor="text1"/>
                <w:kern w:val="0"/>
                <w:sz w:val="24"/>
                <w14:textFill>
                  <w14:solidFill>
                    <w14:schemeClr w14:val="tx1"/>
                  </w14:solidFill>
                </w14:textFill>
              </w:rPr>
              <w:t>（提供在本项目公告发布之日前获取的有效证书复印件）（8分）；</w:t>
            </w:r>
          </w:p>
        </w:tc>
        <w:tc>
          <w:tcPr>
            <w:tcW w:w="406" w:type="pct"/>
            <w:vAlign w:val="center"/>
          </w:tcPr>
          <w:p>
            <w:pPr>
              <w:tabs>
                <w:tab w:val="left" w:pos="0"/>
              </w:tabs>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8</w:t>
            </w:r>
          </w:p>
        </w:tc>
        <w:tc>
          <w:tcPr>
            <w:tcW w:w="1094" w:type="pct"/>
            <w:vMerge w:val="continue"/>
            <w:vAlign w:val="center"/>
          </w:tcPr>
          <w:p>
            <w:pPr>
              <w:tabs>
                <w:tab w:val="left" w:pos="0"/>
              </w:tabs>
              <w:spacing w:line="360" w:lineRule="auto"/>
              <w:jc w:val="left"/>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468" w:type="pct"/>
            <w:vMerge w:val="continue"/>
            <w:vAlign w:val="center"/>
          </w:tcPr>
          <w:p>
            <w:pPr>
              <w:tabs>
                <w:tab w:val="left" w:pos="0"/>
              </w:tabs>
              <w:spacing w:line="360" w:lineRule="auto"/>
              <w:jc w:val="left"/>
              <w:rPr>
                <w:rFonts w:asciiTheme="minorEastAsia" w:hAnsiTheme="minorEastAsia" w:eastAsiaTheme="minorEastAsia" w:cstheme="minorEastAsia"/>
                <w:color w:val="000000" w:themeColor="text1"/>
                <w:sz w:val="24"/>
                <w14:textFill>
                  <w14:solidFill>
                    <w14:schemeClr w14:val="tx1"/>
                  </w14:solidFill>
                </w14:textFill>
              </w:rPr>
            </w:pPr>
          </w:p>
        </w:tc>
        <w:tc>
          <w:tcPr>
            <w:tcW w:w="3030" w:type="pct"/>
            <w:gridSpan w:val="2"/>
            <w:vAlign w:val="center"/>
          </w:tcPr>
          <w:p>
            <w:pPr>
              <w:tabs>
                <w:tab w:val="left" w:pos="0"/>
              </w:tabs>
              <w:spacing w:line="360" w:lineRule="auto"/>
              <w:jc w:val="left"/>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拟担任本项目团队人员是否有类似业务经验、是否熟悉类似业务及信息系统建设内容（提供人员资质、工作履历、参保证明等资料）（2分）；</w:t>
            </w:r>
          </w:p>
        </w:tc>
        <w:tc>
          <w:tcPr>
            <w:tcW w:w="406" w:type="pct"/>
            <w:vAlign w:val="center"/>
          </w:tcPr>
          <w:p>
            <w:pPr>
              <w:tabs>
                <w:tab w:val="left" w:pos="0"/>
              </w:tabs>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w:t>
            </w:r>
          </w:p>
        </w:tc>
        <w:tc>
          <w:tcPr>
            <w:tcW w:w="1094" w:type="pct"/>
            <w:vMerge w:val="continue"/>
            <w:vAlign w:val="center"/>
          </w:tcPr>
          <w:p>
            <w:pPr>
              <w:tabs>
                <w:tab w:val="left" w:pos="0"/>
              </w:tabs>
              <w:spacing w:line="360" w:lineRule="auto"/>
              <w:jc w:val="left"/>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468" w:type="pct"/>
            <w:vMerge w:val="restar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w:t>
            </w:r>
          </w:p>
        </w:tc>
        <w:tc>
          <w:tcPr>
            <w:tcW w:w="3030" w:type="pct"/>
            <w:gridSpan w:val="2"/>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投标人按采购方要求是否有</w:t>
            </w:r>
            <w:r>
              <w:rPr>
                <w:rFonts w:hint="eastAsia" w:asciiTheme="minorEastAsia" w:hAnsiTheme="minorEastAsia" w:eastAsiaTheme="minorEastAsia" w:cstheme="minorEastAsia"/>
                <w:color w:val="000000" w:themeColor="text1"/>
                <w:kern w:val="0"/>
                <w:sz w:val="24"/>
                <w14:textFill>
                  <w14:solidFill>
                    <w14:schemeClr w14:val="tx1"/>
                  </w14:solidFill>
                </w14:textFill>
              </w:rPr>
              <w:t>①</w:t>
            </w:r>
            <w:r>
              <w:rPr>
                <w:rFonts w:hint="eastAsia" w:asciiTheme="minorEastAsia" w:hAnsiTheme="minorEastAsia" w:eastAsiaTheme="minorEastAsia" w:cstheme="minorEastAsia"/>
                <w:color w:val="000000" w:themeColor="text1"/>
                <w:sz w:val="24"/>
                <w14:textFill>
                  <w14:solidFill>
                    <w14:schemeClr w14:val="tx1"/>
                  </w14:solidFill>
                </w14:textFill>
              </w:rPr>
              <w:t>明确的质量保证目标</w:t>
            </w:r>
            <w:r>
              <w:rPr>
                <w:rFonts w:hint="eastAsia" w:asciiTheme="minorEastAsia" w:hAnsiTheme="minorEastAsia" w:eastAsiaTheme="minorEastAsia" w:cstheme="minorEastAsia"/>
                <w:color w:val="000000" w:themeColor="text1"/>
                <w:kern w:val="0"/>
                <w:sz w:val="24"/>
                <w14:textFill>
                  <w14:solidFill>
                    <w14:schemeClr w14:val="tx1"/>
                  </w14:solidFill>
                </w14:textFill>
              </w:rPr>
              <w:t>②</w:t>
            </w:r>
            <w:r>
              <w:rPr>
                <w:rFonts w:hint="eastAsia" w:asciiTheme="minorEastAsia" w:hAnsiTheme="minorEastAsia" w:eastAsiaTheme="minorEastAsia" w:cstheme="minorEastAsia"/>
                <w:color w:val="000000" w:themeColor="text1"/>
                <w:sz w:val="24"/>
                <w14:textFill>
                  <w14:solidFill>
                    <w14:schemeClr w14:val="tx1"/>
                  </w14:solidFill>
                </w14:textFill>
              </w:rPr>
              <w:t>合理先进且详细实施内容的质量保证措施和体系（4分）</w:t>
            </w:r>
          </w:p>
        </w:tc>
        <w:tc>
          <w:tcPr>
            <w:tcW w:w="406" w:type="pc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w:t>
            </w:r>
          </w:p>
        </w:tc>
        <w:tc>
          <w:tcPr>
            <w:tcW w:w="1094" w:type="pct"/>
            <w:vMerge w:val="restar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（四）质量保证措施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468" w:type="pct"/>
            <w:vMerge w:val="continue"/>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3030" w:type="pct"/>
            <w:gridSpan w:val="2"/>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投标方案是否提出符合招标文件和采购人要求，是否按期完成软件开发测试、上线运行、验收等措施（2分）</w:t>
            </w:r>
          </w:p>
        </w:tc>
        <w:tc>
          <w:tcPr>
            <w:tcW w:w="406" w:type="pc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w:t>
            </w:r>
          </w:p>
        </w:tc>
        <w:tc>
          <w:tcPr>
            <w:tcW w:w="1094" w:type="pct"/>
            <w:vMerge w:val="continue"/>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468" w:type="pct"/>
            <w:vMerge w:val="restar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w:t>
            </w:r>
          </w:p>
        </w:tc>
        <w:tc>
          <w:tcPr>
            <w:tcW w:w="3030" w:type="pct"/>
            <w:gridSpan w:val="2"/>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投标人提出的实施方案（①验收方案②功能测试③试运行等）内容是否具有科学性、合理性、规范性和可操作性（3分）；       </w:t>
            </w:r>
          </w:p>
        </w:tc>
        <w:tc>
          <w:tcPr>
            <w:tcW w:w="406" w:type="pc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w:t>
            </w:r>
          </w:p>
        </w:tc>
        <w:tc>
          <w:tcPr>
            <w:tcW w:w="1094" w:type="pct"/>
            <w:vMerge w:val="restart"/>
            <w:vAlign w:val="center"/>
          </w:tcPr>
          <w:p>
            <w:pPr>
              <w:spacing w:line="360" w:lineRule="auto"/>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（五）组织实施方案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468" w:type="pct"/>
            <w:vMerge w:val="continue"/>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p>
        </w:tc>
        <w:tc>
          <w:tcPr>
            <w:tcW w:w="3030" w:type="pct"/>
            <w:gridSpan w:val="2"/>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投</w:t>
            </w:r>
            <w:r>
              <w:rPr>
                <w:rFonts w:hint="eastAsia" w:asciiTheme="minorEastAsia" w:hAnsiTheme="minorEastAsia" w:eastAsiaTheme="minorEastAsia" w:cstheme="minorEastAsia"/>
                <w:sz w:val="24"/>
              </w:rPr>
              <w:t>标人提出的技术培训方</w:t>
            </w:r>
            <w:r>
              <w:rPr>
                <w:rFonts w:hint="eastAsia" w:asciiTheme="minorEastAsia" w:hAnsiTheme="minorEastAsia" w:eastAsiaTheme="minorEastAsia" w:cstheme="minorEastAsia"/>
                <w:color w:val="000000" w:themeColor="text1"/>
                <w:sz w:val="24"/>
                <w14:textFill>
                  <w14:solidFill>
                    <w14:schemeClr w14:val="tx1"/>
                  </w14:solidFill>
                </w14:textFill>
              </w:rPr>
              <w:t>案（①培训内容、时间、地点②系统操作培训以及日常维护系统培训）是具有合理性、可操作性（3分）；</w:t>
            </w:r>
          </w:p>
        </w:tc>
        <w:tc>
          <w:tcPr>
            <w:tcW w:w="406" w:type="pc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w:t>
            </w:r>
          </w:p>
        </w:tc>
        <w:tc>
          <w:tcPr>
            <w:tcW w:w="1094" w:type="pct"/>
            <w:vMerge w:val="continue"/>
            <w:vAlign w:val="center"/>
          </w:tcPr>
          <w:p>
            <w:pPr>
              <w:spacing w:line="360" w:lineRule="auto"/>
              <w:jc w:val="center"/>
              <w:outlineLvl w:val="0"/>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6</w:t>
            </w:r>
          </w:p>
        </w:tc>
        <w:tc>
          <w:tcPr>
            <w:tcW w:w="3030" w:type="pct"/>
            <w:gridSpan w:val="2"/>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宋体" w:hAnsi="宋体" w:cs="宋体"/>
                <w:sz w:val="24"/>
              </w:rPr>
              <w:t>投标人在</w:t>
            </w:r>
            <w:r>
              <w:rPr>
                <w:rFonts w:hint="eastAsia" w:asciiTheme="minorEastAsia" w:hAnsiTheme="minorEastAsia" w:eastAsiaTheme="minorEastAsia" w:cstheme="minorEastAsia"/>
                <w:bCs/>
                <w:color w:val="000000" w:themeColor="text1"/>
                <w:sz w:val="24"/>
                <w14:textFill>
                  <w14:solidFill>
                    <w14:schemeClr w14:val="tx1"/>
                  </w14:solidFill>
                </w14:textFill>
              </w:rPr>
              <w:t>维护期内</w:t>
            </w:r>
            <w:r>
              <w:rPr>
                <w:rFonts w:hint="eastAsia" w:ascii="宋体" w:hAnsi="宋体" w:cs="宋体"/>
                <w:sz w:val="24"/>
              </w:rPr>
              <w:t>提</w:t>
            </w:r>
            <w:r>
              <w:rPr>
                <w:rFonts w:hint="eastAsia" w:ascii="宋体" w:hAnsi="宋体" w:cs="宋体"/>
                <w:sz w:val="24"/>
                <w:szCs w:val="20"/>
              </w:rPr>
              <w:t>供</w:t>
            </w:r>
            <w:r>
              <w:rPr>
                <w:rFonts w:hint="eastAsia" w:asciiTheme="minorEastAsia" w:hAnsiTheme="minorEastAsia" w:eastAsiaTheme="minorEastAsia" w:cstheme="minorEastAsia"/>
                <w:bCs/>
                <w:color w:val="000000" w:themeColor="text1"/>
                <w:sz w:val="24"/>
                <w14:textFill>
                  <w14:solidFill>
                    <w14:schemeClr w14:val="tx1"/>
                  </w14:solidFill>
                </w14:textFill>
              </w:rPr>
              <w:t>所有的系统维护</w:t>
            </w:r>
            <w:r>
              <w:rPr>
                <w:rFonts w:hint="eastAsia" w:asciiTheme="minorEastAsia" w:hAnsiTheme="minorEastAsia" w:eastAsiaTheme="minorEastAsia" w:cstheme="minorEastAsia"/>
                <w:color w:val="000000" w:themeColor="text1"/>
                <w:sz w:val="24"/>
                <w14:textFill>
                  <w14:solidFill>
                    <w14:schemeClr w14:val="tx1"/>
                  </w14:solidFill>
                </w14:textFill>
              </w:rPr>
              <w:t>7×24</w:t>
            </w:r>
            <w:r>
              <w:rPr>
                <w:rFonts w:hint="eastAsia" w:asciiTheme="minorEastAsia" w:hAnsiTheme="minorEastAsia" w:eastAsiaTheme="minorEastAsia" w:cstheme="minorEastAsia"/>
                <w:bCs/>
                <w:color w:val="000000" w:themeColor="text1"/>
                <w:sz w:val="24"/>
                <w14:textFill>
                  <w14:solidFill>
                    <w14:schemeClr w14:val="tx1"/>
                  </w14:solidFill>
                </w14:textFill>
              </w:rPr>
              <w:t>小时远程服务，</w:t>
            </w:r>
            <w:r>
              <w:rPr>
                <w:rFonts w:asciiTheme="minorEastAsia" w:hAnsiTheme="minorEastAsia" w:eastAsiaTheme="minorEastAsia" w:cstheme="minorEastAsia"/>
                <w:bCs/>
                <w:color w:val="000000" w:themeColor="text1"/>
                <w:sz w:val="24"/>
                <w14:textFill>
                  <w14:solidFill>
                    <w14:schemeClr w14:val="tx1"/>
                  </w14:solidFill>
                </w14:textFill>
              </w:rPr>
              <w:t>3</w:t>
            </w:r>
            <w:r>
              <w:rPr>
                <w:rFonts w:hint="eastAsia" w:asciiTheme="minorEastAsia" w:hAnsiTheme="minorEastAsia" w:eastAsiaTheme="minorEastAsia" w:cstheme="minorEastAsia"/>
                <w:bCs/>
                <w:color w:val="000000" w:themeColor="text1"/>
                <w:sz w:val="24"/>
                <w14:textFill>
                  <w14:solidFill>
                    <w14:schemeClr w14:val="tx1"/>
                  </w14:solidFill>
                </w14:textFill>
              </w:rPr>
              <w:t>小时远程无法解决的问题需进行上门服务</w:t>
            </w:r>
            <w:r>
              <w:rPr>
                <w:rFonts w:hint="eastAsia" w:asciiTheme="minorEastAsia" w:hAnsiTheme="minorEastAsia" w:eastAsiaTheme="minorEastAsia" w:cstheme="minorEastAsia"/>
                <w:color w:val="000000" w:themeColor="text1"/>
                <w:sz w:val="24"/>
                <w14:textFill>
                  <w14:solidFill>
                    <w14:schemeClr w14:val="tx1"/>
                  </w14:solidFill>
                </w14:textFill>
              </w:rPr>
              <w:t>（2分）；</w:t>
            </w:r>
          </w:p>
          <w:p>
            <w:pPr>
              <w:pStyle w:val="25"/>
              <w:rPr>
                <w:rFonts w:asciiTheme="minorEastAsia" w:hAnsiTheme="minorEastAsia" w:eastAsiaTheme="minorEastAsia" w:cstheme="minorEastAsia"/>
                <w:color w:val="000000" w:themeColor="text1"/>
                <w:lang w:val="en-US"/>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投标人提供的售后服务方案、质保期限是否满足采购人的要求；质保期限及服务承诺的可行性、完整性以及服务承诺落实的保障措施等（4分）。</w:t>
            </w:r>
          </w:p>
        </w:tc>
        <w:tc>
          <w:tcPr>
            <w:tcW w:w="406" w:type="pc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6</w:t>
            </w:r>
          </w:p>
        </w:tc>
        <w:tc>
          <w:tcPr>
            <w:tcW w:w="1094" w:type="pct"/>
            <w:vAlign w:val="center"/>
          </w:tcPr>
          <w:p>
            <w:pPr>
              <w:spacing w:line="360" w:lineRule="auto"/>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（六）售后服务保障能力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468" w:type="pc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7</w:t>
            </w:r>
          </w:p>
        </w:tc>
        <w:tc>
          <w:tcPr>
            <w:tcW w:w="3030" w:type="pct"/>
            <w:gridSpan w:val="2"/>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截止投标时间近三年以来投标人承担类似项目情况，</w:t>
            </w:r>
            <w:r>
              <w:rPr>
                <w:rFonts w:hint="eastAsia" w:asciiTheme="minorEastAsia" w:hAnsiTheme="minorEastAsia" w:eastAsiaTheme="minorEastAsia" w:cstheme="minorEastAsia"/>
                <w:color w:val="000000" w:themeColor="text1"/>
                <w:sz w:val="24"/>
                <w:lang w:val="zh-CN"/>
                <w14:textFill>
                  <w14:solidFill>
                    <w14:schemeClr w14:val="tx1"/>
                  </w14:solidFill>
                </w14:textFill>
              </w:rPr>
              <w:t>结合</w:t>
            </w:r>
            <w:r>
              <w:rPr>
                <w:rFonts w:hint="eastAsia" w:asciiTheme="minorEastAsia" w:hAnsiTheme="minorEastAsia" w:eastAsiaTheme="minorEastAsia" w:cstheme="minorEastAsia"/>
                <w:bCs/>
                <w:color w:val="000000" w:themeColor="text1"/>
                <w:sz w:val="24"/>
                <w14:textFill>
                  <w14:solidFill>
                    <w14:schemeClr w14:val="tx1"/>
                  </w14:solidFill>
                </w14:textFill>
              </w:rPr>
              <w:t>已完工的工程案例和用户</w:t>
            </w:r>
            <w:r>
              <w:rPr>
                <w:rFonts w:hint="eastAsia" w:asciiTheme="minorEastAsia" w:hAnsiTheme="minorEastAsia" w:eastAsiaTheme="minorEastAsia" w:cstheme="minorEastAsia"/>
                <w:bCs/>
                <w:color w:val="000000" w:themeColor="text1"/>
                <w:sz w:val="24"/>
                <w:lang w:eastAsia="zh-CN"/>
                <w14:textFill>
                  <w14:solidFill>
                    <w14:schemeClr w14:val="tx1"/>
                  </w14:solidFill>
                </w14:textFill>
              </w:rPr>
              <w:t>反映情况</w:t>
            </w:r>
            <w:r>
              <w:rPr>
                <w:rFonts w:hint="eastAsia" w:asciiTheme="minorEastAsia" w:hAnsiTheme="minorEastAsia" w:eastAsiaTheme="minorEastAsia" w:cstheme="minorEastAsia"/>
                <w:snapToGrid w:val="0"/>
                <w:color w:val="000000" w:themeColor="text1"/>
                <w:sz w:val="24"/>
                <w14:textFill>
                  <w14:solidFill>
                    <w14:schemeClr w14:val="tx1"/>
                  </w14:solidFill>
                </w14:textFill>
              </w:rPr>
              <w:t>，</w:t>
            </w:r>
            <w:r>
              <w:rPr>
                <w:rFonts w:hint="eastAsia" w:asciiTheme="minorEastAsia" w:hAnsiTheme="minorEastAsia" w:eastAsiaTheme="minorEastAsia" w:cstheme="minorEastAsia"/>
                <w:b/>
                <w:snapToGrid w:val="0"/>
                <w:color w:val="000000" w:themeColor="text1"/>
                <w:sz w:val="24"/>
                <w14:textFill>
                  <w14:solidFill>
                    <w14:schemeClr w14:val="tx1"/>
                  </w14:solidFill>
                </w14:textFill>
              </w:rPr>
              <w:t>需提供合同复印件、付款凭证和</w:t>
            </w:r>
            <w:r>
              <w:rPr>
                <w:rFonts w:hint="eastAsia" w:asciiTheme="minorEastAsia" w:hAnsiTheme="minorEastAsia" w:eastAsiaTheme="minorEastAsia" w:cstheme="minorEastAsia"/>
                <w:b/>
                <w:bCs/>
                <w:color w:val="000000" w:themeColor="text1"/>
                <w:sz w:val="24"/>
                <w:szCs w:val="22"/>
                <w14:textFill>
                  <w14:solidFill>
                    <w14:schemeClr w14:val="tx1"/>
                  </w14:solidFill>
                </w14:textFill>
              </w:rPr>
              <w:t>验收报告</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b/>
                <w:color w:val="000000" w:themeColor="text1"/>
                <w:sz w:val="24"/>
                <w14:textFill>
                  <w14:solidFill>
                    <w14:schemeClr w14:val="tx1"/>
                  </w14:solidFill>
                </w14:textFill>
              </w:rPr>
              <w:t>以签订时间为准，原件备查，采购机构在项目评审直至合同签订、履约期间，有权要求投标人出具投标文件中的</w:t>
            </w: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主要业绩证明</w:t>
            </w:r>
            <w:r>
              <w:rPr>
                <w:rFonts w:hint="eastAsia" w:asciiTheme="minorEastAsia" w:hAnsiTheme="minorEastAsia" w:eastAsiaTheme="minorEastAsia" w:cstheme="minorEastAsia"/>
                <w:b/>
                <w:color w:val="000000" w:themeColor="text1"/>
                <w:sz w:val="24"/>
                <w14:textFill>
                  <w14:solidFill>
                    <w14:schemeClr w14:val="tx1"/>
                  </w14:solidFill>
                </w14:textFill>
              </w:rPr>
              <w:t>原件</w:t>
            </w: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：如</w:t>
            </w:r>
            <w:r>
              <w:rPr>
                <w:rFonts w:hint="eastAsia" w:asciiTheme="minorEastAsia" w:hAnsiTheme="minorEastAsia" w:eastAsiaTheme="minorEastAsia" w:cstheme="minorEastAsia"/>
                <w:b/>
                <w:color w:val="000000" w:themeColor="text1"/>
                <w:sz w:val="24"/>
                <w14:textFill>
                  <w14:solidFill>
                    <w14:schemeClr w14:val="tx1"/>
                  </w14:solidFill>
                </w14:textFill>
              </w:rPr>
              <w:t>合同或用户验收报告</w:t>
            </w:r>
            <w:r>
              <w:rPr>
                <w:rFonts w:hint="eastAsia" w:asciiTheme="minorEastAsia" w:hAnsiTheme="minorEastAsia" w:eastAsiaTheme="minorEastAsia" w:cstheme="minorEastAsia"/>
                <w:b/>
                <w:color w:val="000000" w:themeColor="text1"/>
                <w:sz w:val="24"/>
                <w:lang w:val="zh-CN"/>
                <w14:textFill>
                  <w14:solidFill>
                    <w14:schemeClr w14:val="tx1"/>
                  </w14:solidFill>
                </w14:textFill>
              </w:rPr>
              <w:t>等</w:t>
            </w:r>
            <w:r>
              <w:rPr>
                <w:rFonts w:hint="eastAsia" w:asciiTheme="minorEastAsia" w:hAnsiTheme="minorEastAsia" w:eastAsiaTheme="minorEastAsia" w:cstheme="minorEastAsia"/>
                <w:b/>
                <w:color w:val="000000" w:themeColor="text1"/>
                <w:sz w:val="24"/>
                <w14:textFill>
                  <w14:solidFill>
                    <w14:schemeClr w14:val="tx1"/>
                  </w14:solidFill>
                </w14:textFill>
              </w:rPr>
              <w:t>，予以确认其的真实性和有效性，如出现与事实不符等情况，将按照《中华人民共和国政府采购法》上报相关部门予以处罚</w:t>
            </w:r>
            <w:r>
              <w:rPr>
                <w:rFonts w:hint="eastAsia" w:asciiTheme="minorEastAsia" w:hAnsiTheme="minorEastAsia" w:eastAsiaTheme="minorEastAsia" w:cstheme="minorEastAsia"/>
                <w:color w:val="000000" w:themeColor="text1"/>
                <w:sz w:val="24"/>
                <w14:textFill>
                  <w14:solidFill>
                    <w14:schemeClr w14:val="tx1"/>
                  </w14:solidFill>
                </w14:textFill>
              </w:rPr>
              <w:t>），是否有良好的工作业绩和履约记录</w:t>
            </w:r>
            <w:r>
              <w:rPr>
                <w:rFonts w:hint="eastAsia" w:asciiTheme="minorEastAsia" w:hAnsiTheme="minorEastAsia" w:eastAsiaTheme="minorEastAsia" w:cstheme="minorEastAsia"/>
                <w:color w:val="000000" w:themeColor="text1"/>
                <w:sz w:val="24"/>
                <w:lang w:val="zh-CN"/>
                <w14:textFill>
                  <w14:solidFill>
                    <w14:schemeClr w14:val="tx1"/>
                  </w14:solidFill>
                </w14:textFill>
              </w:rPr>
              <w:t>等情况</w:t>
            </w:r>
            <w:r>
              <w:rPr>
                <w:rFonts w:hint="eastAsia" w:asciiTheme="minorEastAsia" w:hAnsiTheme="minorEastAsia" w:eastAsiaTheme="minorEastAsia" w:cstheme="minorEastAsia"/>
                <w:color w:val="000000" w:themeColor="text1"/>
                <w:sz w:val="24"/>
                <w14:textFill>
                  <w14:solidFill>
                    <w14:schemeClr w14:val="tx1"/>
                  </w14:solidFill>
                </w14:textFill>
              </w:rPr>
              <w:t>；</w:t>
            </w:r>
            <w:r>
              <w:rPr>
                <w:rFonts w:hint="eastAsia" w:asciiTheme="minorEastAsia" w:hAnsiTheme="minorEastAsia" w:eastAsiaTheme="minorEastAsia" w:cstheme="minorEastAsia"/>
                <w:b/>
                <w:color w:val="000000" w:themeColor="text1"/>
                <w:sz w:val="24"/>
                <w14:textFill>
                  <w14:solidFill>
                    <w14:schemeClr w14:val="tx1"/>
                  </w14:solidFill>
                </w14:textFill>
              </w:rPr>
              <w:t>如投标人提供的合同复印件等实施项目证明材料与投标主体无关或违规转包分包的，评标委员会将进行扣分直至认定投标无效</w:t>
            </w:r>
            <w:r>
              <w:rPr>
                <w:rFonts w:hint="eastAsia" w:asciiTheme="minorEastAsia" w:hAnsiTheme="minorEastAsia" w:eastAsiaTheme="minorEastAsia" w:cstheme="minorEastAsia"/>
                <w:color w:val="000000" w:themeColor="text1"/>
                <w:sz w:val="24"/>
                <w:lang w:val="zh-CN"/>
                <w14:textFill>
                  <w14:solidFill>
                    <w14:schemeClr w14:val="tx1"/>
                  </w14:solidFill>
                </w14:textFill>
              </w:rPr>
              <w:t>。</w:t>
            </w:r>
          </w:p>
        </w:tc>
        <w:tc>
          <w:tcPr>
            <w:tcW w:w="406" w:type="pc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p>
        </w:tc>
        <w:tc>
          <w:tcPr>
            <w:tcW w:w="1094" w:type="pc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（七）类似项目建设的成功经验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468" w:type="pct"/>
            <w:vMerge w:val="restar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8</w:t>
            </w:r>
          </w:p>
        </w:tc>
        <w:tc>
          <w:tcPr>
            <w:tcW w:w="772" w:type="pct"/>
            <w:vMerge w:val="restar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系统演示（15分）：</w:t>
            </w:r>
            <w:r>
              <w:rPr>
                <w:rFonts w:hint="eastAsia" w:asciiTheme="minorEastAsia" w:hAnsiTheme="minorEastAsia" w:eastAsiaTheme="minorEastAsia" w:cstheme="minorEastAsia"/>
                <w:b/>
                <w:bCs/>
                <w:color w:val="000000" w:themeColor="text1"/>
                <w:sz w:val="24"/>
                <w14:textFill>
                  <w14:solidFill>
                    <w14:schemeClr w14:val="tx1"/>
                  </w14:solidFill>
                </w14:textFill>
              </w:rPr>
              <w:t>需采用真实系统演示，否则此项不得分</w:t>
            </w:r>
          </w:p>
        </w:tc>
        <w:tc>
          <w:tcPr>
            <w:tcW w:w="2257" w:type="pct"/>
            <w:vAlign w:val="center"/>
          </w:tcPr>
          <w:p>
            <w:pPr>
              <w:adjustRightInd/>
              <w:spacing w:line="540" w:lineRule="exac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shd w:val="clear" w:color="auto" w:fill="FFFFFF"/>
                <w14:textFill>
                  <w14:solidFill>
                    <w14:schemeClr w14:val="tx1"/>
                  </w14:solidFill>
                </w14:textFill>
              </w:rPr>
              <w:t>数据归集和处理工具中空间任务模型管理功能的演示：</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 xml:space="preserve"> 空间任务模型支持不同空间数据库引擎之间的空间数据同步，对西湖区监控点位数据从一种空间数据库引擎同步到另一种空间数据库引擎，实现跨空间数据库引擎的空间数据同步（1分）。</w:t>
            </w:r>
          </w:p>
        </w:tc>
        <w:tc>
          <w:tcPr>
            <w:tcW w:w="406" w:type="pc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w:t>
            </w:r>
          </w:p>
        </w:tc>
        <w:tc>
          <w:tcPr>
            <w:tcW w:w="1094" w:type="pct"/>
            <w:vMerge w:val="restar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468" w:type="pct"/>
            <w:vMerge w:val="continue"/>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p>
        </w:tc>
        <w:tc>
          <w:tcPr>
            <w:tcW w:w="772" w:type="pct"/>
            <w:vMerge w:val="continue"/>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p>
        </w:tc>
        <w:tc>
          <w:tcPr>
            <w:tcW w:w="2257" w:type="pct"/>
            <w:vAlign w:val="center"/>
          </w:tcPr>
          <w:p>
            <w:pPr>
              <w:adjustRightInd/>
              <w:spacing w:line="540" w:lineRule="exact"/>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sz w:val="24"/>
                <w:shd w:val="clear" w:color="auto" w:fill="FFFFFF"/>
                <w14:textFill>
                  <w14:solidFill>
                    <w14:schemeClr w14:val="tx1"/>
                  </w14:solidFill>
                </w14:textFill>
              </w:rPr>
              <w:t>阴影分析功能：</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在三维一张图中，以西湖区倾斜摄影为底座，可通过选择不同日期、开始时间、结束时间、底部高程，拉伸高度的设置，动态展示西湖区建筑的日照效果。(1分)；并可在西湖区倾斜影像中手动划定区域，用不同颜色分级表示该区域内不同地点空间位置的阴影率、经度、维度、高程信息(1分)。</w:t>
            </w:r>
            <w:r>
              <w:rPr>
                <w:rFonts w:hint="eastAsia" w:asciiTheme="minorEastAsia" w:hAnsiTheme="minorEastAsia" w:eastAsiaTheme="minorEastAsia" w:cstheme="minorEastAsia"/>
                <w:b/>
                <w:bCs/>
                <w:color w:val="000000" w:themeColor="text1"/>
                <w:sz w:val="24"/>
                <w:shd w:val="clear" w:color="auto" w:fill="FFFFFF"/>
                <w14:textFill>
                  <w14:solidFill>
                    <w14:schemeClr w14:val="tx1"/>
                  </w14:solidFill>
                </w14:textFill>
              </w:rPr>
              <w:t>辅助规划功能</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在三维一张图中，以西湖区倾斜摄影为底座，可在西湖区规划的区域添加四种不同外观的楼幢模型(1分)；并可对选中的模型的长度、宽度、高度、方向进行动态的数值的调整，而模型的长度，宽度，高度，方向也能相应的动态调整展示(1分)。</w:t>
            </w:r>
          </w:p>
        </w:tc>
        <w:tc>
          <w:tcPr>
            <w:tcW w:w="406" w:type="pc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w:t>
            </w:r>
          </w:p>
        </w:tc>
        <w:tc>
          <w:tcPr>
            <w:tcW w:w="1094" w:type="pct"/>
            <w:vMerge w:val="continue"/>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68" w:type="pct"/>
            <w:vMerge w:val="continue"/>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p>
        </w:tc>
        <w:tc>
          <w:tcPr>
            <w:tcW w:w="772" w:type="pct"/>
            <w:vMerge w:val="continue"/>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p>
        </w:tc>
        <w:tc>
          <w:tcPr>
            <w:tcW w:w="2257" w:type="pct"/>
            <w:vAlign w:val="center"/>
          </w:tcPr>
          <w:p>
            <w:pPr>
              <w:spacing w:line="540" w:lineRule="exact"/>
              <w:rPr>
                <w:rFonts w:asciiTheme="minorEastAsia" w:hAnsiTheme="minorEastAsia" w:eastAsiaTheme="minorEastAsia" w:cstheme="minorEastAsia"/>
                <w:color w:val="000000" w:themeColor="text1"/>
                <w:sz w:val="24"/>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4"/>
                <w:shd w:val="clear" w:color="auto" w:fill="FFFFFF"/>
                <w14:textFill>
                  <w14:solidFill>
                    <w14:schemeClr w14:val="tx1"/>
                  </w14:solidFill>
                </w14:textFill>
              </w:rPr>
              <w:t>资源服务平台中服务管理的功能演示</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支持注册二三维服务，包括西湖区倾斜摄影，动态矢量、影像、西湖区摄像头点位、西湖区司法所、隐患点等26个图层，并可对26个图层配置到相应部门的目录，并可在服务中心对应展示挂接的图层（1分）；也可把26个图层挂接到一张图应用目录，经过授权后在一张图中应用中展示这些图层（1分）。</w:t>
            </w:r>
          </w:p>
        </w:tc>
        <w:tc>
          <w:tcPr>
            <w:tcW w:w="406" w:type="pc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w:t>
            </w:r>
          </w:p>
        </w:tc>
        <w:tc>
          <w:tcPr>
            <w:tcW w:w="1094" w:type="pct"/>
            <w:vMerge w:val="continue"/>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68" w:type="pct"/>
            <w:vMerge w:val="continue"/>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p>
        </w:tc>
        <w:tc>
          <w:tcPr>
            <w:tcW w:w="772" w:type="pct"/>
            <w:vMerge w:val="continue"/>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p>
        </w:tc>
        <w:tc>
          <w:tcPr>
            <w:tcW w:w="2257" w:type="pct"/>
            <w:vAlign w:val="center"/>
          </w:tcPr>
          <w:p>
            <w:pPr>
              <w:spacing w:line="540" w:lineRule="exact"/>
              <w:rPr>
                <w:rFonts w:asciiTheme="minorEastAsia" w:hAnsiTheme="minorEastAsia" w:eastAsiaTheme="minorEastAsia" w:cstheme="minorEastAsia"/>
                <w:color w:val="000000" w:themeColor="text1"/>
                <w:sz w:val="24"/>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4"/>
                <w:shd w:val="clear" w:color="auto" w:fill="FFFFFF"/>
                <w14:textFill>
                  <w14:solidFill>
                    <w14:schemeClr w14:val="tx1"/>
                  </w14:solidFill>
                </w14:textFill>
              </w:rPr>
              <w:t>二三维可视化服务能力中的功能演示</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可对地图可以进行二三维引擎切换，二维引擎用电子底图为基础底图，点击三维可切换到以西湖区倾斜摄影为底座的三维引擎（1分）；三维功能包含三维单体化查询，在倾斜摄影中点击楼幢面展示该楼幢面的基础信息，包括楼幢名称，社区，区县等信息，并已红色的效果渲染该楼幢面（1分）；楼幢分层分户模型展示功能，点击该楼幢面展示该居民楼幢面的基本信息，并查询出该居民楼幢面的楼盘表，包含层数以及每层的单元号（1分）。</w:t>
            </w:r>
          </w:p>
          <w:p>
            <w:pPr>
              <w:spacing w:line="540" w:lineRule="exact"/>
              <w:rPr>
                <w:rFonts w:asciiTheme="minorEastAsia" w:hAnsiTheme="minorEastAsia" w:eastAsiaTheme="minorEastAsia" w:cstheme="minorEastAsia"/>
                <w:color w:val="000000" w:themeColor="text1"/>
                <w:sz w:val="24"/>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4"/>
                <w:shd w:val="clear" w:color="auto" w:fill="FFFFFF"/>
                <w14:textFill>
                  <w14:solidFill>
                    <w14:schemeClr w14:val="tx1"/>
                  </w14:solidFill>
                </w14:textFill>
              </w:rPr>
              <w:t>地图飞行功能：</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以西湖区倾斜摄影为底座，点击飞行功能，可通过绘点来绘制飞行路线，并可对绘制的点进行名称、高度、和飞行速度的确认，确定保存后可对改点进行删除，也可查看该点在地图中动态定位到该点的位置（1分）；当绘制点都完成后，在西湖区倾斜摄影底座中可进行预览路线，在预览过程中可停止预览，如觉得在预览过程中认为站点位置可进行清空所有站点按钮，认为合理就保存该飞行路线（1分）。</w:t>
            </w:r>
          </w:p>
        </w:tc>
        <w:tc>
          <w:tcPr>
            <w:tcW w:w="406" w:type="pc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w:t>
            </w:r>
          </w:p>
        </w:tc>
        <w:tc>
          <w:tcPr>
            <w:tcW w:w="1094" w:type="pct"/>
            <w:vMerge w:val="continue"/>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468" w:type="pct"/>
            <w:vMerge w:val="continue"/>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p>
        </w:tc>
        <w:tc>
          <w:tcPr>
            <w:tcW w:w="772" w:type="pct"/>
            <w:vMerge w:val="continue"/>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p>
        </w:tc>
        <w:tc>
          <w:tcPr>
            <w:tcW w:w="2257" w:type="pct"/>
            <w:vAlign w:val="center"/>
          </w:tcPr>
          <w:p>
            <w:pPr>
              <w:spacing w:line="540" w:lineRule="exact"/>
              <w:rPr>
                <w:rFonts w:asciiTheme="minorEastAsia" w:hAnsiTheme="minorEastAsia" w:eastAsiaTheme="minorEastAsia" w:cstheme="minorEastAsia"/>
                <w:color w:val="000000" w:themeColor="text1"/>
                <w:sz w:val="24"/>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4"/>
                <w:shd w:val="clear" w:color="auto" w:fill="FFFFFF"/>
                <w14:textFill>
                  <w14:solidFill>
                    <w14:schemeClr w14:val="tx1"/>
                  </w14:solidFill>
                </w14:textFill>
              </w:rPr>
              <w:t>综合管理浙政钉西湖区用户体系对接的功能演示：</w:t>
            </w:r>
            <w:r>
              <w:rPr>
                <w:rFonts w:hint="eastAsia" w:asciiTheme="minorEastAsia" w:hAnsiTheme="minorEastAsia" w:eastAsiaTheme="minorEastAsia" w:cstheme="minorEastAsia"/>
                <w:color w:val="000000" w:themeColor="text1"/>
                <w:sz w:val="24"/>
                <w:shd w:val="clear" w:color="auto" w:fill="FFFFFF"/>
                <w14:textFill>
                  <w14:solidFill>
                    <w14:schemeClr w14:val="tx1"/>
                  </w14:solidFill>
                </w14:textFill>
              </w:rPr>
              <w:t>西湖区浙政钉用户登录体系对接，实现西湖区浙政钉扫码登录CIM平台的便捷操作（1分）；对接IRS，用户也可通过IRS进行cim服务申请（1分）；在IRS上审批通过后进行服务调用（1分）。</w:t>
            </w:r>
          </w:p>
        </w:tc>
        <w:tc>
          <w:tcPr>
            <w:tcW w:w="406" w:type="pct"/>
            <w:vAlign w:val="center"/>
          </w:tcPr>
          <w:p>
            <w:pPr>
              <w:spacing w:line="360" w:lineRule="auto"/>
              <w:jc w:val="center"/>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w:t>
            </w:r>
          </w:p>
        </w:tc>
        <w:tc>
          <w:tcPr>
            <w:tcW w:w="1094" w:type="pct"/>
            <w:vMerge w:val="continue"/>
            <w:vAlign w:val="center"/>
          </w:tcPr>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68" w:type="pct"/>
            <w:vAlign w:val="center"/>
          </w:tcPr>
          <w:p>
            <w:pPr>
              <w:spacing w:line="360" w:lineRule="auto"/>
              <w:ind w:firstLine="240" w:firstLineChars="100"/>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9</w:t>
            </w:r>
          </w:p>
        </w:tc>
        <w:tc>
          <w:tcPr>
            <w:tcW w:w="3030" w:type="pct"/>
            <w:gridSpan w:val="2"/>
          </w:tcPr>
          <w:p>
            <w:pPr>
              <w:spacing w:line="360" w:lineRule="auto"/>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有效投标报价的最低价作为评标基准价，其最低报价为满分；按［投标报价得分=（评标基准价/投标报价）*10］的计算公式计算。</w:t>
            </w:r>
          </w:p>
          <w:p>
            <w:pPr>
              <w:widowControl/>
              <w:shd w:val="clear" w:color="auto" w:fill="FFFFFF"/>
              <w:adjustRightInd/>
              <w:spacing w:after="225" w:line="360" w:lineRule="auto"/>
              <w:ind w:firstLine="42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评标过程中，不得去掉报价中的最高报价和最低报价。</w:t>
            </w:r>
          </w:p>
          <w:p>
            <w:pPr>
              <w:widowControl/>
              <w:shd w:val="clear" w:color="auto" w:fill="FFFFFF"/>
              <w:adjustRightInd/>
              <w:spacing w:after="225" w:line="360" w:lineRule="auto"/>
              <w:ind w:firstLine="42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因落实政府采购政策需要进行价格调整的，以调整后的价格计算评标基准价和投标报价。</w:t>
            </w:r>
          </w:p>
        </w:tc>
        <w:tc>
          <w:tcPr>
            <w:tcW w:w="406" w:type="pct"/>
            <w:vAlign w:val="center"/>
          </w:tcPr>
          <w:p>
            <w:pPr>
              <w:spacing w:line="360" w:lineRule="auto"/>
              <w:ind w:firstLine="120" w:firstLineChars="50"/>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10</w:t>
            </w:r>
          </w:p>
        </w:tc>
        <w:tc>
          <w:tcPr>
            <w:tcW w:w="1094" w:type="pct"/>
            <w:vAlign w:val="center"/>
          </w:tcPr>
          <w:p>
            <w:pPr>
              <w:spacing w:line="360" w:lineRule="auto"/>
              <w:jc w:val="center"/>
              <w:outlineLvl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w:t>
            </w:r>
          </w:p>
        </w:tc>
      </w:tr>
    </w:tbl>
    <w:p>
      <w:pPr>
        <w:snapToGrid w:val="0"/>
        <w:spacing w:line="360" w:lineRule="auto"/>
        <w:rPr>
          <w:rFonts w:ascii="宋体" w:hAnsi="宋体" w:cs="宋体"/>
          <w:b/>
          <w:sz w:val="24"/>
        </w:rPr>
      </w:pPr>
      <w:r>
        <w:rPr>
          <w:rFonts w:hint="eastAsia" w:ascii="宋体" w:hAnsi="宋体" w:cs="宋体"/>
          <w:sz w:val="24"/>
          <w:shd w:val="clear" w:color="auto" w:fill="FFFFFF"/>
        </w:rPr>
        <w:t>*</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4"/>
        </w:rPr>
      </w:pPr>
      <w:r>
        <w:rPr>
          <w:rFonts w:hint="eastAsia" w:ascii="宋体" w:hAnsi="宋体" w:cs="宋体"/>
          <w:b/>
          <w:sz w:val="28"/>
          <w:szCs w:val="2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2"/>
          <w:szCs w:val="22"/>
        </w:rPr>
      </w:pPr>
      <w:r>
        <w:rPr>
          <w:rFonts w:hint="eastAsia" w:ascii="宋体" w:hAnsi="宋体" w:cs="宋体"/>
          <w:b/>
          <w:sz w:val="28"/>
          <w:szCs w:val="2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28"/>
          <w:szCs w:val="28"/>
        </w:rPr>
      </w:pPr>
      <w:r>
        <w:rPr>
          <w:rFonts w:hint="eastAsia" w:ascii="宋体" w:hAnsi="宋体" w:cs="宋体"/>
          <w:b/>
          <w:sz w:val="28"/>
          <w:szCs w:val="28"/>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w:t>
      </w:r>
      <w:r>
        <w:rPr>
          <w:rFonts w:hint="eastAsia" w:ascii="宋体" w:hAnsi="宋体" w:cs="宋体"/>
          <w:kern w:val="0"/>
          <w:szCs w:val="24"/>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28"/>
          <w:szCs w:val="22"/>
        </w:rPr>
      </w:pPr>
      <w:r>
        <w:rPr>
          <w:rFonts w:hint="eastAsia" w:ascii="宋体" w:hAnsi="宋体" w:cs="宋体"/>
          <w:b/>
          <w:sz w:val="28"/>
          <w:szCs w:val="2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3"/>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3"/>
        <w:snapToGrid w:val="0"/>
        <w:spacing w:line="360" w:lineRule="auto"/>
        <w:rPr>
          <w:rFonts w:cs="宋体"/>
        </w:rPr>
      </w:pPr>
      <w:r>
        <w:rPr>
          <w:rFonts w:hint="eastAsia" w:cs="宋体"/>
        </w:rPr>
        <w:t>5.1符合专业条件的供应商或者对招标文件作实质响应的供应商不足3家的；</w:t>
      </w:r>
    </w:p>
    <w:p>
      <w:pPr>
        <w:pStyle w:val="3"/>
        <w:snapToGrid w:val="0"/>
        <w:spacing w:line="360" w:lineRule="auto"/>
        <w:rPr>
          <w:rFonts w:cs="宋体"/>
        </w:rPr>
      </w:pPr>
      <w:r>
        <w:rPr>
          <w:rFonts w:hint="eastAsia" w:cs="宋体"/>
        </w:rPr>
        <w:t>5.2出现影响采购公正的违法、违规行为的；</w:t>
      </w:r>
    </w:p>
    <w:p>
      <w:pPr>
        <w:pStyle w:val="3"/>
        <w:snapToGrid w:val="0"/>
        <w:spacing w:line="360" w:lineRule="auto"/>
        <w:rPr>
          <w:rFonts w:cs="宋体"/>
        </w:rPr>
      </w:pPr>
      <w:r>
        <w:rPr>
          <w:rFonts w:hint="eastAsia" w:cs="宋体"/>
        </w:rPr>
        <w:t>5.3投标人的报价均超过了采购预算，采购人不能支付的；</w:t>
      </w:r>
    </w:p>
    <w:p>
      <w:pPr>
        <w:pStyle w:val="3"/>
        <w:snapToGrid w:val="0"/>
        <w:spacing w:line="360" w:lineRule="auto"/>
        <w:rPr>
          <w:rFonts w:cs="宋体"/>
        </w:rPr>
      </w:pPr>
      <w:r>
        <w:rPr>
          <w:rFonts w:hint="eastAsia" w:cs="宋体"/>
        </w:rPr>
        <w:t>5.4因重大变故，采购任务取消的。</w:t>
      </w:r>
    </w:p>
    <w:p>
      <w:pPr>
        <w:pStyle w:val="3"/>
        <w:snapToGrid w:val="0"/>
        <w:spacing w:line="360" w:lineRule="auto"/>
        <w:rPr>
          <w:rFonts w:cs="宋体"/>
        </w:rPr>
      </w:pPr>
      <w:r>
        <w:rPr>
          <w:rFonts w:hint="eastAsia" w:cs="宋体"/>
        </w:rPr>
        <w:t>废标后，采购机构应当将废标理由通知所有投标人。</w:t>
      </w:r>
    </w:p>
    <w:p>
      <w:pPr>
        <w:pStyle w:val="3"/>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3"/>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3"/>
        <w:snapToGrid w:val="0"/>
        <w:spacing w:line="360" w:lineRule="auto"/>
        <w:rPr>
          <w:rFonts w:cs="宋体"/>
        </w:rPr>
      </w:pPr>
      <w:r>
        <w:rPr>
          <w:rFonts w:hint="eastAsia" w:cs="宋体"/>
        </w:rPr>
        <w:t>7.1未确定中标供应商的，终止本次政府采购活动，重新开展政府采购活动。</w:t>
      </w:r>
    </w:p>
    <w:p>
      <w:pPr>
        <w:pStyle w:val="3"/>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3"/>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3"/>
        <w:snapToGrid w:val="0"/>
        <w:spacing w:line="360" w:lineRule="auto"/>
        <w:rPr>
          <w:rFonts w:cs="宋体"/>
        </w:rPr>
      </w:pPr>
      <w:r>
        <w:rPr>
          <w:rFonts w:hint="eastAsia" w:cs="宋体"/>
        </w:rPr>
        <w:t>7.4政府采购合同已经履行，给采购人、供应商造成损失的，由责任人承担赔偿责任。</w:t>
      </w:r>
    </w:p>
    <w:p>
      <w:pPr>
        <w:pStyle w:val="3"/>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3"/>
        <w:snapToGrid w:val="0"/>
        <w:spacing w:line="360" w:lineRule="auto"/>
        <w:ind w:firstLine="0" w:firstLineChars="0"/>
        <w:rPr>
          <w:rFonts w:cs="宋体"/>
        </w:rPr>
      </w:pPr>
    </w:p>
    <w:bookmarkEnd w:id="27"/>
    <w:p>
      <w:pPr>
        <w:pStyle w:val="394"/>
        <w:spacing w:after="120" w:afterLines="0" w:line="360" w:lineRule="auto"/>
        <w:ind w:firstLine="1446" w:firstLineChars="400"/>
        <w:rPr>
          <w:rFonts w:ascii="宋体" w:hAnsi="宋体" w:cs="宋体"/>
          <w:b/>
          <w:color w:val="000000" w:themeColor="text1"/>
          <w:sz w:val="36"/>
          <w14:textFill>
            <w14:solidFill>
              <w14:schemeClr w14:val="tx1"/>
            </w14:solidFill>
          </w14:textFill>
        </w:rPr>
      </w:pPr>
      <w:bookmarkStart w:id="400" w:name="第五部分"/>
      <w:bookmarkStart w:id="401" w:name="_Toc86217003"/>
    </w:p>
    <w:p>
      <w:pPr>
        <w:pStyle w:val="394"/>
        <w:spacing w:after="120" w:afterLines="0" w:line="360" w:lineRule="auto"/>
        <w:ind w:firstLine="1446" w:firstLineChars="400"/>
        <w:rPr>
          <w:rFonts w:ascii="宋体" w:hAnsi="宋体" w:cs="宋体"/>
          <w:b/>
          <w:color w:val="000000" w:themeColor="text1"/>
          <w:sz w:val="36"/>
          <w14:textFill>
            <w14:solidFill>
              <w14:schemeClr w14:val="tx1"/>
            </w14:solidFill>
          </w14:textFill>
        </w:rPr>
      </w:pPr>
    </w:p>
    <w:p>
      <w:pPr>
        <w:pStyle w:val="394"/>
        <w:spacing w:after="120" w:afterLines="0" w:line="360" w:lineRule="auto"/>
        <w:ind w:firstLine="1446" w:firstLineChars="400"/>
        <w:rPr>
          <w:rFonts w:ascii="宋体" w:hAnsi="宋体" w:cs="宋体"/>
          <w:b/>
          <w:color w:val="000000" w:themeColor="text1"/>
          <w:sz w:val="36"/>
          <w14:textFill>
            <w14:solidFill>
              <w14:schemeClr w14:val="tx1"/>
            </w14:solidFill>
          </w14:textFill>
        </w:rPr>
      </w:pPr>
    </w:p>
    <w:p>
      <w:pPr>
        <w:pStyle w:val="394"/>
        <w:spacing w:after="120" w:afterLines="0" w:line="360" w:lineRule="auto"/>
        <w:ind w:firstLine="1446" w:firstLineChars="400"/>
        <w:rPr>
          <w:rFonts w:ascii="宋体" w:hAnsi="宋体" w:cs="宋体"/>
          <w:b/>
          <w:color w:val="000000" w:themeColor="text1"/>
          <w:sz w:val="36"/>
          <w14:textFill>
            <w14:solidFill>
              <w14:schemeClr w14:val="tx1"/>
            </w14:solidFill>
          </w14:textFill>
        </w:rPr>
      </w:pPr>
    </w:p>
    <w:p>
      <w:pPr>
        <w:pStyle w:val="394"/>
        <w:spacing w:after="120" w:afterLines="0" w:line="360" w:lineRule="auto"/>
        <w:ind w:firstLine="1446" w:firstLineChars="400"/>
        <w:rPr>
          <w:rFonts w:ascii="宋体" w:hAnsi="宋体" w:cs="宋体"/>
          <w:b/>
          <w:color w:val="000000" w:themeColor="text1"/>
          <w:sz w:val="36"/>
          <w14:textFill>
            <w14:solidFill>
              <w14:schemeClr w14:val="tx1"/>
            </w14:solidFill>
          </w14:textFill>
        </w:rPr>
      </w:pPr>
    </w:p>
    <w:p>
      <w:pPr>
        <w:pStyle w:val="394"/>
        <w:spacing w:after="120" w:afterLines="0" w:line="360" w:lineRule="auto"/>
        <w:ind w:firstLine="1446" w:firstLineChars="400"/>
        <w:rPr>
          <w:rFonts w:ascii="宋体" w:hAnsi="宋体" w:cs="宋体"/>
          <w:b/>
          <w:color w:val="000000" w:themeColor="text1"/>
          <w:sz w:val="36"/>
          <w14:textFill>
            <w14:solidFill>
              <w14:schemeClr w14:val="tx1"/>
            </w14:solidFill>
          </w14:textFill>
        </w:rPr>
      </w:pPr>
    </w:p>
    <w:p>
      <w:pPr>
        <w:pStyle w:val="394"/>
        <w:spacing w:after="120" w:afterLines="0" w:line="360" w:lineRule="auto"/>
        <w:ind w:firstLine="1446" w:firstLineChars="400"/>
        <w:rPr>
          <w:rFonts w:ascii="宋体" w:hAnsi="宋体" w:cs="宋体"/>
          <w:b/>
          <w:color w:val="000000" w:themeColor="text1"/>
          <w:sz w:val="36"/>
          <w14:textFill>
            <w14:solidFill>
              <w14:schemeClr w14:val="tx1"/>
            </w14:solidFill>
          </w14:textFill>
        </w:rPr>
      </w:pPr>
    </w:p>
    <w:p>
      <w:pPr>
        <w:pStyle w:val="394"/>
        <w:spacing w:after="120" w:afterLines="0" w:line="360" w:lineRule="auto"/>
        <w:ind w:firstLine="1446" w:firstLineChars="400"/>
        <w:rPr>
          <w:rFonts w:ascii="宋体" w:hAnsi="宋体" w:cs="宋体"/>
          <w:b/>
          <w:color w:val="000000" w:themeColor="text1"/>
          <w:sz w:val="36"/>
          <w14:textFill>
            <w14:solidFill>
              <w14:schemeClr w14:val="tx1"/>
            </w14:solidFill>
          </w14:textFill>
        </w:rPr>
      </w:pPr>
    </w:p>
    <w:p>
      <w:pPr>
        <w:pStyle w:val="394"/>
        <w:spacing w:after="120" w:afterLines="0" w:line="360" w:lineRule="auto"/>
        <w:ind w:firstLine="1446" w:firstLineChars="400"/>
        <w:rPr>
          <w:rFonts w:ascii="宋体" w:hAnsi="宋体" w:cs="宋体"/>
          <w:b/>
          <w:color w:val="000000" w:themeColor="text1"/>
          <w:sz w:val="36"/>
          <w14:textFill>
            <w14:solidFill>
              <w14:schemeClr w14:val="tx1"/>
            </w14:solidFill>
          </w14:textFill>
        </w:rPr>
      </w:pPr>
    </w:p>
    <w:p>
      <w:pPr>
        <w:pStyle w:val="394"/>
        <w:spacing w:after="120" w:afterLines="0" w:line="360" w:lineRule="auto"/>
        <w:ind w:firstLine="1446" w:firstLineChars="400"/>
        <w:rPr>
          <w:rFonts w:ascii="宋体" w:hAnsi="宋体" w:cs="宋体"/>
          <w:b/>
          <w:color w:val="000000" w:themeColor="text1"/>
          <w:sz w:val="36"/>
          <w14:textFill>
            <w14:solidFill>
              <w14:schemeClr w14:val="tx1"/>
            </w14:solidFill>
          </w14:textFill>
        </w:rPr>
      </w:pPr>
    </w:p>
    <w:p>
      <w:pPr>
        <w:pStyle w:val="394"/>
        <w:spacing w:after="120" w:afterLines="0" w:line="360" w:lineRule="auto"/>
        <w:ind w:firstLine="1446" w:firstLineChars="400"/>
        <w:rPr>
          <w:rFonts w:ascii="宋体" w:hAnsi="宋体" w:cs="宋体"/>
          <w:b/>
          <w:color w:val="000000" w:themeColor="text1"/>
          <w:sz w:val="36"/>
          <w:highlight w:val="yellow"/>
          <w14:textFill>
            <w14:solidFill>
              <w14:schemeClr w14:val="tx1"/>
            </w14:solidFill>
          </w14:textFill>
        </w:rPr>
      </w:pPr>
      <w:r>
        <w:rPr>
          <w:rFonts w:hint="eastAsia" w:ascii="宋体" w:hAnsi="宋体" w:cs="宋体"/>
          <w:b/>
          <w:color w:val="000000" w:themeColor="text1"/>
          <w:sz w:val="36"/>
          <w14:textFill>
            <w14:solidFill>
              <w14:schemeClr w14:val="tx1"/>
            </w14:solidFill>
          </w14:textFill>
        </w:rPr>
        <w:t>第五部分 采购合同的一般和特殊条款</w:t>
      </w:r>
    </w:p>
    <w:p>
      <w:pPr>
        <w:spacing w:line="360" w:lineRule="auto"/>
        <w:ind w:firstLine="480" w:firstLineChars="200"/>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根据《中华人民共和国政府采购法》和《中华人民共和国民法典》、地方有关法律、法规和政策，在平等、自愿、协商一致的基础上，就甲方（杭州市西湖</w:t>
      </w:r>
      <w:r>
        <w:rPr>
          <w:rFonts w:hint="eastAsia" w:asciiTheme="minorEastAsia" w:hAnsiTheme="minorEastAsia" w:eastAsiaTheme="minorEastAsia" w:cstheme="minorEastAsia"/>
          <w:color w:val="000000" w:themeColor="text1"/>
          <w:kern w:val="28"/>
          <w:sz w:val="24"/>
          <w:lang w:eastAsia="zh-Hans"/>
          <w14:textFill>
            <w14:solidFill>
              <w14:schemeClr w14:val="tx1"/>
            </w14:solidFill>
          </w14:textFill>
        </w:rPr>
        <w:t>区数据资源管理局</w:t>
      </w:r>
      <w:r>
        <w:rPr>
          <w:rFonts w:hint="eastAsia" w:asciiTheme="minorEastAsia" w:hAnsiTheme="minorEastAsia" w:eastAsiaTheme="minorEastAsia" w:cstheme="minorEastAsia"/>
          <w:color w:val="000000" w:themeColor="text1"/>
          <w:sz w:val="24"/>
          <w14:textFill>
            <w14:solidFill>
              <w14:schemeClr w14:val="tx1"/>
            </w14:solidFill>
          </w14:textFill>
        </w:rPr>
        <w:t>）委托乙方（</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经评审最终确定的</w:t>
      </w:r>
      <w:r>
        <w:rPr>
          <w:rFonts w:hint="eastAsia" w:asciiTheme="minorEastAsia" w:hAnsiTheme="minorEastAsia" w:eastAsiaTheme="minorEastAsia" w:cstheme="minorEastAsia"/>
          <w:color w:val="000000" w:themeColor="text1"/>
          <w:sz w:val="24"/>
          <w14:textFill>
            <w14:solidFill>
              <w14:schemeClr w14:val="tx1"/>
            </w14:solidFill>
          </w14:textFill>
        </w:rPr>
        <w:t>成交供应商）对杭州市西湖区cim地图能力提升建设项目订立本合同。</w:t>
      </w:r>
    </w:p>
    <w:p>
      <w:pPr>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1、 定义</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 “</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合同”</w:t>
      </w:r>
      <w:r>
        <w:rPr>
          <w:rFonts w:hint="eastAsia" w:asciiTheme="minorEastAsia" w:hAnsiTheme="minorEastAsia" w:eastAsiaTheme="minorEastAsia" w:cstheme="minorEastAsia"/>
          <w:color w:val="000000" w:themeColor="text1"/>
          <w:sz w:val="24"/>
          <w14:textFill>
            <w14:solidFill>
              <w14:schemeClr w14:val="tx1"/>
            </w14:solidFill>
          </w14:textFill>
        </w:rPr>
        <w:t>即由</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甲乙方</w:t>
      </w:r>
      <w:r>
        <w:rPr>
          <w:rFonts w:hint="eastAsia" w:asciiTheme="minorEastAsia" w:hAnsiTheme="minorEastAsia" w:eastAsiaTheme="minorEastAsia" w:cstheme="minorEastAsia"/>
          <w:color w:val="000000" w:themeColor="text1"/>
          <w:sz w:val="24"/>
          <w14:textFill>
            <w14:solidFill>
              <w14:schemeClr w14:val="tx1"/>
            </w14:solidFill>
          </w14:textFill>
        </w:rPr>
        <w:t>双方签订的合同格式中的文件，包括所有的附件、附录和组成合同部分的所有其他文件。</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合同将由杭州市西湖区数据资源管理局（以下简称甲方）与经评审最终确定的成交供应商（以下简称乙方）结合本项目具体情况协商后签订</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。以下为采购单位提出涉及乙方的主要条款，投标人在投标文件中应对其进行确认或拒绝。如投标人在其投标文件中未做拒绝或提出修改要求的，采购单位将视作认同</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 “合同价格”系指根据合同规定，在供应商全面正确地履行合同义务时，采购单位应支付给供应商的款项。</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3.“服务”系指招标文件规定供应商须承担的安装、调试、技术协助、校准、培训以及其它类似的义务。</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 “甲方”系指通过采购接受合同及服务的杭州市西湖区数据资源管理局。</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 “乙方”系指</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经评审最终确定的</w:t>
      </w:r>
      <w:r>
        <w:rPr>
          <w:rFonts w:hint="eastAsia" w:asciiTheme="minorEastAsia" w:hAnsiTheme="minorEastAsia" w:eastAsiaTheme="minorEastAsia" w:cstheme="minorEastAsia"/>
          <w:color w:val="000000" w:themeColor="text1"/>
          <w:sz w:val="24"/>
          <w14:textFill>
            <w14:solidFill>
              <w14:schemeClr w14:val="tx1"/>
            </w14:solidFill>
          </w14:textFill>
        </w:rPr>
        <w:t>成交供应商。</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6. “现场”系指将要进行系统安装和运转的地点。</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7. “验收”系指采购人依据国家有关规定接受合同所依据的程序和条件。</w:t>
      </w:r>
    </w:p>
    <w:p>
      <w:pPr>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2、 适用范围</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本合同条款适用与本次采购活动。项目实施范围详见附件——投标文件和投标文件及补充文件、承诺书等。</w:t>
      </w:r>
    </w:p>
    <w:p>
      <w:pPr>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3．项目开发与要求</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3.1乙方必须在合同签订后7天内进一步优化需求分析、概要设计、详细设计，向采购人提供上述文档并需经采购人审查通过。</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3.2合同签订后90天内完成项目的全部建设并通过初步验收，进入试运行（试运行1个月）。</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3.3试运行内完成培训及相关的修改，建立完善的系统运维体系，经终验合格，正式交付使用，进入维保服务。</w:t>
      </w:r>
    </w:p>
    <w:p>
      <w:pPr>
        <w:spacing w:line="360" w:lineRule="auto"/>
        <w:ind w:firstLine="480" w:firstLineChars="200"/>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3.4</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乙方</w:t>
      </w:r>
      <w:r>
        <w:rPr>
          <w:rFonts w:hint="eastAsia" w:asciiTheme="minorEastAsia" w:hAnsiTheme="minorEastAsia" w:eastAsiaTheme="minorEastAsia" w:cstheme="minorEastAsia"/>
          <w:color w:val="000000" w:themeColor="text1"/>
          <w:sz w:val="24"/>
          <w:szCs w:val="21"/>
          <w14:textFill>
            <w14:solidFill>
              <w14:schemeClr w14:val="tx1"/>
            </w14:solidFill>
          </w14:textFill>
        </w:rPr>
        <w:t>对所提供的开发产品、技术开发和服务等拥有</w:t>
      </w:r>
      <w:r>
        <w:rPr>
          <w:rFonts w:hint="eastAsia" w:asciiTheme="minorEastAsia" w:hAnsiTheme="minorEastAsia" w:eastAsiaTheme="minorEastAsia" w:cstheme="minorEastAsia"/>
          <w:color w:val="000000" w:themeColor="text1"/>
          <w:sz w:val="24"/>
          <w14:textFill>
            <w14:solidFill>
              <w14:schemeClr w14:val="tx1"/>
            </w14:solidFill>
          </w14:textFill>
        </w:rPr>
        <w:t>合法的占有和处置权，并对涉及项目的</w:t>
      </w:r>
      <w:r>
        <w:rPr>
          <w:rFonts w:hint="eastAsia" w:asciiTheme="minorEastAsia" w:hAnsiTheme="minorEastAsia" w:eastAsiaTheme="minorEastAsia" w:cstheme="minorEastAsia"/>
          <w:color w:val="000000" w:themeColor="text1"/>
          <w:sz w:val="24"/>
          <w:szCs w:val="21"/>
          <w14:textFill>
            <w14:solidFill>
              <w14:schemeClr w14:val="tx1"/>
            </w14:solidFill>
          </w14:textFill>
        </w:rPr>
        <w:t>所有内容可能侵权行为指控负责，保证不伤害</w:t>
      </w:r>
      <w:r>
        <w:rPr>
          <w:rFonts w:hint="eastAsia" w:asciiTheme="minorEastAsia" w:hAnsiTheme="minorEastAsia" w:eastAsiaTheme="minorEastAsia" w:cstheme="minorEastAsia"/>
          <w:color w:val="000000" w:themeColor="text1"/>
          <w:sz w:val="24"/>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1"/>
          <w14:textFill>
            <w14:solidFill>
              <w14:schemeClr w14:val="tx1"/>
            </w14:solidFill>
          </w14:textFill>
        </w:rPr>
        <w:t>的利益。在法律范围内，如果出现文字、图片、商标和技术等侵权行为而造成的纠纷和产生的一切费用，</w:t>
      </w:r>
      <w:r>
        <w:rPr>
          <w:rFonts w:hint="eastAsia" w:asciiTheme="minorEastAsia" w:hAnsiTheme="minorEastAsia" w:eastAsiaTheme="minorEastAsia" w:cstheme="minorEastAsia"/>
          <w:color w:val="000000" w:themeColor="text1"/>
          <w:sz w:val="24"/>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1"/>
          <w14:textFill>
            <w14:solidFill>
              <w14:schemeClr w14:val="tx1"/>
            </w14:solidFill>
          </w14:textFill>
        </w:rPr>
        <w:t>概不负责，由此给</w:t>
      </w:r>
      <w:r>
        <w:rPr>
          <w:rFonts w:hint="eastAsia" w:asciiTheme="minorEastAsia" w:hAnsiTheme="minorEastAsia" w:eastAsiaTheme="minorEastAsia" w:cstheme="minorEastAsia"/>
          <w:color w:val="000000" w:themeColor="text1"/>
          <w:sz w:val="24"/>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1"/>
          <w14:textFill>
            <w14:solidFill>
              <w14:schemeClr w14:val="tx1"/>
            </w14:solidFill>
          </w14:textFill>
        </w:rPr>
        <w:t>造成损失的，</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乙方</w:t>
      </w:r>
      <w:r>
        <w:rPr>
          <w:rFonts w:hint="eastAsia" w:asciiTheme="minorEastAsia" w:hAnsiTheme="minorEastAsia" w:eastAsiaTheme="minorEastAsia" w:cstheme="minorEastAsia"/>
          <w:color w:val="000000" w:themeColor="text1"/>
          <w:sz w:val="24"/>
          <w14:textFill>
            <w14:solidFill>
              <w14:schemeClr w14:val="tx1"/>
            </w14:solidFill>
          </w14:textFill>
        </w:rPr>
        <w:t>要承担相应后果，</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并负责赔偿。乙方</w:t>
      </w:r>
      <w:r>
        <w:rPr>
          <w:rFonts w:hint="eastAsia" w:asciiTheme="minorEastAsia" w:hAnsiTheme="minorEastAsia" w:eastAsiaTheme="minorEastAsia" w:cstheme="minorEastAsia"/>
          <w:color w:val="000000" w:themeColor="text1"/>
          <w:sz w:val="24"/>
          <w14:textFill>
            <w14:solidFill>
              <w14:schemeClr w14:val="tx1"/>
            </w14:solidFill>
          </w14:textFill>
        </w:rPr>
        <w:t>为执行本项目合同而提供的技术资料等归甲方所有。</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3.5乙方在投标文件中所列的开发产品等应与实际安装实施的产品完全一致，并提供相关证明。如发现产品与投标报价书等资料不符，甲方有权更换，其一切后果及费用由乙方承担。如发现不符合功能性能要求、质量要求等情况由乙方负责重新开发或补足，并不得影响建设开发工期。</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3.6乙方必须按照本项目进度推进实施，按照项目需求、</w:t>
      </w:r>
      <w:r>
        <w:rPr>
          <w:rFonts w:hint="eastAsia" w:asciiTheme="minorEastAsia" w:hAnsiTheme="minorEastAsia" w:eastAsiaTheme="minorEastAsia" w:cstheme="minorEastAsia"/>
          <w:color w:val="000000" w:themeColor="text1"/>
          <w:sz w:val="24"/>
          <w:szCs w:val="28"/>
          <w14:textFill>
            <w14:solidFill>
              <w14:schemeClr w14:val="tx1"/>
            </w14:solidFill>
          </w14:textFill>
        </w:rPr>
        <w:t>国家技术规范和质量标准实施项目开发和系统集成</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snapToGrid w:val="0"/>
        <w:spacing w:line="360" w:lineRule="auto"/>
        <w:ind w:firstLine="540" w:firstLineChars="225"/>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3.7该项目的应用软件成果由甲方与乙方共同所有。但乙方对甲方提供的业务资料、技术资料应严格保密，不得扩散。</w:t>
      </w:r>
    </w:p>
    <w:p>
      <w:pPr>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4．项目实施</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4.1甲方提供项目所需的数据信息支持和必要场地。</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4.2乙方项目实施人员须服从甲方管理人员管理。乙方项目实施人员必须遵守现场的各项规章制度。</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4.3乙方应根据项目情况提供软件开发、安装调试计划，项目实施进度计划，经甲、乙双方共同确定后作为双方共同执行的合同条款，乙方应按计划完工交付验收，若超过计划完工日15天以上的按超期处罚。 </w:t>
      </w:r>
    </w:p>
    <w:p>
      <w:pPr>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5．</w:t>
      </w:r>
      <w:r>
        <w:rPr>
          <w:rFonts w:hint="eastAsia" w:asciiTheme="minorEastAsia" w:hAnsiTheme="minorEastAsia" w:eastAsiaTheme="minorEastAsia" w:cstheme="minorEastAsia"/>
          <w:b/>
          <w:bCs/>
          <w:color w:val="000000" w:themeColor="text1"/>
          <w:kern w:val="0"/>
          <w:sz w:val="24"/>
          <w:lang w:val="zh-CN"/>
          <w14:textFill>
            <w14:solidFill>
              <w14:schemeClr w14:val="tx1"/>
            </w14:solidFill>
          </w14:textFill>
        </w:rPr>
        <w:t>系统维护与保修</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5.1 乙方对甲方提供操作维护、管理等培训。</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5.2 乙方</w:t>
      </w:r>
      <w:r>
        <w:rPr>
          <w:rFonts w:hint="eastAsia" w:asciiTheme="minorEastAsia" w:hAnsiTheme="minorEastAsia" w:eastAsiaTheme="minorEastAsia" w:cstheme="minorEastAsia"/>
          <w:bCs/>
          <w:color w:val="000000" w:themeColor="text1"/>
          <w:sz w:val="24"/>
          <w14:textFill>
            <w14:solidFill>
              <w14:schemeClr w14:val="tx1"/>
            </w14:solidFill>
          </w14:textFill>
        </w:rPr>
        <w:t>提</w:t>
      </w:r>
      <w:r>
        <w:rPr>
          <w:rFonts w:hint="eastAsia" w:asciiTheme="minorEastAsia" w:hAnsiTheme="minorEastAsia" w:eastAsiaTheme="minorEastAsia" w:cstheme="minorEastAsia"/>
          <w:color w:val="000000" w:themeColor="text1"/>
          <w:sz w:val="24"/>
          <w14:textFill>
            <w14:solidFill>
              <w14:schemeClr w14:val="tx1"/>
            </w14:solidFill>
          </w14:textFill>
        </w:rPr>
        <w:t>供 7×24小时售后技术支持服务</w:t>
      </w:r>
      <w:r>
        <w:rPr>
          <w:rFonts w:hint="eastAsia" w:asciiTheme="minorEastAsia" w:hAnsiTheme="minorEastAsia" w:eastAsiaTheme="minorEastAsia" w:cstheme="minorEastAsia"/>
          <w:b/>
          <w:bCs/>
          <w:color w:val="000000" w:themeColor="text1"/>
          <w:sz w:val="24"/>
          <w14:textFill>
            <w14:solidFill>
              <w14:schemeClr w14:val="tx1"/>
            </w14:solidFill>
          </w14:textFill>
        </w:rPr>
        <w:t>（3年软件质保服务)</w:t>
      </w:r>
      <w:r>
        <w:rPr>
          <w:rFonts w:hint="eastAsia" w:asciiTheme="minorEastAsia" w:hAnsiTheme="minorEastAsia" w:eastAsiaTheme="minorEastAsia" w:cstheme="minorEastAsia"/>
          <w:color w:val="000000" w:themeColor="text1"/>
          <w:sz w:val="24"/>
          <w14:textFill>
            <w14:solidFill>
              <w14:schemeClr w14:val="tx1"/>
            </w14:solidFill>
          </w14:textFill>
        </w:rPr>
        <w:t>，从验收合格之日起计算。</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5.3 维护期内，乙方须根据系统运行情况进行不定期的检测与调优，每半年对系统进行一次总体检测。</w:t>
      </w:r>
    </w:p>
    <w:p>
      <w:pPr>
        <w:tabs>
          <w:tab w:val="left" w:pos="900"/>
        </w:tabs>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5.4 乙方在每次服务完成后，须向用户提交相关文档，内容包括起因、响应、过程、结果、今后注意事项等各部分。</w:t>
      </w:r>
    </w:p>
    <w:p>
      <w:pPr>
        <w:spacing w:line="360" w:lineRule="auto"/>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6．验收</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甲方对所供系统进行最终验收。甲方将组织有关专家对系统进行验收。如果发现与合同中要求不符，乙方须承担由此发生的一切损失和费用，并接受相应的处罚。验收合格后，甲乙双方共同签署验收报告，一式二份，一份交甲方留存，一份由乙方用作结算凭证。项目验收有关费用由中标单位承担。</w:t>
      </w:r>
    </w:p>
    <w:p>
      <w:pPr>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7、项目价款及调整</w:t>
      </w:r>
    </w:p>
    <w:p>
      <w:pPr>
        <w:spacing w:line="360" w:lineRule="auto"/>
        <w:ind w:firstLine="480" w:firstLineChars="200"/>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本招标项目采取固定总价承包，未经甲方认可，不得以任何理由予以变更，除以下列明的价款调整和计算方法之外，所有费用包干，不予调整。乙方应按甲方提供的要求报价，缺项、漏项和产品偏离视作报价已包含在其它子项中，不予以调整。允许乙方对招标文件提供的技术方案在投标价格不增加且能扩大使用功能的前提下，可提出合理化建议或优化方案，做出其优越性、先进性等详细说明。</w:t>
      </w:r>
    </w:p>
    <w:p>
      <w:pPr>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8．支付</w:t>
      </w:r>
    </w:p>
    <w:p>
      <w:pPr>
        <w:autoSpaceDE w:val="0"/>
        <w:autoSpaceDN w:val="0"/>
        <w:ind w:firstLine="480" w:firstLineChars="200"/>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本次项目合同总价为人民币</w:t>
      </w:r>
      <w:r>
        <w:rPr>
          <w:rFonts w:hint="eastAsia" w:asciiTheme="minorEastAsia" w:hAnsiTheme="minorEastAsia" w:eastAsiaTheme="minorEastAsia" w:cstheme="minorEastAsia"/>
          <w:color w:val="000000" w:themeColor="text1"/>
          <w:kern w:val="0"/>
          <w:sz w:val="24"/>
          <w:u w:val="single"/>
          <w:lang w:val="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 xml:space="preserve"> </w:t>
      </w:r>
      <w:r>
        <w:rPr>
          <w:rFonts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元），采用分期付款方式</w:t>
      </w:r>
      <w:r>
        <w:rPr>
          <w:rFonts w:hint="eastAsia" w:asciiTheme="minorEastAsia" w:hAnsiTheme="minorEastAsia" w:eastAsiaTheme="minorEastAsia" w:cstheme="minorEastAsia"/>
          <w:color w:val="000000" w:themeColor="text1"/>
          <w:kern w:val="0"/>
          <w:sz w:val="24"/>
          <w14:textFill>
            <w14:solidFill>
              <w14:schemeClr w14:val="tx1"/>
            </w14:solidFill>
          </w14:textFill>
        </w:rPr>
        <w:t>：</w:t>
      </w:r>
    </w:p>
    <w:tbl>
      <w:tblPr>
        <w:tblStyle w:val="6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008"/>
        <w:gridCol w:w="1215"/>
        <w:gridCol w:w="5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E w:val="0"/>
              <w:autoSpaceDN w:val="0"/>
              <w:spacing w:line="360" w:lineRule="auto"/>
              <w:jc w:val="center"/>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付款期数</w:t>
            </w:r>
          </w:p>
        </w:tc>
        <w:tc>
          <w:tcPr>
            <w:tcW w:w="1008" w:type="dxa"/>
            <w:vAlign w:val="center"/>
          </w:tcPr>
          <w:p>
            <w:pPr>
              <w:autoSpaceDE w:val="0"/>
              <w:autoSpaceDN w:val="0"/>
              <w:spacing w:line="360" w:lineRule="auto"/>
              <w:jc w:val="center"/>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付款大写金额（元）</w:t>
            </w:r>
          </w:p>
        </w:tc>
        <w:tc>
          <w:tcPr>
            <w:tcW w:w="1215" w:type="dxa"/>
            <w:vAlign w:val="center"/>
          </w:tcPr>
          <w:p>
            <w:pPr>
              <w:autoSpaceDE w:val="0"/>
              <w:autoSpaceDN w:val="0"/>
              <w:spacing w:line="360" w:lineRule="auto"/>
              <w:jc w:val="center"/>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付款小写金额（元）</w:t>
            </w:r>
          </w:p>
        </w:tc>
        <w:tc>
          <w:tcPr>
            <w:tcW w:w="5999" w:type="dxa"/>
            <w:vAlign w:val="center"/>
          </w:tcPr>
          <w:p>
            <w:pPr>
              <w:autoSpaceDE w:val="0"/>
              <w:autoSpaceDN w:val="0"/>
              <w:spacing w:line="360" w:lineRule="auto"/>
              <w:jc w:val="center"/>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E w:val="0"/>
              <w:autoSpaceDN w:val="0"/>
              <w:spacing w:line="360" w:lineRule="auto"/>
              <w:jc w:val="center"/>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一</w:t>
            </w:r>
          </w:p>
        </w:tc>
        <w:tc>
          <w:tcPr>
            <w:tcW w:w="1008" w:type="dxa"/>
            <w:vAlign w:val="center"/>
          </w:tcPr>
          <w:p>
            <w:pPr>
              <w:autoSpaceDE w:val="0"/>
              <w:autoSpaceDN w:val="0"/>
              <w:spacing w:line="360" w:lineRule="auto"/>
              <w:jc w:val="center"/>
              <w:rPr>
                <w:rFonts w:asciiTheme="minorEastAsia" w:hAnsiTheme="minorEastAsia" w:eastAsiaTheme="minorEastAsia" w:cstheme="minorEastAsia"/>
                <w:color w:val="000000" w:themeColor="text1"/>
                <w:kern w:val="0"/>
                <w:sz w:val="24"/>
                <w:lang w:val="zh-CN"/>
                <w14:textFill>
                  <w14:solidFill>
                    <w14:schemeClr w14:val="tx1"/>
                  </w14:solidFill>
                </w14:textFill>
              </w:rPr>
            </w:pPr>
          </w:p>
        </w:tc>
        <w:tc>
          <w:tcPr>
            <w:tcW w:w="1215" w:type="dxa"/>
            <w:vAlign w:val="center"/>
          </w:tcPr>
          <w:p>
            <w:pPr>
              <w:autoSpaceDE w:val="0"/>
              <w:autoSpaceDN w:val="0"/>
              <w:spacing w:line="360" w:lineRule="auto"/>
              <w:jc w:val="center"/>
              <w:rPr>
                <w:rFonts w:asciiTheme="minorEastAsia" w:hAnsiTheme="minorEastAsia" w:eastAsiaTheme="minorEastAsia" w:cstheme="minorEastAsia"/>
                <w:color w:val="000000" w:themeColor="text1"/>
                <w:kern w:val="0"/>
                <w:sz w:val="24"/>
                <w:lang w:val="zh-CN"/>
                <w14:textFill>
                  <w14:solidFill>
                    <w14:schemeClr w14:val="tx1"/>
                  </w14:solidFill>
                </w14:textFill>
              </w:rPr>
            </w:pPr>
          </w:p>
        </w:tc>
        <w:tc>
          <w:tcPr>
            <w:tcW w:w="5999" w:type="dxa"/>
            <w:vAlign w:val="center"/>
          </w:tcPr>
          <w:p>
            <w:pPr>
              <w:autoSpaceDE w:val="0"/>
              <w:autoSpaceDN w:val="0"/>
              <w:spacing w:line="360" w:lineRule="auto"/>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合同签订后</w:t>
            </w:r>
            <w:r>
              <w:rPr>
                <w:rFonts w:hint="eastAsia" w:asciiTheme="minorEastAsia" w:hAnsiTheme="minorEastAsia" w:eastAsiaTheme="minorEastAsia" w:cstheme="minorEastAsia"/>
                <w:color w:val="000000" w:themeColor="text1"/>
                <w:sz w:val="24"/>
                <w14:textFill>
                  <w14:solidFill>
                    <w14:schemeClr w14:val="tx1"/>
                  </w14:solidFill>
                </w14:textFill>
              </w:rPr>
              <w:t>7</w:t>
            </w:r>
            <w:r>
              <w:rPr>
                <w:rFonts w:hint="eastAsia" w:asciiTheme="minorEastAsia" w:hAnsiTheme="minorEastAsia" w:eastAsiaTheme="minorEastAsia" w:cstheme="minorEastAsia"/>
                <w:color w:val="000000" w:themeColor="text1"/>
                <w:sz w:val="24"/>
                <w:lang w:val="zh-CN"/>
                <w14:textFill>
                  <w14:solidFill>
                    <w14:schemeClr w14:val="tx1"/>
                  </w14:solidFill>
                </w14:textFill>
              </w:rPr>
              <w:t>个工作日内，进行详细的需求调研，进一步优化概要设计、详细设计，向甲方提供上述文档并需经甲方审查通过。</w:t>
            </w:r>
            <w:r>
              <w:rPr>
                <w:rFonts w:hint="eastAsia" w:asciiTheme="minorEastAsia" w:hAnsiTheme="minorEastAsia" w:eastAsiaTheme="minorEastAsia" w:cstheme="minorEastAsia"/>
                <w:color w:val="000000" w:themeColor="text1"/>
                <w:sz w:val="24"/>
                <w14:textFill>
                  <w14:solidFill>
                    <w14:schemeClr w14:val="tx1"/>
                  </w14:solidFill>
                </w14:textFill>
              </w:rPr>
              <w:t>乙方凭甲方签字盖章的支付通知书向甲方办理合同总价40%的款项支付手续。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E w:val="0"/>
              <w:autoSpaceDN w:val="0"/>
              <w:spacing w:line="360" w:lineRule="auto"/>
              <w:jc w:val="center"/>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二</w:t>
            </w:r>
          </w:p>
        </w:tc>
        <w:tc>
          <w:tcPr>
            <w:tcW w:w="1008" w:type="dxa"/>
            <w:vAlign w:val="center"/>
          </w:tcPr>
          <w:p>
            <w:pPr>
              <w:autoSpaceDE w:val="0"/>
              <w:autoSpaceDN w:val="0"/>
              <w:spacing w:line="360" w:lineRule="auto"/>
              <w:jc w:val="center"/>
              <w:rPr>
                <w:rFonts w:asciiTheme="minorEastAsia" w:hAnsiTheme="minorEastAsia" w:eastAsiaTheme="minorEastAsia" w:cstheme="minorEastAsia"/>
                <w:color w:val="000000" w:themeColor="text1"/>
                <w:kern w:val="0"/>
                <w:sz w:val="24"/>
                <w:lang w:val="zh-CN"/>
                <w14:textFill>
                  <w14:solidFill>
                    <w14:schemeClr w14:val="tx1"/>
                  </w14:solidFill>
                </w14:textFill>
              </w:rPr>
            </w:pPr>
          </w:p>
        </w:tc>
        <w:tc>
          <w:tcPr>
            <w:tcW w:w="1215" w:type="dxa"/>
            <w:vAlign w:val="center"/>
          </w:tcPr>
          <w:p>
            <w:pPr>
              <w:autoSpaceDE w:val="0"/>
              <w:autoSpaceDN w:val="0"/>
              <w:spacing w:line="360" w:lineRule="auto"/>
              <w:jc w:val="center"/>
              <w:rPr>
                <w:rFonts w:asciiTheme="minorEastAsia" w:hAnsiTheme="minorEastAsia" w:eastAsiaTheme="minorEastAsia" w:cstheme="minorEastAsia"/>
                <w:color w:val="000000" w:themeColor="text1"/>
                <w:kern w:val="0"/>
                <w:sz w:val="24"/>
                <w:lang w:val="zh-CN"/>
                <w14:textFill>
                  <w14:solidFill>
                    <w14:schemeClr w14:val="tx1"/>
                  </w14:solidFill>
                </w14:textFill>
              </w:rPr>
            </w:pPr>
          </w:p>
        </w:tc>
        <w:tc>
          <w:tcPr>
            <w:tcW w:w="5999" w:type="dxa"/>
            <w:vAlign w:val="center"/>
          </w:tcPr>
          <w:p>
            <w:pPr>
              <w:autoSpaceDE w:val="0"/>
              <w:autoSpaceDN w:val="0"/>
              <w:spacing w:line="360" w:lineRule="auto"/>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合同签订后</w:t>
            </w:r>
            <w:r>
              <w:rPr>
                <w:rFonts w:hint="eastAsia" w:asciiTheme="minorEastAsia" w:hAnsiTheme="minorEastAsia" w:eastAsiaTheme="minorEastAsia" w:cstheme="minorEastAsia"/>
                <w:b/>
                <w:bCs/>
                <w:color w:val="000000" w:themeColor="text1"/>
                <w:sz w:val="24"/>
                <w14:textFill>
                  <w14:solidFill>
                    <w14:schemeClr w14:val="tx1"/>
                  </w14:solidFill>
                </w14:textFill>
              </w:rPr>
              <w:t>90天</w:t>
            </w:r>
            <w:r>
              <w:rPr>
                <w:rFonts w:hint="eastAsia" w:asciiTheme="minorEastAsia" w:hAnsiTheme="minorEastAsia" w:eastAsiaTheme="minorEastAsia" w:cstheme="minorEastAsia"/>
                <w:color w:val="000000" w:themeColor="text1"/>
                <w:sz w:val="24"/>
                <w:lang w:val="zh-CN"/>
                <w14:textFill>
                  <w14:solidFill>
                    <w14:schemeClr w14:val="tx1"/>
                  </w14:solidFill>
                </w14:textFill>
              </w:rPr>
              <w:t>内完成软件系统开发建设、开发、上线并通过初步验收之后，</w:t>
            </w:r>
            <w:r>
              <w:rPr>
                <w:rFonts w:hint="eastAsia" w:asciiTheme="minorEastAsia" w:hAnsiTheme="minorEastAsia" w:eastAsiaTheme="minorEastAsia" w:cstheme="minorEastAsia"/>
                <w:color w:val="000000" w:themeColor="text1"/>
                <w:sz w:val="24"/>
                <w14:textFill>
                  <w14:solidFill>
                    <w14:schemeClr w14:val="tx1"/>
                  </w14:solidFill>
                </w14:textFill>
              </w:rPr>
              <w:t>10</w:t>
            </w:r>
            <w:r>
              <w:rPr>
                <w:rFonts w:hint="eastAsia" w:asciiTheme="minorEastAsia" w:hAnsiTheme="minorEastAsia" w:eastAsiaTheme="minorEastAsia" w:cstheme="minorEastAsia"/>
                <w:color w:val="000000" w:themeColor="text1"/>
                <w:sz w:val="24"/>
                <w:lang w:val="zh-CN"/>
                <w14:textFill>
                  <w14:solidFill>
                    <w14:schemeClr w14:val="tx1"/>
                  </w14:solidFill>
                </w14:textFill>
              </w:rPr>
              <w:t>个工作日内</w:t>
            </w:r>
            <w:r>
              <w:rPr>
                <w:rFonts w:hint="eastAsia" w:asciiTheme="minorEastAsia" w:hAnsiTheme="minorEastAsia" w:eastAsiaTheme="minorEastAsia" w:cstheme="minorEastAsia"/>
                <w:color w:val="000000" w:themeColor="text1"/>
                <w:sz w:val="24"/>
                <w14:textFill>
                  <w14:solidFill>
                    <w14:schemeClr w14:val="tx1"/>
                  </w14:solidFill>
                </w14:textFill>
              </w:rPr>
              <w:t>，乙方凭甲方签字盖章的支付通知书、初验报告向甲方办理合同总价40%的款项支付手续。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autoSpaceDE w:val="0"/>
              <w:autoSpaceDN w:val="0"/>
              <w:spacing w:line="360" w:lineRule="auto"/>
              <w:jc w:val="center"/>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三</w:t>
            </w:r>
          </w:p>
        </w:tc>
        <w:tc>
          <w:tcPr>
            <w:tcW w:w="1008" w:type="dxa"/>
            <w:vAlign w:val="center"/>
          </w:tcPr>
          <w:p>
            <w:pPr>
              <w:autoSpaceDE w:val="0"/>
              <w:autoSpaceDN w:val="0"/>
              <w:spacing w:line="360" w:lineRule="auto"/>
              <w:jc w:val="center"/>
              <w:rPr>
                <w:rFonts w:asciiTheme="minorEastAsia" w:hAnsiTheme="minorEastAsia" w:eastAsiaTheme="minorEastAsia" w:cstheme="minorEastAsia"/>
                <w:color w:val="000000" w:themeColor="text1"/>
                <w:kern w:val="0"/>
                <w:sz w:val="24"/>
                <w:lang w:val="zh-CN"/>
                <w14:textFill>
                  <w14:solidFill>
                    <w14:schemeClr w14:val="tx1"/>
                  </w14:solidFill>
                </w14:textFill>
              </w:rPr>
            </w:pPr>
          </w:p>
        </w:tc>
        <w:tc>
          <w:tcPr>
            <w:tcW w:w="1215" w:type="dxa"/>
            <w:vAlign w:val="center"/>
          </w:tcPr>
          <w:p>
            <w:pPr>
              <w:autoSpaceDE w:val="0"/>
              <w:autoSpaceDN w:val="0"/>
              <w:spacing w:line="360" w:lineRule="auto"/>
              <w:jc w:val="center"/>
              <w:rPr>
                <w:rFonts w:asciiTheme="minorEastAsia" w:hAnsiTheme="minorEastAsia" w:eastAsiaTheme="minorEastAsia" w:cstheme="minorEastAsia"/>
                <w:color w:val="000000" w:themeColor="text1"/>
                <w:kern w:val="0"/>
                <w:sz w:val="24"/>
                <w:lang w:val="zh-CN"/>
                <w14:textFill>
                  <w14:solidFill>
                    <w14:schemeClr w14:val="tx1"/>
                  </w14:solidFill>
                </w14:textFill>
              </w:rPr>
            </w:pPr>
          </w:p>
        </w:tc>
        <w:tc>
          <w:tcPr>
            <w:tcW w:w="5999" w:type="dxa"/>
            <w:vAlign w:val="center"/>
          </w:tcPr>
          <w:p>
            <w:pPr>
              <w:autoSpaceDE w:val="0"/>
              <w:autoSpaceDN w:val="0"/>
              <w:spacing w:line="360" w:lineRule="auto"/>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系统正常运转</w:t>
            </w:r>
            <w:r>
              <w:rPr>
                <w:rFonts w:hint="eastAsia" w:asciiTheme="minorEastAsia" w:hAnsiTheme="minorEastAsia" w:eastAsiaTheme="minorEastAsia" w:cstheme="minorEastAsia"/>
                <w:b/>
                <w:bCs/>
                <w:color w:val="000000" w:themeColor="text1"/>
                <w:kern w:val="0"/>
                <w:sz w:val="24"/>
                <w14:textFill>
                  <w14:solidFill>
                    <w14:schemeClr w14:val="tx1"/>
                  </w14:solidFill>
                </w14:textFill>
              </w:rPr>
              <w:t>1个月后</w:t>
            </w:r>
            <w:r>
              <w:rPr>
                <w:rFonts w:hint="eastAsia" w:asciiTheme="minorEastAsia" w:hAnsiTheme="minorEastAsia" w:eastAsiaTheme="minorEastAsia" w:cstheme="minorEastAsia"/>
                <w:color w:val="000000" w:themeColor="text1"/>
                <w:kern w:val="0"/>
                <w:sz w:val="24"/>
                <w14:textFill>
                  <w14:solidFill>
                    <w14:schemeClr w14:val="tx1"/>
                  </w14:solidFill>
                </w14:textFill>
              </w:rPr>
              <w:t>（试运行1个月）</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，提交全部报告材料，并通过最终验收，出具项目终验报告。</w:t>
            </w:r>
            <w:r>
              <w:rPr>
                <w:rFonts w:hint="eastAsia" w:asciiTheme="minorEastAsia" w:hAnsiTheme="minorEastAsia" w:eastAsiaTheme="minorEastAsia" w:cstheme="minorEastAsia"/>
                <w:color w:val="000000" w:themeColor="text1"/>
                <w:sz w:val="24"/>
                <w14:textFill>
                  <w14:solidFill>
                    <w14:schemeClr w14:val="tx1"/>
                  </w14:solidFill>
                </w14:textFill>
              </w:rPr>
              <w:t>乙方凭甲方签字盖章的支付通知书、发票复印件、终验报告向甲方办理合同总价20%的货款结算手续。</w:t>
            </w:r>
          </w:p>
        </w:tc>
      </w:tr>
    </w:tbl>
    <w:p>
      <w:pPr>
        <w:pStyle w:val="34"/>
        <w:spacing w:line="360" w:lineRule="auto"/>
        <w:rPr>
          <w:rFonts w:asciiTheme="minorEastAsia" w:hAnsiTheme="minorEastAsia" w:eastAsiaTheme="minorEastAsia" w:cstheme="minorEastAsia"/>
          <w:b/>
          <w:color w:val="000000" w:themeColor="text1"/>
          <w:sz w:val="24"/>
          <w:lang w:val="zh-CN"/>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9</w:t>
      </w: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4"/>
          <w:lang w:val="zh-CN"/>
          <w14:textFill>
            <w14:solidFill>
              <w14:schemeClr w14:val="tx1"/>
            </w14:solidFill>
          </w14:textFill>
        </w:rPr>
        <w:t>履约保证金缴纳及退付</w:t>
      </w:r>
    </w:p>
    <w:p>
      <w:pPr>
        <w:pStyle w:val="128"/>
        <w:snapToGrid w:val="0"/>
        <w:spacing w:before="0"/>
        <w:ind w:firstLine="480"/>
        <w:rPr>
          <w:rFonts w:asciiTheme="minorEastAsia" w:hAnsiTheme="minorEastAsia" w:eastAsiaTheme="minorEastAsia" w:cstheme="minorEastAsia"/>
          <w:color w:val="000000" w:themeColor="text1"/>
          <w:kern w:val="0"/>
          <w:lang w:val="zh-CN"/>
          <w14:textFill>
            <w14:solidFill>
              <w14:schemeClr w14:val="tx1"/>
            </w14:solidFill>
          </w14:textFill>
        </w:rPr>
      </w:pPr>
      <w:r>
        <w:rPr>
          <w:rFonts w:hint="eastAsia" w:asciiTheme="minorEastAsia" w:hAnsiTheme="minorEastAsia" w:eastAsiaTheme="minorEastAsia" w:cstheme="minorEastAsia"/>
          <w:color w:val="000000" w:themeColor="text1"/>
          <w:kern w:val="0"/>
          <w:lang w:val="zh-CN"/>
          <w14:textFill>
            <w14:solidFill>
              <w14:schemeClr w14:val="tx1"/>
            </w14:solidFill>
          </w14:textFill>
        </w:rPr>
        <w:t>9.1 签订合同后3个工作日内，中标人（乙方）须向采购人（甲方）缴纳不超过政府采购合同总额</w:t>
      </w:r>
      <w:r>
        <w:rPr>
          <w:rFonts w:hint="eastAsia" w:asciiTheme="minorEastAsia" w:hAnsiTheme="minorEastAsia" w:eastAsiaTheme="minorEastAsia" w:cstheme="minorEastAsia"/>
          <w:color w:val="000000" w:themeColor="text1"/>
          <w:kern w:val="0"/>
          <w14:textFill>
            <w14:solidFill>
              <w14:schemeClr w14:val="tx1"/>
            </w14:solidFill>
          </w14:textFill>
        </w:rPr>
        <w:t>1</w:t>
      </w:r>
      <w:r>
        <w:rPr>
          <w:rFonts w:hint="eastAsia" w:asciiTheme="minorEastAsia" w:hAnsiTheme="minorEastAsia" w:eastAsiaTheme="minorEastAsia" w:cstheme="minorEastAsia"/>
          <w:color w:val="000000" w:themeColor="text1"/>
          <w:kern w:val="0"/>
          <w:lang w:val="zh-CN"/>
          <w14:textFill>
            <w14:solidFill>
              <w14:schemeClr w14:val="tx1"/>
            </w14:solidFill>
          </w14:textFill>
        </w:rPr>
        <w:t xml:space="preserve">％的履约保证金，缴纳金额: </w:t>
      </w:r>
      <w:r>
        <w:rPr>
          <w:rFonts w:hint="eastAsia" w:asciiTheme="minorEastAsia" w:hAnsiTheme="minorEastAsia" w:eastAsiaTheme="minorEastAsia" w:cstheme="minorEastAsia"/>
          <w:color w:val="000000" w:themeColor="text1"/>
          <w:kern w:val="0"/>
          <w:u w:val="single"/>
          <w:lang w:val="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lang w:val="zh-CN"/>
          <w14:textFill>
            <w14:solidFill>
              <w14:schemeClr w14:val="tx1"/>
            </w14:solidFill>
          </w14:textFill>
        </w:rPr>
        <w:t>（￥元）。</w:t>
      </w:r>
      <w:r>
        <w:rPr>
          <w:rFonts w:hint="eastAsia" w:asciiTheme="minorEastAsia" w:hAnsiTheme="minorEastAsia" w:eastAsiaTheme="minorEastAsia" w:cstheme="minorEastAsia"/>
          <w:color w:val="000000" w:themeColor="text1"/>
          <w14:textFill>
            <w14:solidFill>
              <w14:schemeClr w14:val="tx1"/>
            </w14:solidFill>
          </w14:textFill>
        </w:rPr>
        <w:t>采购人在项目验收合格后，若无质量和服务等问题，在5个工作日内将履约保证金原额（无息）归还中标人</w:t>
      </w:r>
      <w:r>
        <w:rPr>
          <w:rFonts w:hint="eastAsia" w:asciiTheme="minorEastAsia" w:hAnsiTheme="minorEastAsia" w:eastAsiaTheme="minorEastAsia" w:cstheme="minorEastAsia"/>
          <w:color w:val="000000" w:themeColor="text1"/>
          <w:kern w:val="0"/>
          <w:lang w:val="zh-CN"/>
          <w14:textFill>
            <w14:solidFill>
              <w14:schemeClr w14:val="tx1"/>
            </w14:solidFill>
          </w14:textFill>
        </w:rPr>
        <w:t>；</w:t>
      </w:r>
    </w:p>
    <w:p>
      <w:pPr>
        <w:pStyle w:val="128"/>
        <w:snapToGrid w:val="0"/>
        <w:spacing w:before="0"/>
        <w:ind w:firstLine="480"/>
        <w:rPr>
          <w:rFonts w:asciiTheme="minorEastAsia" w:hAnsiTheme="minorEastAsia" w:eastAsiaTheme="minorEastAsia" w:cstheme="minorEastAsia"/>
          <w:color w:val="000000" w:themeColor="text1"/>
          <w:kern w:val="0"/>
          <w:lang w:val="zh-CN"/>
          <w14:textFill>
            <w14:solidFill>
              <w14:schemeClr w14:val="tx1"/>
            </w14:solidFill>
          </w14:textFill>
        </w:rPr>
      </w:pPr>
      <w:r>
        <w:rPr>
          <w:rFonts w:hint="eastAsia" w:asciiTheme="minorEastAsia" w:hAnsiTheme="minorEastAsia" w:eastAsiaTheme="minorEastAsia" w:cstheme="minorEastAsia"/>
          <w:color w:val="000000" w:themeColor="text1"/>
          <w:kern w:val="0"/>
          <w:lang w:val="zh-CN"/>
          <w14:textFill>
            <w14:solidFill>
              <w14:schemeClr w14:val="tx1"/>
            </w14:solidFill>
          </w14:textFill>
        </w:rPr>
        <w:t>9.</w:t>
      </w:r>
      <w:r>
        <w:rPr>
          <w:rFonts w:asciiTheme="minorEastAsia" w:hAnsiTheme="minorEastAsia" w:eastAsiaTheme="minorEastAsia" w:cstheme="minorEastAsia"/>
          <w:color w:val="000000" w:themeColor="text1"/>
          <w:kern w:val="0"/>
          <w14:textFill>
            <w14:solidFill>
              <w14:schemeClr w14:val="tx1"/>
            </w14:solidFill>
          </w14:textFill>
        </w:rPr>
        <w:t>2</w:t>
      </w:r>
      <w:r>
        <w:rPr>
          <w:rFonts w:hint="eastAsia" w:asciiTheme="minorEastAsia" w:hAnsiTheme="minorEastAsia" w:eastAsiaTheme="minorEastAsia" w:cstheme="minorEastAsia"/>
          <w:color w:val="000000" w:themeColor="text1"/>
          <w:kern w:val="0"/>
          <w:lang w:val="zh-CN"/>
          <w14:textFill>
            <w14:solidFill>
              <w14:schemeClr w14:val="tx1"/>
            </w14:solidFill>
          </w14:textFill>
        </w:rPr>
        <w:t>履约保证金可以用支票、汇票、本票或者银行、保险公司出具的保函等非现金形式交纳。</w:t>
      </w:r>
    </w:p>
    <w:p>
      <w:pPr>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10．延期交付与核定损失额</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如果</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乙方</w:t>
      </w:r>
      <w:r>
        <w:rPr>
          <w:rFonts w:hint="eastAsia" w:asciiTheme="minorEastAsia" w:hAnsiTheme="minorEastAsia" w:eastAsiaTheme="minorEastAsia" w:cstheme="minorEastAsia"/>
          <w:color w:val="000000" w:themeColor="text1"/>
          <w:sz w:val="24"/>
          <w14:textFill>
            <w14:solidFill>
              <w14:schemeClr w14:val="tx1"/>
            </w14:solidFill>
          </w14:textFill>
        </w:rPr>
        <w:t>在正常情况下未能按合同规定的时间按期交付使用或未能按合同规定履行其义务，</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乙方</w:t>
      </w:r>
      <w:r>
        <w:rPr>
          <w:rFonts w:hint="eastAsia" w:asciiTheme="minorEastAsia" w:hAnsiTheme="minorEastAsia" w:eastAsiaTheme="minorEastAsia" w:cstheme="minorEastAsia"/>
          <w:color w:val="000000" w:themeColor="text1"/>
          <w:sz w:val="24"/>
          <w14:textFill>
            <w14:solidFill>
              <w14:schemeClr w14:val="tx1"/>
            </w14:solidFill>
          </w14:textFill>
        </w:rPr>
        <w:t>将承担相应后果，甲方有权从履约</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保证金中取得补偿。</w:t>
      </w:r>
    </w:p>
    <w:p>
      <w:pPr>
        <w:spacing w:line="360" w:lineRule="auto"/>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11．不可抗力</w:t>
      </w:r>
    </w:p>
    <w:p>
      <w:pPr>
        <w:autoSpaceDE w:val="0"/>
        <w:autoSpaceDN w:val="0"/>
        <w:spacing w:line="360" w:lineRule="auto"/>
        <w:ind w:firstLine="480" w:firstLineChars="200"/>
        <w:jc w:val="left"/>
        <w:rPr>
          <w:rFonts w:asciiTheme="minorEastAsia" w:hAnsiTheme="minorEastAsia" w:eastAsiaTheme="minorEastAsia" w:cstheme="minorEastAsia"/>
          <w:b/>
          <w:bCs/>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spacing w:line="360" w:lineRule="auto"/>
        <w:jc w:val="left"/>
        <w:rPr>
          <w:rFonts w:asciiTheme="minorEastAsia" w:hAnsiTheme="minorEastAsia" w:eastAsiaTheme="minorEastAsia" w:cstheme="minorEastAsia"/>
          <w:b/>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12. 乙方的责任与义务</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12.1 根据投标文件的承诺向甲方委派</w:t>
      </w:r>
      <w:r>
        <w:rPr>
          <w:rFonts w:hint="eastAsia" w:asciiTheme="minorEastAsia" w:hAnsiTheme="minorEastAsia" w:eastAsiaTheme="minorEastAsia" w:cstheme="minorEastAsia"/>
          <w:color w:val="000000" w:themeColor="text1"/>
          <w:sz w:val="24"/>
          <w14:textFill>
            <w14:solidFill>
              <w14:schemeClr w14:val="tx1"/>
            </w14:solidFill>
          </w14:textFill>
        </w:rPr>
        <w:t>项目负责人、技术负责人</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和专业技术人员。</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12.2 在履行本合同义务的期间，应运用合理的技能，认真、勤奋工作。</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12.3 在本合同期内或合同终止后，未征得有关方同意，不得泄</w:t>
      </w:r>
      <w:r>
        <w:rPr>
          <w:rFonts w:hint="eastAsia" w:asciiTheme="minorEastAsia" w:hAnsiTheme="minorEastAsia" w:eastAsiaTheme="minorEastAsia" w:cstheme="minorEastAsia"/>
          <w:color w:val="000000" w:themeColor="text1"/>
          <w:kern w:val="0"/>
          <w:sz w:val="24"/>
          <w14:textFill>
            <w14:solidFill>
              <w14:schemeClr w14:val="tx1"/>
            </w14:solidFill>
          </w14:textFill>
        </w:rPr>
        <w:t>露</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与本项目、本合同有关的技术、资料等，不得以任何形式侵害甲方的知识产权。</w:t>
      </w:r>
    </w:p>
    <w:p>
      <w:pPr>
        <w:autoSpaceDE w:val="0"/>
        <w:autoSpaceDN w:val="0"/>
        <w:spacing w:line="360" w:lineRule="auto"/>
        <w:ind w:firstLine="48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 xml:space="preserve">12.4 </w:t>
      </w:r>
      <w:r>
        <w:rPr>
          <w:rFonts w:hint="eastAsia" w:asciiTheme="minorEastAsia" w:hAnsiTheme="minorEastAsia" w:eastAsiaTheme="minorEastAsia" w:cstheme="minorEastAsia"/>
          <w:color w:val="000000" w:themeColor="text1"/>
          <w:sz w:val="24"/>
          <w14:textFill>
            <w14:solidFill>
              <w14:schemeClr w14:val="tx1"/>
            </w14:solidFill>
          </w14:textFill>
        </w:rPr>
        <w:t>负责本系统项目建设及整体联动，负责处理好与其他项目实施单位的协调。</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12.5 项目建设有关事项包括：项目规划、设计标准、规范和使用功能要求，向甲方的建议权；</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12.6 项目设计中的技术问题，按照安全和优化的原则，提出建议，并向甲方提出书面报告。如果由于拟提出的建议会提高项目造价，或延长工期，应当事先取的甲方的同意；</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12.7 项目实施组织设计和技术方案，按照保质量、保工期和降低成本的原则，向甲方提出书面报告。如果由于拟提出的建议会提高项目造价，或延长工期，应当事先取得甲方的同意。</w:t>
      </w:r>
    </w:p>
    <w:p>
      <w:pPr>
        <w:spacing w:line="360" w:lineRule="auto"/>
        <w:ind w:firstLine="42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12.8</w:t>
      </w:r>
      <w:r>
        <w:rPr>
          <w:rFonts w:hint="eastAsia" w:asciiTheme="minorEastAsia" w:hAnsiTheme="minorEastAsia" w:eastAsiaTheme="minorEastAsia" w:cstheme="minorEastAsia"/>
          <w:color w:val="000000" w:themeColor="text1"/>
          <w:sz w:val="24"/>
          <w14:textFill>
            <w14:solidFill>
              <w14:schemeClr w14:val="tx1"/>
            </w14:solidFill>
          </w14:textFill>
        </w:rPr>
        <w:t>乙方须保证所提供软件系统是拥有合法版权的产品，符合国家有关规定。能提供技术及备件支持。乙方须保证所提供产品具有合法的版权或使用权，如在本项目范围内使用过程中出现版权或使用权纠纷，应由乙方负责，甲方不承担责任。</w:t>
      </w:r>
    </w:p>
    <w:p>
      <w:pPr>
        <w:autoSpaceDE w:val="0"/>
        <w:autoSpaceDN w:val="0"/>
        <w:spacing w:line="360" w:lineRule="auto"/>
        <w:jc w:val="left"/>
        <w:rPr>
          <w:rFonts w:asciiTheme="minorEastAsia" w:hAnsiTheme="minorEastAsia" w:eastAsiaTheme="minorEastAsia" w:cstheme="minorEastAsia"/>
          <w:b/>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13. 甲方的责任与义务</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13.1 甲方应当主要负责项目建设的所有外部关系的联系与协调，为乙方工作提供良好的外部条件。</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13.2 甲方应当按合同条款双方约定的内容和时间，向乙方提供与项目建设有关的项目资料等。</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13.3 甲方应当按合同条款约定的时间就乙方书面提交并要求做出决定的一切事宜做出书面决定。逾期应视为甲方同意。</w:t>
      </w:r>
    </w:p>
    <w:p>
      <w:pPr>
        <w:autoSpaceDE w:val="0"/>
        <w:autoSpaceDN w:val="0"/>
        <w:spacing w:line="360" w:lineRule="auto"/>
        <w:ind w:firstLine="480"/>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13.4 甲方应授权一名熟悉本项目情况、能迅速做出决定的项目代表，负责与乙方联系。更换代表，要提前通知乙方。</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13.5 甲方有与乙方订立补充合同的签订权。</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13.6 甲方有对项目规模、设计标准、规范和设计使用功能要求的认定权，以及对项目建设、设计变更的审批权。</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13.7 甲方有权要求乙方提交工作月度报告及专项报告等。</w:t>
      </w:r>
    </w:p>
    <w:p>
      <w:pPr>
        <w:snapToGrid w:val="0"/>
        <w:spacing w:line="360" w:lineRule="auto"/>
        <w:rPr>
          <w:rFonts w:asciiTheme="minorEastAsia" w:hAnsiTheme="minorEastAsia" w:eastAsiaTheme="minorEastAsia" w:cstheme="minorEastAsia"/>
          <w:b/>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14. 合同生效、变更和终止</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 xml:space="preserve">14.1 </w:t>
      </w:r>
      <w:r>
        <w:rPr>
          <w:rFonts w:hint="eastAsia" w:asciiTheme="minorEastAsia" w:hAnsiTheme="minorEastAsia" w:eastAsiaTheme="minorEastAsia" w:cstheme="minorEastAsia"/>
          <w:color w:val="000000" w:themeColor="text1"/>
          <w:sz w:val="24"/>
          <w14:textFill>
            <w14:solidFill>
              <w14:schemeClr w14:val="tx1"/>
            </w14:solidFill>
          </w14:textFill>
        </w:rPr>
        <w:t>本合同经甲乙双方法定代表人或其委托人签字盖章，并且乙方向甲方缴纳合同约定金额的履约保证金或建议免收履约保证金，合同在政采云平台备案后生效。</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至合同期止</w:t>
      </w:r>
      <w:r>
        <w:rPr>
          <w:rFonts w:hint="eastAsia" w:asciiTheme="minorEastAsia" w:hAnsiTheme="minorEastAsia" w:eastAsiaTheme="minorEastAsia" w:cstheme="minorEastAsia"/>
          <w:color w:val="000000" w:themeColor="text1"/>
          <w:sz w:val="24"/>
          <w14:textFill>
            <w14:solidFill>
              <w14:schemeClr w14:val="tx1"/>
            </w14:solidFill>
          </w14:textFill>
        </w:rPr>
        <w:t>。</w:t>
      </w:r>
    </w:p>
    <w:p>
      <w:pPr>
        <w:pStyle w:val="25"/>
        <w:ind w:firstLine="482" w:firstLineChars="200"/>
        <w:rPr>
          <w:rFonts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b/>
          <w:bCs/>
          <w:color w:val="000000" w:themeColor="text1"/>
          <w:szCs w:val="24"/>
          <w:lang w:val="en-US"/>
          <w14:textFill>
            <w14:solidFill>
              <w14:schemeClr w14:val="tx1"/>
            </w14:solidFill>
          </w14:textFill>
        </w:rPr>
        <w:t>14.2.合同转让和分包:本项目不允许分包。</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14.</w:t>
      </w:r>
      <w:r>
        <w:rPr>
          <w:rFonts w:hint="eastAsia" w:asciiTheme="minorEastAsia" w:hAnsiTheme="minorEastAsia" w:eastAsiaTheme="minorEastAsia" w:cstheme="minorEastAsia"/>
          <w:color w:val="000000" w:themeColor="text1"/>
          <w:kern w:val="0"/>
          <w:sz w:val="24"/>
          <w14:textFill>
            <w14:solidFill>
              <w14:schemeClr w14:val="tx1"/>
            </w14:solidFill>
          </w14:textFill>
        </w:rPr>
        <w:t>3</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 xml:space="preserve"> 在乙方的责任期即合同的有效期内，如因</w:t>
      </w:r>
      <w:r>
        <w:rPr>
          <w:rFonts w:hint="eastAsia" w:asciiTheme="minorEastAsia" w:hAnsiTheme="minorEastAsia" w:eastAsiaTheme="minorEastAsia" w:cstheme="minorEastAsia"/>
          <w:color w:val="000000" w:themeColor="text1"/>
          <w:sz w:val="24"/>
          <w14:textFill>
            <w14:solidFill>
              <w14:schemeClr w14:val="tx1"/>
            </w14:solidFill>
          </w14:textFill>
        </w:rPr>
        <w:t>甲方</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的原因，导致项目建设进度的推迟或延误而超过约定的日期，</w:t>
      </w:r>
      <w:r>
        <w:rPr>
          <w:rFonts w:hint="eastAsia" w:asciiTheme="minorEastAsia" w:hAnsiTheme="minorEastAsia" w:eastAsiaTheme="minorEastAsia" w:cstheme="minorEastAsia"/>
          <w:color w:val="000000" w:themeColor="text1"/>
          <w:sz w:val="24"/>
          <w14:textFill>
            <w14:solidFill>
              <w14:schemeClr w14:val="tx1"/>
            </w14:solidFill>
          </w14:textFill>
        </w:rPr>
        <w:t>甲乙</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双方应协商，重新约定相应延长的合同期。因乙方的责任，导致项目建设进度的推迟或延误而超过约定的日期</w:t>
      </w:r>
      <w:r>
        <w:rPr>
          <w:rFonts w:hint="eastAsia" w:asciiTheme="minorEastAsia" w:hAnsiTheme="minorEastAsia" w:eastAsiaTheme="minorEastAsia" w:cstheme="minorEastAsia"/>
          <w:color w:val="000000" w:themeColor="text1"/>
          <w:sz w:val="24"/>
          <w:lang w:val="zh-CN"/>
          <w14:textFill>
            <w14:solidFill>
              <w14:schemeClr w14:val="tx1"/>
            </w14:solidFill>
          </w14:textFill>
        </w:rPr>
        <w:t>按</w:t>
      </w:r>
      <w:r>
        <w:rPr>
          <w:rFonts w:hint="eastAsia" w:asciiTheme="minorEastAsia" w:hAnsiTheme="minorEastAsia" w:eastAsiaTheme="minorEastAsia" w:cstheme="minorEastAsia"/>
          <w:bCs/>
          <w:color w:val="000000" w:themeColor="text1"/>
          <w:kern w:val="0"/>
          <w:sz w:val="24"/>
          <w:lang w:val="zh-CN"/>
          <w14:textFill>
            <w14:solidFill>
              <w14:schemeClr w14:val="tx1"/>
            </w14:solidFill>
          </w14:textFill>
        </w:rPr>
        <w:t>违约责任处罚。</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14.</w:t>
      </w:r>
      <w:r>
        <w:rPr>
          <w:rFonts w:hint="eastAsia" w:asciiTheme="minorEastAsia" w:hAnsiTheme="minorEastAsia" w:eastAsiaTheme="minorEastAsia" w:cstheme="minorEastAsia"/>
          <w:color w:val="000000" w:themeColor="text1"/>
          <w:kern w:val="0"/>
          <w:sz w:val="24"/>
          <w14:textFill>
            <w14:solidFill>
              <w14:schemeClr w14:val="tx1"/>
            </w14:solidFill>
          </w14:textFill>
        </w:rPr>
        <w:t>4</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 xml:space="preserve">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14.</w:t>
      </w:r>
      <w:r>
        <w:rPr>
          <w:rFonts w:hint="eastAsia" w:asciiTheme="minorEastAsia" w:hAnsiTheme="minorEastAsia" w:eastAsiaTheme="minorEastAsia" w:cstheme="minorEastAsia"/>
          <w:color w:val="000000" w:themeColor="text1"/>
          <w:kern w:val="0"/>
          <w:sz w:val="24"/>
          <w14:textFill>
            <w14:solidFill>
              <w14:schemeClr w14:val="tx1"/>
            </w14:solidFill>
          </w14:textFill>
        </w:rPr>
        <w:t xml:space="preserve">5 </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autoSpaceDE w:val="0"/>
        <w:autoSpaceDN w:val="0"/>
        <w:spacing w:line="360" w:lineRule="auto"/>
        <w:jc w:val="left"/>
        <w:rPr>
          <w:rFonts w:asciiTheme="minorEastAsia" w:hAnsiTheme="minorEastAsia" w:eastAsiaTheme="minorEastAsia" w:cstheme="minorEastAsia"/>
          <w:b/>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15. 违约责任</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15.1</w:t>
      </w:r>
      <w:r>
        <w:rPr>
          <w:rFonts w:hint="eastAsia" w:asciiTheme="minorEastAsia" w:hAnsiTheme="minorEastAsia" w:eastAsiaTheme="minorEastAsia" w:cstheme="minorEastAsia"/>
          <w:color w:val="000000" w:themeColor="text1"/>
          <w:sz w:val="24"/>
          <w14:textFill>
            <w14:solidFill>
              <w14:schemeClr w14:val="tx1"/>
            </w14:solidFill>
          </w14:textFill>
        </w:rPr>
        <w:t>乙方必须在整个项目安装调试开通全部完成后约定时间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15.2 如</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lang w:val="zh-CN"/>
          <w14:textFill>
            <w14:solidFill>
              <w14:schemeClr w14:val="tx1"/>
            </w14:solidFill>
          </w14:textFill>
        </w:rPr>
        <w:t>15.3 如因乙方原因达不到合格等级的，则必须无条件返工至合格，并全额没收履约保证金。</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15.4因乙方原因造成采购单位其他系统不能正常运行，酿成重大事故（正常工作日系统中断一天或一天以上）的，将承担全部法律责任，并赔偿经济损失，赔偿金额最高为项目总价的50%。</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15.5 </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履行本合同的过程中，确因在现有水平和条件下难以克服的技术困难，导致部分或全部失败所造成的损失，风险责任由乙方全部承担。</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15.6 </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因不可抗力导致合同不能全部或部分履行，</w:t>
      </w:r>
      <w:r>
        <w:rPr>
          <w:rFonts w:hint="eastAsia" w:asciiTheme="minorEastAsia" w:hAnsiTheme="minorEastAsia" w:eastAsiaTheme="minorEastAsia" w:cstheme="minorEastAsia"/>
          <w:color w:val="000000" w:themeColor="text1"/>
          <w:sz w:val="24"/>
          <w14:textFill>
            <w14:solidFill>
              <w14:schemeClr w14:val="tx1"/>
            </w14:solidFill>
          </w14:textFill>
        </w:rPr>
        <w:t>甲、</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乙双方协商解决。</w:t>
      </w:r>
    </w:p>
    <w:p>
      <w:pPr>
        <w:autoSpaceDE w:val="0"/>
        <w:autoSpaceDN w:val="0"/>
        <w:spacing w:line="360" w:lineRule="auto"/>
        <w:jc w:val="left"/>
        <w:rPr>
          <w:rFonts w:asciiTheme="minorEastAsia" w:hAnsiTheme="minorEastAsia" w:eastAsiaTheme="minorEastAsia" w:cstheme="minorEastAsia"/>
          <w:b/>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16.项目质量</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16.1 乙方保证按ISO9000系列标准或相应的质量管理和质量保证体系，对项目安装、调试、检验等各个环节进行严格的质量和质量控制。</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16.2 乙方须严格按设计方案和国家现行项目实施验收规范有关规定，精心组织安装、调试、记录、检验。</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16.3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16.4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16.5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spacing w:line="360" w:lineRule="auto"/>
        <w:jc w:val="left"/>
        <w:rPr>
          <w:rFonts w:asciiTheme="minorEastAsia" w:hAnsiTheme="minorEastAsia" w:eastAsiaTheme="minorEastAsia" w:cstheme="minorEastAsia"/>
          <w:b/>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17. 争议处理</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17.1 合同在履行过程中发生争议时，甲方与乙方及时协商解决。协商不成时，</w:t>
      </w:r>
      <w:r>
        <w:rPr>
          <w:rFonts w:hint="eastAsia" w:asciiTheme="minorEastAsia" w:hAnsiTheme="minorEastAsia" w:eastAsiaTheme="minorEastAsia" w:cstheme="minorEastAsia"/>
          <w:color w:val="000000" w:themeColor="text1"/>
          <w:sz w:val="24"/>
          <w14:textFill>
            <w14:solidFill>
              <w14:schemeClr w14:val="tx1"/>
            </w14:solidFill>
          </w14:textFill>
        </w:rPr>
        <w:t>依法向人民法院起诉。</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17.2 对于因违反或终止合同而引起的损失、损害的赔偿，由甲方与乙方友好协商解决，经协商仍未能达成一致的，依法向人民法院起诉。</w:t>
      </w:r>
    </w:p>
    <w:p>
      <w:pPr>
        <w:autoSpaceDE w:val="0"/>
        <w:autoSpaceDN w:val="0"/>
        <w:spacing w:line="360" w:lineRule="auto"/>
        <w:jc w:val="left"/>
        <w:rPr>
          <w:rFonts w:asciiTheme="minorEastAsia" w:hAnsiTheme="minorEastAsia" w:eastAsiaTheme="minorEastAsia" w:cstheme="minorEastAsia"/>
          <w:b/>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lang w:val="zh-CN"/>
          <w14:textFill>
            <w14:solidFill>
              <w14:schemeClr w14:val="tx1"/>
            </w14:solidFill>
          </w14:textFill>
        </w:rPr>
        <w:t>18. 其他</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18.1 本合同（□是  □否）为可融资合同（若为可融资合同，则甲方必须将采购资金支付到合同中指定的融资银行及收款账号，开户银行：     账号：        ）。关于中小企业信用融资事项可登</w:t>
      </w:r>
      <w:r>
        <w:rPr>
          <w:rFonts w:hint="eastAsia" w:asciiTheme="minorEastAsia" w:hAnsiTheme="minorEastAsia" w:eastAsiaTheme="minorEastAsia" w:cstheme="minorEastAsia"/>
          <w:color w:val="000000" w:themeColor="text1"/>
          <w:kern w:val="0"/>
          <w:sz w:val="24"/>
          <w14:textFill>
            <w14:solidFill>
              <w14:schemeClr w14:val="tx1"/>
            </w14:solidFill>
          </w14:textFill>
        </w:rPr>
        <w:t>录</w:t>
      </w: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杭州市政府采购网 “中小企业融资系统”专栏进行查询。</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18.2 未经过甲方的书面同意，乙方不得转让其应履行的合同项下的义务，和将部分合同项下的义务分包给其他单位完成。</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18.3 乙方不得参与可能与合同规定的与甲方的利益相冲突的任何活动。</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kern w:val="0"/>
          <w:sz w:val="24"/>
          <w:lang w:val="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18.4 乙方人员在甲方场地工作时，应遵守甲方相关规章、制度。</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 xml:space="preserve">18.5 </w:t>
      </w:r>
      <w:r>
        <w:rPr>
          <w:rFonts w:hint="eastAsia" w:asciiTheme="minorEastAsia" w:hAnsiTheme="minorEastAsia" w:eastAsiaTheme="minorEastAsia" w:cstheme="minorEastAsia"/>
          <w:color w:val="000000" w:themeColor="text1"/>
          <w:sz w:val="24"/>
          <w14:textFill>
            <w14:solidFill>
              <w14:schemeClr w14:val="tx1"/>
            </w14:solidFill>
          </w14:textFill>
        </w:rPr>
        <w:t>本合同任何一方给另一方的通知，都应以书面或电传/传真/电报的形式发送，而另一方应以书面形式确认并发送到对方明确的地址。</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 xml:space="preserve">18.6 </w:t>
      </w:r>
      <w:r>
        <w:rPr>
          <w:rFonts w:hint="eastAsia" w:asciiTheme="minorEastAsia" w:hAnsiTheme="minorEastAsia" w:eastAsiaTheme="minorEastAsia" w:cstheme="minorEastAsia"/>
          <w:color w:val="000000" w:themeColor="text1"/>
          <w:sz w:val="24"/>
          <w14:textFill>
            <w14:solidFill>
              <w14:schemeClr w14:val="tx1"/>
            </w14:solidFill>
          </w14:textFill>
        </w:rPr>
        <w:t>合同履行期内甲乙双方均不得随意变更或解除合同。合同若有未尽事宜，需经双方共同协商，订立补充协议，补充协议与本合同有同等法律效力。</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 xml:space="preserve">18.7 </w:t>
      </w:r>
      <w:r>
        <w:rPr>
          <w:rFonts w:hint="eastAsia" w:asciiTheme="minorEastAsia" w:hAnsiTheme="minorEastAsia" w:eastAsiaTheme="minorEastAsia" w:cstheme="minorEastAsia"/>
          <w:color w:val="000000" w:themeColor="text1"/>
          <w:sz w:val="24"/>
          <w14:textFill>
            <w14:solidFill>
              <w14:schemeClr w14:val="tx1"/>
            </w14:solidFill>
          </w14:textFill>
        </w:rPr>
        <w:t>招标文件[编号：XHZFCG-2022-G-41]、投标文件及评标过程中形成的文字资料、询标纪要均作为本合同的组成部分，具有同等效力。</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 xml:space="preserve">18.8 </w:t>
      </w:r>
      <w:r>
        <w:rPr>
          <w:rFonts w:hint="eastAsia" w:asciiTheme="minorEastAsia" w:hAnsiTheme="minorEastAsia" w:eastAsiaTheme="minorEastAsia" w:cstheme="minorEastAsia"/>
          <w:color w:val="000000" w:themeColor="text1"/>
          <w:sz w:val="24"/>
          <w14:textFill>
            <w14:solidFill>
              <w14:schemeClr w14:val="tx1"/>
            </w14:solidFill>
          </w14:textFill>
        </w:rPr>
        <w:t>本合同经甲乙双方法定代表人或其委托人签字盖章，并且乙方向甲方缴纳合同约定金额的履约保证金或建议免收履约保证金，合同在政采云平台备案后生效。</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 xml:space="preserve">18.9 </w:t>
      </w:r>
      <w:r>
        <w:rPr>
          <w:rFonts w:hint="eastAsia" w:asciiTheme="minorEastAsia" w:hAnsiTheme="minorEastAsia" w:eastAsiaTheme="minorEastAsia" w:cstheme="minorEastAsia"/>
          <w:color w:val="000000" w:themeColor="text1"/>
          <w:sz w:val="24"/>
          <w14:textFill>
            <w14:solidFill>
              <w14:schemeClr w14:val="tx1"/>
            </w14:solidFill>
          </w14:textFill>
        </w:rPr>
        <w:t>本合同一式伍份，甲方、乙方各执贰份，采购机构执壹份。</w:t>
      </w:r>
    </w:p>
    <w:p>
      <w:pPr>
        <w:autoSpaceDE w:val="0"/>
        <w:autoSpaceDN w:val="0"/>
        <w:spacing w:line="360" w:lineRule="auto"/>
        <w:ind w:firstLine="480" w:firstLineChars="200"/>
        <w:jc w:val="left"/>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14:textFill>
            <w14:solidFill>
              <w14:schemeClr w14:val="tx1"/>
            </w14:solidFill>
          </w14:textFill>
        </w:rPr>
        <w:t>18</w:t>
      </w:r>
      <w:r>
        <w:rPr>
          <w:rFonts w:hint="eastAsia" w:asciiTheme="minorEastAsia" w:hAnsiTheme="minorEastAsia" w:eastAsiaTheme="minorEastAsia" w:cstheme="minorEastAsia"/>
          <w:color w:val="000000" w:themeColor="text1"/>
          <w:sz w:val="24"/>
          <w14:textFill>
            <w14:solidFill>
              <w14:schemeClr w14:val="tx1"/>
            </w14:solidFill>
          </w14:textFill>
        </w:rPr>
        <w:t>.10 适用法律：本合同应按照中华人民共和国的法律进行解释。</w:t>
      </w:r>
    </w:p>
    <w:p>
      <w:pPr>
        <w:autoSpaceDE w:val="0"/>
        <w:autoSpaceDN w:val="0"/>
        <w:spacing w:line="360" w:lineRule="auto"/>
        <w:ind w:firstLine="360" w:firstLineChars="150"/>
        <w:jc w:val="left"/>
        <w:rPr>
          <w:rFonts w:ascii="宋体" w:hAnsi="宋体" w:cs="宋体"/>
          <w:color w:val="000000"/>
          <w:sz w:val="24"/>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18.11 以上是合同的主要条款，合同条款包括但不止于以上条款（如安全生产责任状以及廉政合同等）。  </w:t>
      </w:r>
    </w:p>
    <w:p>
      <w:pPr>
        <w:spacing w:line="460" w:lineRule="exact"/>
        <w:rPr>
          <w:rFonts w:ascii="宋体" w:hAnsi="宋体" w:cs="宋体"/>
          <w:color w:val="000000"/>
          <w:sz w:val="24"/>
        </w:rPr>
      </w:pPr>
      <w:r>
        <w:rPr>
          <w:rFonts w:hint="eastAsia" w:ascii="宋体" w:hAnsi="宋体" w:cs="宋体"/>
          <w:color w:val="000000"/>
          <w:sz w:val="24"/>
        </w:rPr>
        <w:t xml:space="preserve">甲方（盖章）：                             乙方（盖章）：        </w:t>
      </w:r>
    </w:p>
    <w:p>
      <w:pPr>
        <w:spacing w:line="460" w:lineRule="exact"/>
        <w:rPr>
          <w:rFonts w:ascii="宋体" w:hAnsi="宋体" w:cs="宋体"/>
          <w:color w:val="000000"/>
          <w:sz w:val="24"/>
        </w:rPr>
      </w:pPr>
      <w:r>
        <w:rPr>
          <w:rFonts w:hint="eastAsia" w:ascii="宋体" w:hAnsi="宋体" w:cs="宋体"/>
          <w:color w:val="000000"/>
          <w:sz w:val="24"/>
        </w:rPr>
        <w:t xml:space="preserve">法定代表人：                              法定代表人：                   </w:t>
      </w:r>
    </w:p>
    <w:p>
      <w:pPr>
        <w:spacing w:line="460" w:lineRule="exact"/>
        <w:rPr>
          <w:rFonts w:ascii="宋体" w:hAnsi="宋体" w:cs="宋体"/>
          <w:color w:val="000000"/>
          <w:sz w:val="24"/>
        </w:rPr>
      </w:pPr>
      <w:r>
        <w:rPr>
          <w:rFonts w:hint="eastAsia" w:ascii="宋体" w:hAnsi="宋体" w:cs="宋体"/>
          <w:color w:val="000000"/>
          <w:sz w:val="24"/>
        </w:rPr>
        <w:t xml:space="preserve">或受委托人（签字）：                       或受委托人（签字）：                  </w:t>
      </w:r>
    </w:p>
    <w:p>
      <w:pPr>
        <w:spacing w:line="460" w:lineRule="exact"/>
        <w:rPr>
          <w:rFonts w:ascii="宋体" w:hAnsi="宋体" w:cs="宋体"/>
          <w:color w:val="000000"/>
          <w:sz w:val="24"/>
        </w:rPr>
      </w:pPr>
      <w:r>
        <w:rPr>
          <w:rFonts w:hint="eastAsia" w:ascii="宋体" w:hAnsi="宋体" w:cs="宋体"/>
          <w:color w:val="000000"/>
          <w:sz w:val="24"/>
        </w:rPr>
        <w:t>联系人：                                  联系人：</w:t>
      </w:r>
    </w:p>
    <w:p>
      <w:pPr>
        <w:spacing w:line="460" w:lineRule="exact"/>
        <w:rPr>
          <w:rFonts w:ascii="宋体" w:hAnsi="宋体" w:cs="宋体"/>
          <w:color w:val="000000"/>
          <w:sz w:val="24"/>
        </w:rPr>
      </w:pPr>
      <w:r>
        <w:rPr>
          <w:rFonts w:hint="eastAsia" w:ascii="宋体" w:hAnsi="宋体" w:cs="宋体"/>
          <w:color w:val="000000"/>
          <w:sz w:val="24"/>
        </w:rPr>
        <w:t xml:space="preserve">地址：                                    地址： </w:t>
      </w:r>
    </w:p>
    <w:p>
      <w:pPr>
        <w:spacing w:line="460" w:lineRule="exact"/>
        <w:rPr>
          <w:rFonts w:ascii="宋体" w:hAnsi="宋体" w:cs="宋体"/>
          <w:color w:val="000000"/>
          <w:sz w:val="24"/>
        </w:rPr>
      </w:pPr>
      <w:r>
        <w:rPr>
          <w:rFonts w:hint="eastAsia" w:ascii="宋体" w:hAnsi="宋体" w:cs="宋体"/>
          <w:color w:val="000000"/>
          <w:sz w:val="24"/>
        </w:rPr>
        <w:t>电话：                                    电话：</w:t>
      </w:r>
    </w:p>
    <w:p>
      <w:pPr>
        <w:spacing w:line="460" w:lineRule="exact"/>
        <w:rPr>
          <w:rFonts w:ascii="宋体" w:hAnsi="宋体" w:cs="宋体"/>
          <w:color w:val="000000" w:themeColor="text1"/>
          <w:sz w:val="24"/>
          <w14:textFill>
            <w14:solidFill>
              <w14:schemeClr w14:val="tx1"/>
            </w14:solidFill>
          </w14:textFill>
        </w:rPr>
      </w:pPr>
    </w:p>
    <w:p>
      <w:pPr>
        <w:spacing w:line="460" w:lineRule="exact"/>
        <w:rPr>
          <w:rFonts w:ascii="宋体" w:hAnsi="宋体" w:cs="宋体"/>
          <w:color w:val="000000" w:themeColor="text1"/>
          <w:sz w:val="24"/>
          <w14:textFill>
            <w14:solidFill>
              <w14:schemeClr w14:val="tx1"/>
            </w14:solidFill>
          </w14:textFill>
        </w:rPr>
      </w:pPr>
    </w:p>
    <w:p>
      <w:pPr>
        <w:spacing w:line="460" w:lineRule="exact"/>
        <w:ind w:firstLine="5280" w:firstLineChars="2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 约 地：</w:t>
      </w:r>
    </w:p>
    <w:p>
      <w:pPr>
        <w:snapToGrid w:val="0"/>
        <w:spacing w:line="360" w:lineRule="auto"/>
        <w:rPr>
          <w:rFonts w:ascii="宋体" w:hAnsi="宋体" w:cs="宋体"/>
          <w:b/>
          <w:color w:val="000000" w:themeColor="text1"/>
          <w:sz w:val="36"/>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签约日期：   年   月    日</w:t>
      </w:r>
    </w:p>
    <w:p>
      <w:pPr>
        <w:spacing w:line="360" w:lineRule="auto"/>
        <w:ind w:right="-420" w:rightChars="-200"/>
        <w:outlineLvl w:val="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hAnsi="宋体" w:cs="宋体"/>
          <w:b/>
          <w:sz w:val="36"/>
          <w:szCs w:val="20"/>
        </w:rPr>
      </w:pPr>
    </w:p>
    <w:p>
      <w:pPr>
        <w:pStyle w:val="5"/>
        <w:rPr>
          <w:rFonts w:ascii="宋体" w:hAnsi="宋体" w:eastAsia="宋体" w:cs="宋体"/>
          <w:sz w:val="36"/>
          <w:szCs w:val="20"/>
        </w:rPr>
      </w:pPr>
    </w:p>
    <w:p>
      <w:pPr>
        <w:rPr>
          <w:rFonts w:ascii="宋体" w:hAnsi="宋体" w:cs="宋体"/>
          <w:b/>
          <w:sz w:val="36"/>
          <w:szCs w:val="20"/>
        </w:rPr>
      </w:pPr>
    </w:p>
    <w:p>
      <w:pPr>
        <w:pStyle w:val="5"/>
        <w:rPr>
          <w:rFonts w:ascii="宋体" w:hAnsi="宋体" w:eastAsia="宋体" w:cs="宋体"/>
          <w:sz w:val="36"/>
          <w:szCs w:val="20"/>
        </w:rPr>
      </w:pPr>
    </w:p>
    <w:p>
      <w:pPr>
        <w:rPr>
          <w:rFonts w:ascii="宋体" w:hAnsi="宋体" w:cs="宋体"/>
          <w:b/>
          <w:sz w:val="36"/>
          <w:szCs w:val="20"/>
        </w:rPr>
      </w:pPr>
    </w:p>
    <w:p>
      <w:pPr>
        <w:pStyle w:val="5"/>
        <w:rPr>
          <w:rFonts w:ascii="宋体" w:hAnsi="宋体" w:eastAsia="宋体" w:cs="宋体"/>
          <w:sz w:val="36"/>
          <w:szCs w:val="20"/>
        </w:rPr>
      </w:pPr>
    </w:p>
    <w:p>
      <w:pPr>
        <w:rPr>
          <w:rFonts w:ascii="宋体" w:hAnsi="宋体" w:cs="宋体"/>
          <w:b/>
          <w:sz w:val="36"/>
          <w:szCs w:val="20"/>
        </w:rPr>
      </w:pPr>
    </w:p>
    <w:p>
      <w:pPr>
        <w:pStyle w:val="5"/>
        <w:rPr>
          <w:rFonts w:ascii="宋体" w:hAnsi="宋体" w:eastAsia="宋体" w:cs="宋体"/>
          <w:sz w:val="36"/>
          <w:szCs w:val="20"/>
        </w:rPr>
      </w:pPr>
    </w:p>
    <w:p>
      <w:pPr>
        <w:rPr>
          <w:rFonts w:ascii="宋体" w:hAnsi="宋体" w:cs="宋体"/>
          <w:b/>
          <w:sz w:val="36"/>
          <w:szCs w:val="20"/>
        </w:rPr>
      </w:pPr>
    </w:p>
    <w:p>
      <w:pPr>
        <w:pStyle w:val="5"/>
        <w:rPr>
          <w:rFonts w:ascii="宋体" w:hAnsi="宋体" w:eastAsia="宋体" w:cs="宋体"/>
          <w:sz w:val="36"/>
          <w:szCs w:val="20"/>
        </w:rPr>
      </w:pPr>
    </w:p>
    <w:p>
      <w:pPr>
        <w:rPr>
          <w:rFonts w:ascii="宋体" w:hAnsi="宋体" w:cs="宋体"/>
          <w:b/>
          <w:sz w:val="36"/>
          <w:szCs w:val="20"/>
        </w:rPr>
      </w:pPr>
    </w:p>
    <w:p>
      <w:pPr>
        <w:spacing w:line="360" w:lineRule="auto"/>
        <w:outlineLvl w:val="0"/>
        <w:rPr>
          <w:rFonts w:ascii="宋体" w:hAnsi="宋体" w:cs="宋体"/>
          <w:b/>
          <w:sz w:val="36"/>
          <w:szCs w:val="20"/>
        </w:rPr>
      </w:pPr>
    </w:p>
    <w:p>
      <w:pPr>
        <w:spacing w:line="360" w:lineRule="auto"/>
        <w:ind w:firstLine="1446" w:firstLineChars="400"/>
        <w:outlineLvl w:val="0"/>
        <w:rPr>
          <w:rFonts w:ascii="宋体" w:hAnsi="宋体" w:cs="宋体"/>
          <w:b/>
          <w:sz w:val="36"/>
          <w:szCs w:val="20"/>
        </w:rPr>
      </w:pPr>
    </w:p>
    <w:p>
      <w:pPr>
        <w:spacing w:line="360" w:lineRule="auto"/>
        <w:ind w:firstLine="1446" w:firstLineChars="400"/>
        <w:outlineLvl w:val="0"/>
        <w:rPr>
          <w:rFonts w:ascii="宋体" w:hAnsi="宋体" w:cs="宋体"/>
          <w:b/>
          <w:sz w:val="36"/>
          <w:szCs w:val="20"/>
        </w:rPr>
      </w:pPr>
    </w:p>
    <w:p>
      <w:pPr>
        <w:spacing w:line="360" w:lineRule="auto"/>
        <w:ind w:firstLine="1446" w:firstLineChars="400"/>
        <w:outlineLvl w:val="0"/>
        <w:rPr>
          <w:rFonts w:ascii="宋体" w:hAnsi="宋体" w:cs="宋体"/>
          <w:b/>
          <w:sz w:val="36"/>
          <w:szCs w:val="20"/>
        </w:rPr>
      </w:pPr>
    </w:p>
    <w:p>
      <w:pPr>
        <w:spacing w:line="360" w:lineRule="auto"/>
        <w:ind w:firstLine="1446" w:firstLineChars="400"/>
        <w:outlineLvl w:val="0"/>
        <w:rPr>
          <w:rFonts w:ascii="宋体" w:hAnsi="宋体" w:cs="宋体"/>
          <w:b/>
          <w:sz w:val="36"/>
          <w:szCs w:val="20"/>
        </w:rPr>
      </w:pPr>
    </w:p>
    <w:p>
      <w:pPr>
        <w:spacing w:line="360" w:lineRule="auto"/>
        <w:ind w:firstLine="1446" w:firstLineChars="400"/>
        <w:outlineLvl w:val="0"/>
        <w:rPr>
          <w:rFonts w:ascii="宋体" w:hAnsi="宋体" w:cs="宋体"/>
          <w:b/>
          <w:sz w:val="36"/>
          <w:szCs w:val="20"/>
        </w:rPr>
      </w:pPr>
    </w:p>
    <w:p>
      <w:pPr>
        <w:spacing w:line="360" w:lineRule="auto"/>
        <w:ind w:firstLine="1446" w:firstLineChars="400"/>
        <w:outlineLvl w:val="0"/>
        <w:rPr>
          <w:rFonts w:ascii="宋体" w:hAnsi="宋体" w:cs="宋体"/>
          <w:b/>
          <w:sz w:val="36"/>
          <w:szCs w:val="20"/>
        </w:rPr>
      </w:pPr>
    </w:p>
    <w:p>
      <w:pPr>
        <w:spacing w:line="360" w:lineRule="auto"/>
        <w:ind w:firstLine="1446" w:firstLineChars="400"/>
        <w:outlineLvl w:val="0"/>
        <w:rPr>
          <w:rFonts w:ascii="宋体" w:hAnsi="宋体" w:cs="宋体"/>
          <w:b/>
          <w:sz w:val="36"/>
          <w:szCs w:val="20"/>
        </w:rPr>
      </w:pPr>
      <w:r>
        <w:rPr>
          <w:rFonts w:hint="eastAsia" w:ascii="宋体" w:hAnsi="宋体" w:cs="宋体"/>
          <w:b/>
          <w:sz w:val="36"/>
          <w:szCs w:val="20"/>
        </w:rPr>
        <w:t>第六部分</w:t>
      </w:r>
      <w:bookmarkEnd w:id="400"/>
      <w:r>
        <w:rPr>
          <w:rFonts w:hint="eastAsia" w:ascii="宋体" w:hAnsi="宋体" w:cs="宋体"/>
          <w:b/>
          <w:sz w:val="36"/>
          <w:szCs w:val="20"/>
        </w:rPr>
        <w:t xml:space="preserve"> </w:t>
      </w:r>
      <w:bookmarkEnd w:id="401"/>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（3）落实政府采购政策需满足的资格要求………………………………（页码）</w:t>
      </w:r>
    </w:p>
    <w:p>
      <w:pPr>
        <w:snapToGrid w:val="0"/>
        <w:spacing w:line="360" w:lineRule="auto"/>
        <w:rPr>
          <w:rFonts w:ascii="宋体" w:hAnsi="宋体" w:cs="宋体"/>
          <w:sz w:val="24"/>
        </w:rPr>
      </w:pPr>
      <w:r>
        <w:rPr>
          <w:rFonts w:hint="eastAsia" w:ascii="宋体" w:hAnsi="宋体" w:cs="宋体"/>
          <w:sz w:val="24"/>
        </w:rPr>
        <w:t>（4）本项目的特定资格要求………………………………………………（页码）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杭州市西湖区数据资源管理局、杭州市西湖区政府采购中心：</w:t>
      </w:r>
    </w:p>
    <w:p>
      <w:pPr>
        <w:snapToGrid w:val="0"/>
        <w:spacing w:line="360" w:lineRule="auto"/>
        <w:ind w:firstLine="480" w:firstLineChars="200"/>
        <w:rPr>
          <w:rFonts w:ascii="宋体" w:hAnsi="宋体" w:cs="宋体"/>
          <w:sz w:val="24"/>
        </w:rPr>
      </w:pPr>
      <w:r>
        <w:rPr>
          <w:rFonts w:hint="eastAsia" w:ascii="宋体" w:hAnsi="宋体" w:cs="宋体"/>
          <w:sz w:val="24"/>
        </w:rPr>
        <w:t>我方参与杭州市西湖区cim地图能力提升建设项目【招标编号：XHZFCG-2022-G-41】政府采购活动，郑重承诺：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pStyle w:val="2"/>
        <w:ind w:firstLine="482"/>
        <w:rPr>
          <w:rFonts w:cs="宋体"/>
          <w:b/>
          <w:sz w:val="24"/>
        </w:rPr>
      </w:pPr>
    </w:p>
    <w:p/>
    <w:p>
      <w:pPr>
        <w:snapToGrid w:val="0"/>
        <w:spacing w:line="360" w:lineRule="auto"/>
        <w:ind w:right="480"/>
        <w:jc w:val="center"/>
        <w:rPr>
          <w:rFonts w:ascii="宋体" w:hAnsi="宋体" w:cs="宋体"/>
          <w:b/>
          <w:kern w:val="0"/>
          <w:sz w:val="32"/>
          <w:szCs w:val="32"/>
        </w:rPr>
      </w:pPr>
    </w:p>
    <w:p>
      <w:pPr>
        <w:numPr>
          <w:ilvl w:val="0"/>
          <w:numId w:val="5"/>
        </w:num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落实政府采购政策需满足的资格要求</w:t>
      </w:r>
    </w:p>
    <w:p>
      <w:pPr>
        <w:spacing w:line="360" w:lineRule="auto"/>
      </w:pPr>
      <w:r>
        <w:rPr>
          <w:rFonts w:hint="eastAsia" w:ascii="宋体" w:hAnsi="宋体" w:cs="宋体"/>
          <w:sz w:val="24"/>
        </w:rPr>
        <w:t>（根据招标公告落实政府采购政策需满足的资格要求选择提供相应的材料；未要求的，无需提供）</w:t>
      </w:r>
    </w:p>
    <w:p>
      <w:pPr>
        <w:widowControl/>
        <w:numPr>
          <w:ilvl w:val="0"/>
          <w:numId w:val="6"/>
        </w:numPr>
        <w:spacing w:line="360" w:lineRule="auto"/>
        <w:ind w:left="150"/>
        <w:jc w:val="center"/>
        <w:rPr>
          <w:rFonts w:ascii="宋体" w:hAnsi="宋体" w:cs="宋体"/>
          <w:sz w:val="24"/>
        </w:rPr>
      </w:pPr>
      <w:r>
        <w:rPr>
          <w:rFonts w:hint="eastAsia" w:ascii="宋体" w:hAnsi="宋体" w:cs="宋体"/>
          <w:sz w:val="24"/>
        </w:rPr>
        <w:t>专门面向小微企业，服务全部由符合政策要求的小微企业承接的，提供相应的中小企业声明函（附件7）。</w:t>
      </w:r>
    </w:p>
    <w:p>
      <w:pPr>
        <w:widowControl/>
        <w:spacing w:line="360" w:lineRule="auto"/>
        <w:ind w:firstLine="240" w:firstLineChars="100"/>
        <w:jc w:val="left"/>
        <w:rPr>
          <w:rFonts w:ascii="宋体" w:hAnsi="宋体" w:cs="宋体"/>
          <w:sz w:val="24"/>
        </w:rPr>
      </w:pPr>
      <w:r>
        <w:rPr>
          <w:rFonts w:hint="eastAsia" w:ascii="宋体" w:hAnsi="宋体" w:cs="宋体"/>
          <w:sz w:val="24"/>
        </w:rPr>
        <w:t>B.要求以联合体形式参加的，提供联合协议（附件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视同符合了资格条件，无需再与其他中小企业组成联合体参加政府采购活动，无需提供联合协议。</w:t>
      </w:r>
    </w:p>
    <w:p>
      <w:pPr>
        <w:snapToGrid w:val="0"/>
        <w:spacing w:before="50" w:after="50" w:line="360" w:lineRule="auto"/>
        <w:jc w:val="left"/>
        <w:rPr>
          <w:rFonts w:ascii="宋体" w:hAnsi="宋体" w:cs="宋体"/>
          <w:sz w:val="24"/>
        </w:rPr>
      </w:pPr>
      <w:r>
        <w:rPr>
          <w:rFonts w:hint="eastAsia" w:ascii="宋体" w:hAnsi="宋体" w:cs="宋体"/>
          <w:sz w:val="24"/>
        </w:rPr>
        <w:t xml:space="preserve">    </w:t>
      </w:r>
    </w:p>
    <w:p>
      <w:pPr>
        <w:spacing w:line="360" w:lineRule="auto"/>
        <w:ind w:firstLine="240" w:firstLineChars="100"/>
        <w:jc w:val="left"/>
        <w:rPr>
          <w:rFonts w:ascii="宋体" w:hAnsi="宋体" w:cs="宋体"/>
          <w:sz w:val="24"/>
        </w:rPr>
      </w:pPr>
      <w:r>
        <w:rPr>
          <w:rFonts w:hint="eastAsia" w:ascii="宋体" w:hAnsi="宋体" w:cs="宋体"/>
          <w:sz w:val="24"/>
        </w:rPr>
        <w:t>C、要求合同分包的，提供分包意向协议（附件6）和中小企业声明函（附件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），分包意向协议中中小企业合同金额应当达到招标公告载明的比例；如果供应商本身提供所有标的均由中小企业承接的，视同符合了资格条件，无需再向中小企业分包，无需提供分包意向协议。</w:t>
      </w:r>
    </w:p>
    <w:p>
      <w:pPr>
        <w:pStyle w:val="5"/>
        <w:rPr>
          <w:b w:val="0"/>
          <w:bCs w:val="0"/>
        </w:rPr>
      </w:pPr>
    </w:p>
    <w:p>
      <w:pPr>
        <w:pStyle w:val="2"/>
        <w:ind w:left="0" w:leftChars="0" w:firstLine="0" w:firstLineChars="0"/>
        <w:rPr>
          <w:rFonts w:cs="宋体"/>
        </w:rPr>
      </w:pPr>
    </w:p>
    <w:p>
      <w:pPr>
        <w:pStyle w:val="2"/>
        <w:ind w:left="0" w:leftChars="0" w:firstLine="0" w:firstLineChars="0"/>
        <w:rPr>
          <w:rFonts w:cs="宋体"/>
        </w:rPr>
      </w:pPr>
    </w:p>
    <w:p>
      <w:pPr>
        <w:pStyle w:val="2"/>
        <w:ind w:left="0" w:leftChars="0" w:firstLine="0" w:firstLineChars="0"/>
        <w:rPr>
          <w:rFonts w:cs="宋体"/>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（3）分包意向协议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（4）符合性审查资料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（5）评标标准相应的商务技术资料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hAnsi="宋体" w:cs="宋体"/>
          <w:b/>
          <w:bCs/>
          <w:sz w:val="24"/>
        </w:rPr>
      </w:pPr>
      <w:r>
        <w:rPr>
          <w:rFonts w:hint="eastAsia" w:ascii="宋体" w:hAnsi="宋体" w:cs="宋体"/>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pStyle w:val="2"/>
        <w:ind w:firstLine="420"/>
        <w:rPr>
          <w:rFonts w:cs="宋体"/>
        </w:rPr>
      </w:pPr>
    </w:p>
    <w:p>
      <w:pPr>
        <w:rPr>
          <w:rFonts w:ascii="宋体" w:hAnsi="宋体" w:cs="宋体"/>
        </w:rPr>
      </w:pPr>
    </w:p>
    <w:p>
      <w:pPr>
        <w:pStyle w:val="2"/>
        <w:ind w:firstLine="420"/>
        <w:rPr>
          <w:rFonts w:cs="宋体"/>
        </w:rPr>
      </w:pPr>
    </w:p>
    <w:p>
      <w:pPr>
        <w:rPr>
          <w:rFonts w:ascii="宋体" w:hAnsi="宋体" w:cs="宋体"/>
        </w:rPr>
      </w:pPr>
    </w:p>
    <w:p>
      <w:pPr>
        <w:pStyle w:val="2"/>
        <w:ind w:firstLine="420"/>
        <w:rPr>
          <w:rFonts w:cs="宋体"/>
        </w:rPr>
      </w:pPr>
    </w:p>
    <w:p>
      <w:pPr>
        <w:rPr>
          <w:rFonts w:ascii="宋体" w:hAnsi="宋体" w:cs="宋体"/>
        </w:rPr>
      </w:pPr>
    </w:p>
    <w:p>
      <w:pPr>
        <w:pStyle w:val="2"/>
        <w:ind w:firstLine="420"/>
        <w:rPr>
          <w:rFonts w:cs="宋体"/>
        </w:rPr>
      </w:pPr>
    </w:p>
    <w:p>
      <w:pPr>
        <w:rPr>
          <w:rFonts w:ascii="宋体" w:hAnsi="宋体" w:cs="宋体"/>
        </w:rPr>
      </w:pPr>
    </w:p>
    <w:p>
      <w:pPr>
        <w:pStyle w:val="2"/>
        <w:ind w:firstLine="420"/>
        <w:rPr>
          <w:rFonts w:cs="宋体"/>
        </w:rPr>
      </w:pPr>
    </w:p>
    <w:p>
      <w:pPr>
        <w:rPr>
          <w:rFonts w:ascii="宋体" w:hAnsi="宋体" w:cs="宋体"/>
        </w:rPr>
      </w:pPr>
    </w:p>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kern w:val="0"/>
          <w:sz w:val="32"/>
          <w:szCs w:val="32"/>
        </w:r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杭州市西湖区数据资源管理局、杭州市西湖区政府采购中心：</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我方参加你方组织的杭州市西湖区cim地图能力提升建设项目【招标编号：XHZFCG-2022-G-41】招标的有关活动，并对此项目进行投标。为此：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402" w:name="_Hlk101257010"/>
      <w:r>
        <w:rPr>
          <w:rFonts w:hint="eastAsia" w:ascii="宋体" w:hAnsi="宋体" w:cs="宋体"/>
          <w:snapToGrid w:val="0"/>
          <w:kern w:val="28"/>
          <w:sz w:val="24"/>
          <w:szCs w:val="20"/>
        </w:rPr>
        <w:t>（如果有)</w:t>
      </w:r>
      <w:bookmarkEnd w:id="402"/>
    </w:p>
    <w:p>
      <w:pPr>
        <w:snapToGrid w:val="0"/>
        <w:spacing w:line="360" w:lineRule="auto"/>
        <w:ind w:left="420" w:leftChars="200" w:firstLine="480" w:firstLineChars="200"/>
        <w:rPr>
          <w:rFonts w:ascii="宋体" w:hAnsi="宋体" w:cs="宋体"/>
          <w:sz w:val="24"/>
        </w:rPr>
      </w:pPr>
      <w:r>
        <w:rPr>
          <w:rFonts w:hint="eastAsia" w:ascii="宋体" w:hAnsi="宋体" w:cs="宋体"/>
          <w:sz w:val="24"/>
        </w:rPr>
        <w:t>2.1.3落实政府采购政策需满足的资格要求（如果有）；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2.1.4本项目的特定资格要求（如果有）。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2.2.3分包意向协议（如果有）；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2.2.4符合性审查资料；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2.2.5评标标准相应的商务技术资料；</w:t>
      </w:r>
    </w:p>
    <w:p>
      <w:pPr>
        <w:snapToGrid w:val="0"/>
        <w:spacing w:line="360" w:lineRule="auto"/>
        <w:ind w:firstLine="960" w:firstLineChars="400"/>
        <w:jc w:val="left"/>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pPr>
      <w:r>
        <w:rPr>
          <w:rFonts w:hint="eastAsia" w:ascii="宋体" w:hAnsi="宋体" w:cs="宋体"/>
          <w:sz w:val="24"/>
        </w:rPr>
        <w:t>2.3.1开标一览表（报价表）；</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杭州市西湖区数据资源管理局、杭州市西湖区政府采购中心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杭州市西湖区cim地图能力提升建设项目【招标编号：XHZFCG-2022-G-41】</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lang w:val="zh-CN"/>
        </w:rPr>
      </w:pPr>
      <w:r>
        <w:rPr>
          <w:rFonts w:hint="eastAsia" w:ascii="宋体" w:hAnsi="宋体" w:cs="宋体"/>
          <w:b/>
          <w:kern w:val="0"/>
          <w:sz w:val="32"/>
          <w:szCs w:val="32"/>
          <w:lang w:val="zh-CN"/>
        </w:rPr>
        <w:t xml:space="preserve">      </w:t>
      </w: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lang w:val="zh-CN"/>
        </w:r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sz w:val="24"/>
        </w:rPr>
        <w:t>杭州市西湖区数据资源管理局、杭州市西湖区政府采购中心</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杭州市西湖区cim地图能力提升建设项目【招标编号：XHZFCG-2022-G-41】</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pStyle w:val="2"/>
        <w:ind w:firstLine="420"/>
        <w:rPr>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5"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snapToGrid w:val="0"/>
        <w:spacing w:line="360" w:lineRule="auto"/>
        <w:ind w:right="480"/>
        <w:rPr>
          <w:rFonts w:ascii="宋体" w:hAnsi="宋体" w:cs="宋体"/>
          <w:b/>
          <w:kern w:val="0"/>
          <w:sz w:val="32"/>
          <w:szCs w:val="32"/>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715"/>
        <w:gridCol w:w="262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715"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625"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335"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715" w:type="dxa"/>
            <w:vAlign w:val="center"/>
          </w:tcPr>
          <w:p>
            <w:pPr>
              <w:spacing w:line="360" w:lineRule="auto"/>
              <w:jc w:val="center"/>
              <w:rPr>
                <w:rFonts w:ascii="宋体" w:hAnsi="宋体" w:cs="宋体"/>
                <w:sz w:val="24"/>
              </w:rPr>
            </w:pPr>
            <w:r>
              <w:rPr>
                <w:rFonts w:hint="eastAsia" w:ascii="宋体" w:hAnsi="宋体" w:cs="宋体"/>
                <w:sz w:val="24"/>
              </w:rPr>
              <w:t>投标文件按照招标文件要求签署、盖章。</w:t>
            </w:r>
          </w:p>
        </w:tc>
        <w:tc>
          <w:tcPr>
            <w:tcW w:w="2625"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335" w:type="dxa"/>
            <w:vAlign w:val="center"/>
          </w:tcPr>
          <w:p>
            <w:pPr>
              <w:jc w:val="center"/>
              <w:rPr>
                <w:rFonts w:ascii="宋体" w:hAnsi="宋体" w:cs="宋体"/>
                <w:sz w:val="24"/>
              </w:rPr>
            </w:pPr>
            <w:r>
              <w:rPr>
                <w:rFonts w:hint="eastAsia" w:ascii="宋体" w:hAnsi="宋体" w:cs="宋体"/>
                <w:sz w:val="24"/>
              </w:rPr>
              <w:t>见投标文件</w:t>
            </w:r>
          </w:p>
          <w:p>
            <w:pPr>
              <w:jc w:val="cente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宋体" w:hAnsi="宋体" w:cs="宋体"/>
                <w:sz w:val="24"/>
              </w:rPr>
            </w:pPr>
            <w:r>
              <w:rPr>
                <w:rFonts w:hint="eastAsia" w:ascii="宋体" w:hAnsi="宋体" w:cs="宋体"/>
                <w:sz w:val="24"/>
              </w:rPr>
              <w:t>2</w:t>
            </w:r>
          </w:p>
        </w:tc>
        <w:tc>
          <w:tcPr>
            <w:tcW w:w="4715" w:type="dxa"/>
          </w:tcPr>
          <w:p>
            <w:pPr>
              <w:spacing w:line="360" w:lineRule="auto"/>
              <w:rPr>
                <w:rFonts w:ascii="宋体" w:hAns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2625" w:type="dxa"/>
            <w:vAlign w:val="center"/>
          </w:tcPr>
          <w:p>
            <w:pPr>
              <w:rPr>
                <w:rFonts w:ascii="宋体" w:hAnsi="宋体" w:cs="宋体"/>
                <w:sz w:val="24"/>
              </w:rPr>
            </w:pPr>
            <w:r>
              <w:rPr>
                <w:rFonts w:hint="eastAsia" w:ascii="宋体" w:hAnsi="宋体" w:cs="宋体"/>
                <w:sz w:val="24"/>
              </w:rPr>
              <w:t>节能产品认证证书</w:t>
            </w:r>
            <w:r>
              <w:rPr>
                <w:rFonts w:hint="eastAsia" w:ascii="宋体" w:hAnsi="宋体" w:cs="宋体"/>
                <w:b/>
                <w:bCs/>
                <w:sz w:val="24"/>
              </w:rPr>
              <w:t>（本项目拟采购的产品不属于政府强制采购的节能产品品目清单范围的，无需提供）</w:t>
            </w:r>
          </w:p>
        </w:tc>
        <w:tc>
          <w:tcPr>
            <w:tcW w:w="1335" w:type="dxa"/>
            <w:vAlign w:val="center"/>
          </w:tcPr>
          <w:p>
            <w:pPr>
              <w:jc w:val="center"/>
              <w:rPr>
                <w:rFonts w:ascii="宋体" w:hAnsi="宋体" w:cs="宋体"/>
                <w:sz w:val="24"/>
              </w:rPr>
            </w:pPr>
          </w:p>
          <w:p>
            <w:pPr>
              <w:jc w:val="center"/>
              <w:rPr>
                <w:rFonts w:ascii="宋体" w:hAnsi="宋体" w:cs="宋体"/>
                <w:sz w:val="24"/>
              </w:rPr>
            </w:pPr>
            <w:r>
              <w:rPr>
                <w:rFonts w:hint="eastAsia" w:ascii="宋体" w:hAnsi="宋体" w:cs="宋体"/>
                <w:sz w:val="24"/>
              </w:rPr>
              <w:t>见投标文件</w:t>
            </w:r>
          </w:p>
          <w:p>
            <w:pPr>
              <w:pStyle w:val="5"/>
              <w:jc w:val="center"/>
              <w:rPr>
                <w:rFonts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715"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625" w:type="dxa"/>
            <w:vAlign w:val="center"/>
          </w:tcPr>
          <w:p>
            <w:pPr>
              <w:rPr>
                <w:rFonts w:ascii="宋体" w:hAnsi="宋体" w:cs="宋体"/>
                <w:sz w:val="24"/>
              </w:rPr>
            </w:pPr>
            <w:r>
              <w:rPr>
                <w:rFonts w:hint="eastAsia" w:ascii="宋体" w:hAnsi="宋体" w:cs="宋体"/>
                <w:sz w:val="24"/>
              </w:rPr>
              <w:t>投标函</w:t>
            </w:r>
          </w:p>
        </w:tc>
        <w:tc>
          <w:tcPr>
            <w:tcW w:w="1335"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4</w:t>
            </w:r>
          </w:p>
        </w:tc>
        <w:tc>
          <w:tcPr>
            <w:tcW w:w="4715" w:type="dxa"/>
            <w:vAlign w:val="center"/>
          </w:tcPr>
          <w:p>
            <w:pPr>
              <w:spacing w:line="360" w:lineRule="auto"/>
              <w:jc w:val="center"/>
              <w:rPr>
                <w:rFonts w:ascii="宋体" w:hAnsi="宋体" w:cs="宋体"/>
                <w:sz w:val="24"/>
              </w:rPr>
            </w:pPr>
            <w:r>
              <w:rPr>
                <w:rFonts w:hint="eastAsia" w:ascii="宋体" w:hAnsi="宋体" w:cs="宋体"/>
                <w:sz w:val="24"/>
              </w:rPr>
              <w:t>投标文件满足招标文件的其它实质性要求。</w:t>
            </w:r>
          </w:p>
        </w:tc>
        <w:tc>
          <w:tcPr>
            <w:tcW w:w="2625" w:type="dxa"/>
            <w:vAlign w:val="center"/>
          </w:tcPr>
          <w:p>
            <w:pPr>
              <w:rPr>
                <w:rFonts w:ascii="宋体" w:hAnsi="宋体" w:cs="宋体"/>
                <w:sz w:val="24"/>
              </w:rPr>
            </w:pPr>
            <w:r>
              <w:rPr>
                <w:rFonts w:hint="eastAsia" w:ascii="宋体" w:hAnsi="宋体" w:cs="宋体"/>
                <w:kern w:val="0"/>
                <w:sz w:val="24"/>
              </w:rPr>
              <w:t>招标文件其它实质性要求相应的材料（</w:t>
            </w:r>
            <w:r>
              <w:rPr>
                <w:rFonts w:hint="eastAsia" w:ascii="宋体" w:hAnsi="宋体" w:cs="宋体"/>
                <w:b/>
                <w:bCs/>
                <w:kern w:val="0"/>
                <w:sz w:val="24"/>
              </w:rPr>
              <w:t>“▲” 系指实质性要求条款，招标文件无其它实质性要求的，无需提供</w:t>
            </w:r>
            <w:r>
              <w:rPr>
                <w:rFonts w:hint="eastAsia" w:ascii="宋体" w:hAnsi="宋体" w:cs="宋体"/>
                <w:kern w:val="0"/>
                <w:sz w:val="24"/>
              </w:rPr>
              <w:t>）</w:t>
            </w:r>
          </w:p>
        </w:tc>
        <w:tc>
          <w:tcPr>
            <w:tcW w:w="1335" w:type="dxa"/>
            <w:vAlign w:val="center"/>
          </w:tcPr>
          <w:p>
            <w:pPr>
              <w:jc w:val="cente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spacing w:line="360" w:lineRule="auto"/>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pStyle w:val="4"/>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杭州市西湖区数据资源管理局、杭州市西湖区政府采购中心</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numPr>
          <w:ilvl w:val="0"/>
          <w:numId w:val="7"/>
        </w:numPr>
        <w:snapToGrid w:val="0"/>
        <w:spacing w:line="360" w:lineRule="auto"/>
        <w:rPr>
          <w:rFonts w:ascii="宋体" w:hAnsi="宋体" w:cs="宋体"/>
          <w:sz w:val="24"/>
        </w:rPr>
      </w:pPr>
      <w:r>
        <w:rPr>
          <w:rFonts w:hint="eastAsia" w:ascii="宋体" w:hAnsi="宋体" w:cs="宋体"/>
          <w:sz w:val="24"/>
        </w:rPr>
        <w:t>开标一览表（报价表）………………………………………………………（页码）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22" w:type="first"/>
          <w:footerReference r:id="rId24" w:type="first"/>
          <w:headerReference r:id="rId21" w:type="default"/>
          <w:footerReference r:id="rId23"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杭州市西湖区数据资源管理局、杭州市西湖区政府采购中心</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杭州市西湖区cim地图能力提升建设项目</w:t>
      </w:r>
      <w:r>
        <w:rPr>
          <w:rFonts w:hint="eastAsia" w:ascii="宋体" w:hAnsi="宋体" w:cs="宋体"/>
          <w:kern w:val="0"/>
          <w:sz w:val="24"/>
          <w:lang w:val="zh-CN"/>
        </w:rPr>
        <w:t>【招标编号：</w:t>
      </w:r>
      <w:r>
        <w:rPr>
          <w:rFonts w:hint="eastAsia" w:ascii="宋体" w:hAnsi="宋体" w:cs="宋体"/>
          <w:sz w:val="24"/>
        </w:rPr>
        <w:t>XHZFCG-2022-G-41】的实施</w:t>
      </w:r>
      <w:r>
        <w:rPr>
          <w:rFonts w:hint="eastAsia" w:ascii="宋体" w:hAnsi="宋体" w:cs="宋体"/>
          <w:kern w:val="0"/>
          <w:sz w:val="24"/>
          <w:lang w:val="zh-CN"/>
        </w:rPr>
        <w:t>。</w:t>
      </w:r>
    </w:p>
    <w:p>
      <w:pPr>
        <w:autoSpaceDE w:val="0"/>
        <w:autoSpaceDN w:val="0"/>
        <w:spacing w:line="360" w:lineRule="auto"/>
        <w:jc w:val="center"/>
        <w:rPr>
          <w:rFonts w:ascii="宋体" w:hAnsi="宋体" w:cs="宋体"/>
          <w:color w:val="000000"/>
          <w:sz w:val="24"/>
        </w:rPr>
      </w:pPr>
      <w:r>
        <w:rPr>
          <w:rFonts w:hint="eastAsia" w:ascii="宋体" w:hAnsi="宋体" w:cs="宋体"/>
          <w:b/>
          <w:bCs/>
          <w:color w:val="000000"/>
          <w:kern w:val="0"/>
          <w:sz w:val="24"/>
          <w:lang w:val="zh-CN"/>
        </w:rPr>
        <w:t>投标（开标）一览表（单位均为人民币元）</w:t>
      </w:r>
    </w:p>
    <w:tbl>
      <w:tblPr>
        <w:tblStyle w:val="62"/>
        <w:tblW w:w="8237" w:type="dxa"/>
        <w:tblInd w:w="556" w:type="dxa"/>
        <w:tblLayout w:type="fixed"/>
        <w:tblCellMar>
          <w:top w:w="0" w:type="dxa"/>
          <w:left w:w="30" w:type="dxa"/>
          <w:bottom w:w="0" w:type="dxa"/>
          <w:right w:w="30" w:type="dxa"/>
        </w:tblCellMar>
      </w:tblPr>
      <w:tblGrid>
        <w:gridCol w:w="1067"/>
        <w:gridCol w:w="2985"/>
        <w:gridCol w:w="2685"/>
        <w:gridCol w:w="1500"/>
      </w:tblGrid>
      <w:tr>
        <w:tblPrEx>
          <w:tblCellMar>
            <w:top w:w="0" w:type="dxa"/>
            <w:left w:w="30" w:type="dxa"/>
            <w:bottom w:w="0" w:type="dxa"/>
            <w:right w:w="30" w:type="dxa"/>
          </w:tblCellMar>
        </w:tblPrEx>
        <w:trPr>
          <w:trHeight w:val="821" w:hRule="atLeast"/>
        </w:trPr>
        <w:tc>
          <w:tcPr>
            <w:tcW w:w="106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b/>
                <w:sz w:val="24"/>
              </w:rPr>
            </w:pPr>
            <w:r>
              <w:rPr>
                <w:rFonts w:hint="eastAsia" w:ascii="宋体" w:hAnsi="宋体" w:cs="宋体"/>
                <w:b/>
                <w:sz w:val="24"/>
              </w:rPr>
              <w:t>序号</w:t>
            </w:r>
          </w:p>
        </w:tc>
        <w:tc>
          <w:tcPr>
            <w:tcW w:w="2985"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b/>
                <w:sz w:val="24"/>
              </w:rPr>
            </w:pPr>
            <w:r>
              <w:rPr>
                <w:rFonts w:hint="eastAsia" w:ascii="宋体" w:hAnsi="宋体" w:cs="宋体"/>
                <w:b/>
                <w:sz w:val="24"/>
              </w:rPr>
              <w:t>报价内容</w:t>
            </w: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sz w:val="24"/>
              </w:rPr>
            </w:pPr>
            <w:r>
              <w:rPr>
                <w:rFonts w:hint="eastAsia" w:ascii="宋体" w:hAnsi="宋体" w:cs="宋体"/>
                <w:b/>
                <w:sz w:val="24"/>
              </w:rPr>
              <w:t>总报价</w:t>
            </w: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sz w:val="24"/>
              </w:rPr>
            </w:pPr>
            <w:r>
              <w:rPr>
                <w:rFonts w:hint="eastAsia" w:ascii="宋体" w:hAnsi="宋体" w:cs="宋体"/>
                <w:b/>
                <w:sz w:val="24"/>
              </w:rPr>
              <w:t>备注</w:t>
            </w:r>
          </w:p>
        </w:tc>
      </w:tr>
      <w:tr>
        <w:tblPrEx>
          <w:tblCellMar>
            <w:top w:w="0" w:type="dxa"/>
            <w:left w:w="30" w:type="dxa"/>
            <w:bottom w:w="0" w:type="dxa"/>
            <w:right w:w="30" w:type="dxa"/>
          </w:tblCellMar>
        </w:tblPrEx>
        <w:trPr>
          <w:trHeight w:val="683" w:hRule="atLeast"/>
        </w:trPr>
        <w:tc>
          <w:tcPr>
            <w:tcW w:w="106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bCs/>
                <w:sz w:val="24"/>
              </w:rPr>
            </w:pPr>
            <w:r>
              <w:rPr>
                <w:rFonts w:hint="eastAsia" w:ascii="宋体" w:hAnsi="宋体" w:cs="宋体"/>
                <w:bCs/>
                <w:sz w:val="24"/>
              </w:rPr>
              <w:t>一</w:t>
            </w:r>
          </w:p>
        </w:tc>
        <w:tc>
          <w:tcPr>
            <w:tcW w:w="2985"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bCs/>
                <w:sz w:val="24"/>
              </w:rPr>
            </w:pP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sz w:val="36"/>
              </w:rPr>
            </w:pP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sz w:val="36"/>
              </w:rPr>
            </w:pPr>
          </w:p>
        </w:tc>
      </w:tr>
      <w:tr>
        <w:tblPrEx>
          <w:tblCellMar>
            <w:top w:w="0" w:type="dxa"/>
            <w:left w:w="30" w:type="dxa"/>
            <w:bottom w:w="0" w:type="dxa"/>
            <w:right w:w="30" w:type="dxa"/>
          </w:tblCellMar>
        </w:tblPrEx>
        <w:trPr>
          <w:trHeight w:val="821" w:hRule="atLeast"/>
        </w:trPr>
        <w:tc>
          <w:tcPr>
            <w:tcW w:w="106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bCs/>
                <w:sz w:val="24"/>
              </w:rPr>
            </w:pPr>
            <w:r>
              <w:rPr>
                <w:rFonts w:hint="eastAsia" w:ascii="宋体" w:hAnsi="宋体" w:cs="宋体"/>
                <w:bCs/>
                <w:sz w:val="24"/>
              </w:rPr>
              <w:t>二</w:t>
            </w:r>
          </w:p>
        </w:tc>
        <w:tc>
          <w:tcPr>
            <w:tcW w:w="2985"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bCs/>
                <w:sz w:val="24"/>
              </w:rPr>
            </w:pP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sz w:val="36"/>
              </w:rPr>
            </w:pP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Cs/>
                <w:sz w:val="24"/>
              </w:rPr>
            </w:pPr>
          </w:p>
        </w:tc>
      </w:tr>
      <w:tr>
        <w:tblPrEx>
          <w:tblCellMar>
            <w:top w:w="0" w:type="dxa"/>
            <w:left w:w="30" w:type="dxa"/>
            <w:bottom w:w="0" w:type="dxa"/>
            <w:right w:w="30" w:type="dxa"/>
          </w:tblCellMar>
        </w:tblPrEx>
        <w:trPr>
          <w:trHeight w:val="821" w:hRule="atLeast"/>
        </w:trPr>
        <w:tc>
          <w:tcPr>
            <w:tcW w:w="106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bCs/>
                <w:sz w:val="24"/>
              </w:rPr>
            </w:pPr>
            <w:r>
              <w:rPr>
                <w:rFonts w:hint="eastAsia" w:ascii="宋体" w:hAnsi="宋体" w:cs="宋体"/>
                <w:bCs/>
                <w:sz w:val="24"/>
              </w:rPr>
              <w:t>…</w:t>
            </w:r>
          </w:p>
        </w:tc>
        <w:tc>
          <w:tcPr>
            <w:tcW w:w="2985"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bCs/>
                <w:sz w:val="24"/>
              </w:rPr>
            </w:pPr>
          </w:p>
        </w:tc>
        <w:tc>
          <w:tcPr>
            <w:tcW w:w="268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
                <w:sz w:val="36"/>
              </w:rPr>
            </w:pPr>
          </w:p>
        </w:tc>
        <w:tc>
          <w:tcPr>
            <w:tcW w:w="15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bCs/>
                <w:sz w:val="24"/>
              </w:rPr>
            </w:pPr>
          </w:p>
        </w:tc>
      </w:tr>
      <w:tr>
        <w:tblPrEx>
          <w:tblCellMar>
            <w:top w:w="0" w:type="dxa"/>
            <w:left w:w="30" w:type="dxa"/>
            <w:bottom w:w="0" w:type="dxa"/>
            <w:right w:w="30" w:type="dxa"/>
          </w:tblCellMar>
        </w:tblPrEx>
        <w:trPr>
          <w:trHeight w:val="821" w:hRule="atLeast"/>
        </w:trPr>
        <w:tc>
          <w:tcPr>
            <w:tcW w:w="4052" w:type="dxa"/>
            <w:gridSpan w:val="2"/>
            <w:vMerge w:val="restart"/>
            <w:tcBorders>
              <w:top w:val="single" w:color="auto" w:sz="6" w:space="0"/>
              <w:left w:val="single" w:color="auto" w:sz="6" w:space="0"/>
              <w:right w:val="single" w:color="auto" w:sz="6" w:space="0"/>
            </w:tcBorders>
            <w:vAlign w:val="center"/>
          </w:tcPr>
          <w:p>
            <w:pPr>
              <w:autoSpaceDE w:val="0"/>
              <w:autoSpaceDN w:val="0"/>
              <w:spacing w:line="360" w:lineRule="auto"/>
              <w:jc w:val="center"/>
              <w:rPr>
                <w:rFonts w:ascii="宋体" w:hAnsi="宋体" w:cs="宋体"/>
                <w:b/>
                <w:sz w:val="24"/>
              </w:rPr>
            </w:pPr>
            <w:r>
              <w:rPr>
                <w:rFonts w:hint="eastAsia" w:ascii="宋体" w:hAnsi="宋体" w:cs="宋体"/>
                <w:b/>
                <w:sz w:val="24"/>
              </w:rPr>
              <w:t>合计</w:t>
            </w:r>
          </w:p>
        </w:tc>
        <w:tc>
          <w:tcPr>
            <w:tcW w:w="418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left"/>
              <w:rPr>
                <w:rFonts w:ascii="宋体" w:hAnsi="宋体" w:cs="宋体"/>
                <w:b/>
                <w:sz w:val="24"/>
              </w:rPr>
            </w:pPr>
            <w:r>
              <w:rPr>
                <w:rFonts w:hint="eastAsia" w:ascii="宋体" w:hAnsi="宋体" w:cs="宋体"/>
                <w:b/>
                <w:sz w:val="24"/>
              </w:rPr>
              <w:t>小写：</w:t>
            </w:r>
          </w:p>
        </w:tc>
      </w:tr>
      <w:tr>
        <w:tblPrEx>
          <w:tblCellMar>
            <w:top w:w="0" w:type="dxa"/>
            <w:left w:w="30" w:type="dxa"/>
            <w:bottom w:w="0" w:type="dxa"/>
            <w:right w:w="30" w:type="dxa"/>
          </w:tblCellMar>
        </w:tblPrEx>
        <w:trPr>
          <w:trHeight w:val="821" w:hRule="atLeast"/>
        </w:trPr>
        <w:tc>
          <w:tcPr>
            <w:tcW w:w="4052" w:type="dxa"/>
            <w:gridSpan w:val="2"/>
            <w:vMerge w:val="continue"/>
            <w:tcBorders>
              <w:left w:val="single" w:color="auto" w:sz="6" w:space="0"/>
              <w:bottom w:val="single" w:color="auto" w:sz="4" w:space="0"/>
              <w:right w:val="single" w:color="auto" w:sz="6" w:space="0"/>
            </w:tcBorders>
            <w:vAlign w:val="center"/>
          </w:tcPr>
          <w:p>
            <w:pPr>
              <w:autoSpaceDE w:val="0"/>
              <w:autoSpaceDN w:val="0"/>
              <w:spacing w:line="360" w:lineRule="auto"/>
              <w:jc w:val="center"/>
              <w:rPr>
                <w:rFonts w:ascii="宋体" w:hAnsi="宋体" w:cs="宋体"/>
                <w:b/>
                <w:sz w:val="24"/>
              </w:rPr>
            </w:pPr>
          </w:p>
        </w:tc>
        <w:tc>
          <w:tcPr>
            <w:tcW w:w="4185"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spacing w:line="360" w:lineRule="auto"/>
              <w:jc w:val="left"/>
              <w:rPr>
                <w:rFonts w:ascii="宋体" w:hAnsi="宋体" w:cs="宋体"/>
                <w:b/>
                <w:sz w:val="24"/>
              </w:rPr>
            </w:pPr>
            <w:r>
              <w:rPr>
                <w:rFonts w:hint="eastAsia" w:ascii="宋体" w:hAnsi="宋体" w:cs="宋体"/>
                <w:b/>
                <w:sz w:val="24"/>
              </w:rPr>
              <w:t>大写：</w:t>
            </w:r>
          </w:p>
        </w:tc>
      </w:tr>
    </w:tbl>
    <w:p>
      <w:pPr>
        <w:snapToGrid w:val="0"/>
        <w:spacing w:line="360" w:lineRule="auto"/>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p>
    <w:p>
      <w:pPr>
        <w:spacing w:line="360" w:lineRule="auto"/>
        <w:ind w:firstLine="480" w:firstLineChars="200"/>
        <w:rPr>
          <w:rFonts w:ascii="宋体" w:hAnsi="宋体" w:cs="宋体"/>
          <w:color w:val="FF0000"/>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szCs w:val="22"/>
          <w:lang w:val="zh-CN"/>
        </w:rPr>
        <w:t>4、</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jc w:val="both"/>
        <w:outlineLvl w:val="9"/>
        <w:rPr>
          <w:rFonts w:ascii="宋体" w:hAnsi="宋体" w:eastAsia="宋体" w:cs="宋体"/>
          <w:kern w:val="2"/>
          <w:sz w:val="32"/>
          <w:szCs w:val="32"/>
        </w:rPr>
        <w:sectPr>
          <w:pgSz w:w="11906" w:h="16838"/>
          <w:pgMar w:top="1247" w:right="1418" w:bottom="1276" w:left="1418" w:header="851" w:footer="992" w:gutter="0"/>
          <w:cols w:space="720" w:num="1"/>
          <w:titlePg/>
          <w:docGrid w:linePitch="312" w:charSpace="0"/>
        </w:sectPr>
      </w:pPr>
    </w:p>
    <w:p>
      <w:pPr>
        <w:tabs>
          <w:tab w:val="left" w:pos="8085"/>
        </w:tabs>
        <w:spacing w:line="360" w:lineRule="auto"/>
        <w:jc w:val="center"/>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spacing w:line="360" w:lineRule="auto"/>
        <w:ind w:firstLine="480" w:firstLineChars="200"/>
        <w:rPr>
          <w:rFonts w:ascii="宋体" w:hAnsi="宋体" w:cs="宋体"/>
          <w:sz w:val="24"/>
        </w:rPr>
      </w:pPr>
      <w:r>
        <w:rPr>
          <w:rFonts w:hint="eastAsia" w:ascii="宋体" w:hAnsi="宋体" w:cs="宋体"/>
          <w:sz w:val="24"/>
        </w:rPr>
        <w:t>（三）杭州e融平台申请融资</w:t>
      </w:r>
    </w:p>
    <w:p>
      <w:pPr>
        <w:spacing w:line="360" w:lineRule="auto"/>
        <w:ind w:firstLine="480" w:firstLineChars="200"/>
        <w:rPr>
          <w:rFonts w:ascii="宋体" w:hAnsi="宋体" w:cs="宋体"/>
          <w:sz w:val="24"/>
        </w:rPr>
      </w:pPr>
      <w:r>
        <w:rPr>
          <w:rFonts w:hint="eastAsia" w:ascii="宋体" w:hAnsi="宋体" w:cs="宋体"/>
          <w:sz w:val="24"/>
        </w:rPr>
        <w:t>供应商通过杭州e融平台政采贷专区，自行选择金融产品，按规定手续办理贷款流程。</w:t>
      </w:r>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rPr>
      </w:pPr>
      <w:bookmarkStart w:id="403" w:name="_Toc465665161"/>
      <w:r>
        <w:rPr>
          <w:rFonts w:hint="eastAsia" w:ascii="宋体" w:hAnsi="宋体" w:cs="宋体"/>
        </w:rPr>
        <w:t>附件</w:t>
      </w:r>
      <w:bookmarkEnd w:id="403"/>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04" w:name="OLE_LINK13"/>
      <w:bookmarkStart w:id="405" w:name="OLE_LINK14"/>
      <w:r>
        <w:rPr>
          <w:rFonts w:hint="eastAsia" w:ascii="宋体" w:hAnsi="宋体" w:cs="宋体"/>
          <w:b/>
          <w:spacing w:val="6"/>
          <w:sz w:val="32"/>
          <w:szCs w:val="32"/>
        </w:rPr>
        <w:t>残疾人福利性单位声明函</w:t>
      </w:r>
    </w:p>
    <w:bookmarkEnd w:id="404"/>
    <w:bookmarkEnd w:id="405"/>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left"/>
        <w:rPr>
          <w:rFonts w:ascii="宋体" w:hAnsi="宋体" w:cs="宋体"/>
          <w:b/>
          <w:spacing w:val="6"/>
          <w:sz w:val="32"/>
          <w:szCs w:val="32"/>
        </w:rPr>
      </w:pPr>
    </w:p>
    <w:p>
      <w:pPr>
        <w:autoSpaceDE w:val="0"/>
        <w:autoSpaceDN w:val="0"/>
        <w:jc w:val="left"/>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jc w:val="left"/>
        <w:rPr>
          <w:rFonts w:ascii="宋体" w:hAnsi="宋体" w:cs="宋体"/>
          <w:sz w:val="24"/>
        </w:rPr>
      </w:pPr>
      <w:r>
        <w:rPr>
          <w:rFonts w:hint="eastAsia" w:ascii="宋体" w:hAnsi="宋体" w:cs="宋体"/>
          <w:sz w:val="24"/>
          <w:u w:val="single"/>
        </w:rPr>
        <w:t>杭州市西湖区数据资源管理局、杭州市西湖区政府采购中心</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你方组织的杭州市西湖区cim地图能力提升建设项目【招标编号：XHZFCG-2022-G-41】</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ind w:firstLine="2333" w:firstLineChars="700"/>
        <w:rPr>
          <w:rFonts w:ascii="宋体" w:hAnsi="宋体" w:cs="宋体"/>
          <w:b/>
          <w:spacing w:val="6"/>
          <w:sz w:val="32"/>
          <w:szCs w:val="32"/>
        </w:rPr>
      </w:pPr>
    </w:p>
    <w:p>
      <w:pPr>
        <w:autoSpaceDE w:val="0"/>
        <w:autoSpaceDN w:val="0"/>
        <w:rPr>
          <w:rFonts w:ascii="宋体" w:hAnsi="宋体" w:cs="宋体"/>
          <w:b/>
          <w:spacing w:val="6"/>
          <w:sz w:val="32"/>
          <w:szCs w:val="32"/>
        </w:rPr>
      </w:pPr>
    </w:p>
    <w:p>
      <w:pPr>
        <w:autoSpaceDE w:val="0"/>
        <w:autoSpaceDN w:val="0"/>
        <w:rPr>
          <w:rFonts w:ascii="宋体" w:hAnsi="宋体" w:cs="宋体"/>
          <w:b/>
          <w:spacing w:val="6"/>
          <w:sz w:val="32"/>
          <w:szCs w:val="32"/>
        </w:rPr>
      </w:pPr>
    </w:p>
    <w:p>
      <w:pPr>
        <w:autoSpaceDE w:val="0"/>
        <w:autoSpaceDN w:val="0"/>
        <w:rPr>
          <w:rFonts w:ascii="宋体" w:hAnsi="宋体" w:cs="宋体"/>
          <w:b/>
          <w:spacing w:val="6"/>
          <w:sz w:val="32"/>
          <w:szCs w:val="32"/>
        </w:rPr>
      </w:pPr>
    </w:p>
    <w:p>
      <w:pPr>
        <w:autoSpaceDE w:val="0"/>
        <w:autoSpaceDN w:val="0"/>
        <w:rPr>
          <w:rFonts w:ascii="宋体" w:hAnsi="宋体" w:cs="宋体"/>
          <w:b/>
          <w:spacing w:val="6"/>
          <w:sz w:val="32"/>
          <w:szCs w:val="32"/>
        </w:rPr>
      </w:pPr>
    </w:p>
    <w:p>
      <w:pPr>
        <w:autoSpaceDE w:val="0"/>
        <w:autoSpaceDN w:val="0"/>
        <w:rPr>
          <w:rFonts w:ascii="宋体" w:hAnsi="宋体" w:cs="宋体"/>
          <w:b/>
          <w:spacing w:val="6"/>
          <w:sz w:val="32"/>
          <w:szCs w:val="32"/>
        </w:rPr>
      </w:pPr>
    </w:p>
    <w:p>
      <w:pPr>
        <w:autoSpaceDE w:val="0"/>
        <w:autoSpaceDN w:val="0"/>
        <w:rPr>
          <w:rFonts w:ascii="宋体" w:hAnsi="宋体" w:cs="宋体"/>
          <w:b/>
          <w:kern w:val="0"/>
          <w:sz w:val="32"/>
          <w:szCs w:val="32"/>
          <w:lang w:val="zh-CN"/>
        </w:rPr>
      </w:pPr>
      <w:r>
        <w:rPr>
          <w:rFonts w:hint="eastAsia" w:ascii="宋体" w:hAnsi="宋体" w:cs="宋体"/>
          <w:b/>
          <w:spacing w:val="6"/>
          <w:sz w:val="32"/>
          <w:szCs w:val="32"/>
        </w:rPr>
        <w:t>附件5：</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杭州市西湖区cim地图能力提升建设项目【招标编号：XHZFCG-2022-G-41】</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（联合体成员2）</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406" w:name="_Hlk101131882"/>
      <w:r>
        <w:rPr>
          <w:rFonts w:hint="eastAsia" w:ascii="宋体" w:hAnsi="宋体" w:cs="宋体"/>
          <w:kern w:val="0"/>
          <w:sz w:val="24"/>
          <w:u w:val="single"/>
        </w:rPr>
        <w:t>联合体成员X,……</w:t>
      </w:r>
      <w:bookmarkEnd w:id="406"/>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407"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未预留份额专门面向中小企业采购的采购项目，以及预留份额中的非预留部分采购包，接受联合体投标的，联合协议约定小微企业的合同份额占到合同总金额30%以上的，对联合体报价给予3%的扣除。供应商</w:t>
      </w:r>
      <w:r>
        <w:rPr>
          <w:rFonts w:hint="eastAsia" w:ascii="宋体" w:hAnsi="宋体" w:cs="宋体"/>
          <w:b/>
          <w:sz w:val="24"/>
        </w:rPr>
        <w:t>拟享受以上价格扣除政策的，填写有关内容。</w:t>
      </w:r>
      <w:bookmarkEnd w:id="407"/>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08"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08"/>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spacing w:val="6"/>
          <w:sz w:val="32"/>
          <w:szCs w:val="32"/>
        </w:rPr>
      </w:pPr>
    </w:p>
    <w:p>
      <w:pPr>
        <w:snapToGrid w:val="0"/>
        <w:spacing w:line="360" w:lineRule="auto"/>
        <w:rPr>
          <w:rFonts w:ascii="宋体" w:hAnsi="宋体" w:cs="宋体"/>
          <w:b/>
          <w:kern w:val="0"/>
          <w:sz w:val="32"/>
          <w:szCs w:val="32"/>
        </w:rPr>
      </w:pPr>
      <w:r>
        <w:rPr>
          <w:rFonts w:hint="eastAsia" w:ascii="宋体" w:hAnsi="宋体" w:cs="宋体"/>
          <w:b/>
          <w:spacing w:val="6"/>
          <w:sz w:val="32"/>
          <w:szCs w:val="32"/>
        </w:rPr>
        <w:t>附件6：</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杭州市西湖区cim地图能力提升建设项目【招标编号：XHZFCG-2022-G-41】</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hint="eastAsia"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pPr>
        <w:ind w:left="664" w:leftChars="316" w:firstLine="199" w:firstLineChars="95"/>
        <w:rPr>
          <w:rFonts w:ascii="宋体" w:hAnsi="宋体" w:cs="宋体"/>
        </w:rPr>
      </w:pPr>
      <w:r>
        <w:rPr>
          <w:rFonts w:hint="eastAsia" w:ascii="宋体" w:hAnsi="宋体" w:cs="宋体"/>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rPr>
        <w:t>1、</w:t>
      </w:r>
      <w:r>
        <w:rPr>
          <w:rFonts w:hint="eastAsia" w:ascii="宋体" w:hAnsi="宋体" w:cs="宋体"/>
          <w:kern w:val="0"/>
          <w:sz w:val="24"/>
          <w:u w:val="single"/>
        </w:rPr>
        <w:t>（分包供应商X,……）提供的服务全部由小微企业承接，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（未预留份额专门面向中小企业采购的采购项目，以及预留份额中的非预留部分采购包，允许分包的，分包意向协议约定小微企业的合同份额占到合同总金额30%以上的，对大中型企业的报价给予3%的扣除。供应商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ind w:firstLine="5640" w:firstLineChars="2350"/>
        <w:rPr>
          <w:rFonts w:ascii="宋体" w:hAns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bCs/>
          <w:sz w:val="32"/>
          <w:szCs w:val="32"/>
        </w:rPr>
      </w:pPr>
      <w:r>
        <w:rPr>
          <w:rFonts w:hint="eastAsia" w:ascii="宋体" w:hAnsi="宋体" w:cs="宋体"/>
          <w:b/>
          <w:spacing w:val="6"/>
          <w:sz w:val="32"/>
          <w:szCs w:val="32"/>
        </w:rPr>
        <w:t>附件7：</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杭州市西湖区数据资源管理局 </w:t>
      </w:r>
      <w:r>
        <w:rPr>
          <w:rFonts w:hint="eastAsia" w:ascii="宋体" w:hAnsi="宋体" w:cs="宋体"/>
          <w:sz w:val="24"/>
        </w:rPr>
        <w:t>的</w:t>
      </w:r>
      <w:r>
        <w:rPr>
          <w:rFonts w:hint="eastAsia" w:ascii="宋体" w:hAnsi="宋体" w:cs="宋体"/>
          <w:sz w:val="24"/>
          <w:u w:val="single"/>
        </w:rPr>
        <w:t xml:space="preserve"> 杭州市西湖区cim地图能力提升建设项目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w:t>
      </w:r>
      <w:r>
        <w:rPr>
          <w:rFonts w:hint="eastAsia" w:ascii="宋体" w:hAnsi="宋体" w:cs="宋体"/>
          <w:b/>
          <w:bCs/>
          <w:sz w:val="24"/>
        </w:rPr>
        <w:t>逐一填写，不得缺漏</w:t>
      </w:r>
      <w:r>
        <w:rPr>
          <w:rFonts w:hint="eastAsia" w:ascii="宋体" w:hAnsi="宋体" w:cs="宋体"/>
          <w:sz w:val="24"/>
        </w:rPr>
        <w:t>；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6" w:type="first"/>
      <w:footerReference r:id="rId29" w:type="first"/>
      <w:headerReference r:id="rId25" w:type="default"/>
      <w:footerReference r:id="rId27" w:type="default"/>
      <w:footerReference r:id="rId28"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bookmarkStart w:id="409" w:name="_Toc36110187"/>
    <w:bookmarkStart w:id="410" w:name="_Toc91899912"/>
    <w:bookmarkStart w:id="411" w:name="_Toc164085800"/>
    <w:bookmarkStart w:id="412" w:name="_Toc131845147"/>
    <w:r>
      <w:rPr>
        <w:rFonts w:hint="eastAsia" w:ascii="仿宋_GB2312" w:eastAsia="仿宋_GB2312"/>
        <w:kern w:val="0"/>
        <w:szCs w:val="21"/>
      </w:rPr>
      <w:t xml:space="preserve"> 页</w:t>
    </w:r>
    <w:bookmarkEnd w:id="409"/>
    <w:bookmarkEnd w:id="410"/>
    <w:bookmarkEnd w:id="411"/>
    <w:bookmarkEnd w:id="41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杭州市西湖区政府采购公开招标文件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杭州市西湖区政府采购公开招标文件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b/>
        <w:i/>
        <w:iCs/>
        <w:u w:val="single"/>
      </w:rPr>
    </w:pPr>
    <w:r>
      <w:t></w:t>
    </w:r>
    <w:r>
      <w:rPr>
        <w:rFonts w:hint="eastAsia"/>
      </w:rPr>
      <w:t>杭州市西湖区政府采购公开招标文件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杭州市西湖区政府采购公开招标文件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杭州市西湖区政府采购公开招标文件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ind w:firstLine="180" w:firstLineChars="100"/>
      <w:jc w:val="both"/>
      <w:rPr>
        <w:rFonts w:ascii="仿宋_GB2312" w:eastAsia="仿宋_GB2312"/>
        <w:b w:val="0"/>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eastAsia="仿宋_GB23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b/>
        <w:i/>
        <w:u w:val="single"/>
      </w:rPr>
    </w:pPr>
    <w:r>
      <w:t></w:t>
    </w:r>
    <w:r>
      <w:rPr>
        <w:rFonts w:hint="eastAsia"/>
      </w:rPr>
      <w:t xml:space="preserve">                                                              杭州市西湖区政府采购公开招标文件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rFonts w:hint="eastAsia"/>
      </w:rPr>
      <w:t xml:space="preserve">                                                                 杭州市西湖区政府采购公开招标文件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both"/>
      <w:rPr>
        <w:rFonts w:ascii="仿宋_GB2312"/>
        <w:b/>
        <w:i/>
        <w:u w:val="single"/>
      </w:rPr>
    </w:pPr>
    <w:r>
      <w:t></w:t>
    </w:r>
    <w:r>
      <w:rPr>
        <w:rFonts w:hint="eastAsia"/>
      </w:rPr>
      <w:t xml:space="preserve">                          杭州市西湖区政府采购公开招标文件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 xml:space="preserve">                                </w:t>
    </w:r>
    <w:r>
      <w:rPr>
        <w:rFonts w:hint="eastAsia"/>
      </w:rPr>
      <w:t xml:space="preserve">                        杭州市西湖区政府采购公开招标文件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b/>
        <w:i/>
        <w:u w:val="single"/>
      </w:rPr>
    </w:pPr>
    <w:r>
      <w:rPr>
        <w:rFonts w:hint="eastAsia"/>
      </w:rPr>
      <w:t xml:space="preserve">                                  杭州市西湖区政府采购公开招标文件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021E1F"/>
    <w:multiLevelType w:val="singleLevel"/>
    <w:tmpl w:val="D5021E1F"/>
    <w:lvl w:ilvl="0" w:tentative="0">
      <w:start w:val="3"/>
      <w:numFmt w:val="chineseCounting"/>
      <w:suff w:val="space"/>
      <w:lvlText w:val="第%1部分"/>
      <w:lvlJc w:val="left"/>
      <w:rPr>
        <w:rFonts w:hint="eastAsia"/>
      </w:rPr>
    </w:lvl>
  </w:abstractNum>
  <w:abstractNum w:abstractNumId="1">
    <w:nsid w:val="14442CD4"/>
    <w:multiLevelType w:val="singleLevel"/>
    <w:tmpl w:val="14442CD4"/>
    <w:lvl w:ilvl="0" w:tentative="0">
      <w:start w:val="3"/>
      <w:numFmt w:val="chineseCounting"/>
      <w:suff w:val="nothing"/>
      <w:lvlText w:val="%1、"/>
      <w:lvlJc w:val="left"/>
      <w:rPr>
        <w:rFonts w:hint="eastAsia"/>
      </w:rPr>
    </w:lvl>
  </w:abstractNum>
  <w:abstractNum w:abstractNumId="2">
    <w:nsid w:val="46377CE8"/>
    <w:multiLevelType w:val="multilevel"/>
    <w:tmpl w:val="46377CE8"/>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3119" w:hanging="567"/>
      </w:pPr>
      <w:rPr>
        <w:rFonts w:ascii="黑体" w:hAnsi="黑体" w:eastAsia="黑体"/>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57134892"/>
    <w:multiLevelType w:val="multilevel"/>
    <w:tmpl w:val="57134892"/>
    <w:lvl w:ilvl="0" w:tentative="0">
      <w:start w:val="1"/>
      <w:numFmt w:val="japaneseCounting"/>
      <w:lvlText w:val="%1、"/>
      <w:lvlJc w:val="left"/>
      <w:pPr>
        <w:ind w:left="744" w:hanging="74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4BED34"/>
    <w:multiLevelType w:val="singleLevel"/>
    <w:tmpl w:val="594BED34"/>
    <w:lvl w:ilvl="0" w:tentative="0">
      <w:start w:val="1"/>
      <w:numFmt w:val="upperLetter"/>
      <w:lvlText w:val="%1."/>
      <w:lvlJc w:val="left"/>
      <w:pPr>
        <w:tabs>
          <w:tab w:val="left" w:pos="312"/>
        </w:tabs>
      </w:pPr>
    </w:lvl>
  </w:abstractNum>
  <w:abstractNum w:abstractNumId="5">
    <w:nsid w:val="72B547A6"/>
    <w:multiLevelType w:val="multilevel"/>
    <w:tmpl w:val="72B547A6"/>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77A5CCDA"/>
    <w:multiLevelType w:val="singleLevel"/>
    <w:tmpl w:val="77A5CCDA"/>
    <w:lvl w:ilvl="0" w:tentative="0">
      <w:start w:val="1"/>
      <w:numFmt w:val="decimal"/>
      <w:suff w:val="nothing"/>
      <w:lvlText w:val="（%1）"/>
      <w:lvlJc w:val="left"/>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5OGY0OTAyMWVjYjdhMDA4ZjM1NTI1Y2FiMzYzZj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0DB"/>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88D"/>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065"/>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5A7E"/>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E1B"/>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2D77"/>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33"/>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0960A0"/>
    <w:rsid w:val="011F14BC"/>
    <w:rsid w:val="011F6449"/>
    <w:rsid w:val="01236AFB"/>
    <w:rsid w:val="019F7441"/>
    <w:rsid w:val="01B37585"/>
    <w:rsid w:val="01D55165"/>
    <w:rsid w:val="01DF6BF8"/>
    <w:rsid w:val="01EC2C57"/>
    <w:rsid w:val="01EC4446"/>
    <w:rsid w:val="02343F5E"/>
    <w:rsid w:val="025F0711"/>
    <w:rsid w:val="026B2E25"/>
    <w:rsid w:val="02824D4D"/>
    <w:rsid w:val="02B20720"/>
    <w:rsid w:val="02B41179"/>
    <w:rsid w:val="02DC4B10"/>
    <w:rsid w:val="02DD76CE"/>
    <w:rsid w:val="02F36323"/>
    <w:rsid w:val="02F5619C"/>
    <w:rsid w:val="031C3AEF"/>
    <w:rsid w:val="0326446A"/>
    <w:rsid w:val="032D5555"/>
    <w:rsid w:val="033F3989"/>
    <w:rsid w:val="036634D2"/>
    <w:rsid w:val="03DD35E4"/>
    <w:rsid w:val="04076900"/>
    <w:rsid w:val="041A5A3B"/>
    <w:rsid w:val="042311BA"/>
    <w:rsid w:val="042B157A"/>
    <w:rsid w:val="048F763B"/>
    <w:rsid w:val="049F330E"/>
    <w:rsid w:val="04AA775C"/>
    <w:rsid w:val="04AF1889"/>
    <w:rsid w:val="04CB4958"/>
    <w:rsid w:val="04E166A1"/>
    <w:rsid w:val="04E606FF"/>
    <w:rsid w:val="04F66F48"/>
    <w:rsid w:val="052222E1"/>
    <w:rsid w:val="05251612"/>
    <w:rsid w:val="05251E14"/>
    <w:rsid w:val="05286359"/>
    <w:rsid w:val="05370A92"/>
    <w:rsid w:val="057B6FFB"/>
    <w:rsid w:val="058B0603"/>
    <w:rsid w:val="05913CBE"/>
    <w:rsid w:val="05A16594"/>
    <w:rsid w:val="05A7762D"/>
    <w:rsid w:val="060E5941"/>
    <w:rsid w:val="06110FAF"/>
    <w:rsid w:val="06304B86"/>
    <w:rsid w:val="06493CA7"/>
    <w:rsid w:val="065A6178"/>
    <w:rsid w:val="066F1CF3"/>
    <w:rsid w:val="067C4B89"/>
    <w:rsid w:val="06930BB8"/>
    <w:rsid w:val="07245D42"/>
    <w:rsid w:val="07264C62"/>
    <w:rsid w:val="0779354C"/>
    <w:rsid w:val="07862A0D"/>
    <w:rsid w:val="07AE00BF"/>
    <w:rsid w:val="08061376"/>
    <w:rsid w:val="08452D77"/>
    <w:rsid w:val="086401F8"/>
    <w:rsid w:val="08751CAA"/>
    <w:rsid w:val="087E4C40"/>
    <w:rsid w:val="08800031"/>
    <w:rsid w:val="089C2134"/>
    <w:rsid w:val="08A4570F"/>
    <w:rsid w:val="08A871D0"/>
    <w:rsid w:val="08D66AD6"/>
    <w:rsid w:val="08DA33A3"/>
    <w:rsid w:val="08E80F13"/>
    <w:rsid w:val="092158BA"/>
    <w:rsid w:val="09241316"/>
    <w:rsid w:val="09335624"/>
    <w:rsid w:val="0944690F"/>
    <w:rsid w:val="09535675"/>
    <w:rsid w:val="095F057D"/>
    <w:rsid w:val="09642282"/>
    <w:rsid w:val="09733572"/>
    <w:rsid w:val="09772C16"/>
    <w:rsid w:val="098353B5"/>
    <w:rsid w:val="09A92330"/>
    <w:rsid w:val="09B06B87"/>
    <w:rsid w:val="09C13146"/>
    <w:rsid w:val="09E04166"/>
    <w:rsid w:val="0A0A64F2"/>
    <w:rsid w:val="0A1C0718"/>
    <w:rsid w:val="0A3E7710"/>
    <w:rsid w:val="0A5B59B3"/>
    <w:rsid w:val="0A5B7E63"/>
    <w:rsid w:val="0A9070A1"/>
    <w:rsid w:val="0AA374A5"/>
    <w:rsid w:val="0AAB7649"/>
    <w:rsid w:val="0ABC5606"/>
    <w:rsid w:val="0B1225DD"/>
    <w:rsid w:val="0B30404E"/>
    <w:rsid w:val="0B4C6C14"/>
    <w:rsid w:val="0B543136"/>
    <w:rsid w:val="0B547599"/>
    <w:rsid w:val="0B631A88"/>
    <w:rsid w:val="0B683D45"/>
    <w:rsid w:val="0B715FB8"/>
    <w:rsid w:val="0B7F3F11"/>
    <w:rsid w:val="0B884417"/>
    <w:rsid w:val="0B923BCB"/>
    <w:rsid w:val="0BF6188C"/>
    <w:rsid w:val="0BF73C91"/>
    <w:rsid w:val="0C170175"/>
    <w:rsid w:val="0C571A41"/>
    <w:rsid w:val="0C5C1171"/>
    <w:rsid w:val="0C5E1CBC"/>
    <w:rsid w:val="0C615B50"/>
    <w:rsid w:val="0C8445DA"/>
    <w:rsid w:val="0C87121B"/>
    <w:rsid w:val="0CA21533"/>
    <w:rsid w:val="0CBA522F"/>
    <w:rsid w:val="0CC007F7"/>
    <w:rsid w:val="0CC617AC"/>
    <w:rsid w:val="0CD7284F"/>
    <w:rsid w:val="0CE618DF"/>
    <w:rsid w:val="0CEE2400"/>
    <w:rsid w:val="0CFE707A"/>
    <w:rsid w:val="0D063BDA"/>
    <w:rsid w:val="0D08375F"/>
    <w:rsid w:val="0D184CFB"/>
    <w:rsid w:val="0D4A7419"/>
    <w:rsid w:val="0D681388"/>
    <w:rsid w:val="0D827401"/>
    <w:rsid w:val="0D84094E"/>
    <w:rsid w:val="0D8A00E9"/>
    <w:rsid w:val="0D8D589E"/>
    <w:rsid w:val="0DA01C73"/>
    <w:rsid w:val="0DD33D2E"/>
    <w:rsid w:val="0DD63300"/>
    <w:rsid w:val="0DF50604"/>
    <w:rsid w:val="0DF702FE"/>
    <w:rsid w:val="0E060E51"/>
    <w:rsid w:val="0E092C83"/>
    <w:rsid w:val="0E1577B2"/>
    <w:rsid w:val="0E344CE7"/>
    <w:rsid w:val="0E361C9F"/>
    <w:rsid w:val="0E506059"/>
    <w:rsid w:val="0E5604B2"/>
    <w:rsid w:val="0E6D5D79"/>
    <w:rsid w:val="0E9B26A2"/>
    <w:rsid w:val="0E9D0089"/>
    <w:rsid w:val="0EB803EE"/>
    <w:rsid w:val="0ED95296"/>
    <w:rsid w:val="0EF718EC"/>
    <w:rsid w:val="0EF94D4B"/>
    <w:rsid w:val="0F4958DC"/>
    <w:rsid w:val="0F515DF7"/>
    <w:rsid w:val="0F596BA8"/>
    <w:rsid w:val="0F6248D2"/>
    <w:rsid w:val="0F693536"/>
    <w:rsid w:val="0F7802CA"/>
    <w:rsid w:val="0F7B0511"/>
    <w:rsid w:val="0F7B76D9"/>
    <w:rsid w:val="0F816ACD"/>
    <w:rsid w:val="0F8368DE"/>
    <w:rsid w:val="0F9832DB"/>
    <w:rsid w:val="0FBF3FD2"/>
    <w:rsid w:val="0FBF7FF3"/>
    <w:rsid w:val="0FF9679B"/>
    <w:rsid w:val="10646583"/>
    <w:rsid w:val="107D4B15"/>
    <w:rsid w:val="108A3C80"/>
    <w:rsid w:val="10A76C2D"/>
    <w:rsid w:val="10C26171"/>
    <w:rsid w:val="10C84B14"/>
    <w:rsid w:val="10F33360"/>
    <w:rsid w:val="10FC16EA"/>
    <w:rsid w:val="110F1D40"/>
    <w:rsid w:val="111D63CD"/>
    <w:rsid w:val="11266F33"/>
    <w:rsid w:val="114C42F5"/>
    <w:rsid w:val="118963A1"/>
    <w:rsid w:val="119277D1"/>
    <w:rsid w:val="11AE6265"/>
    <w:rsid w:val="11C6522A"/>
    <w:rsid w:val="11E104CC"/>
    <w:rsid w:val="11E20309"/>
    <w:rsid w:val="11F44A58"/>
    <w:rsid w:val="11FC55E5"/>
    <w:rsid w:val="12083425"/>
    <w:rsid w:val="122523CB"/>
    <w:rsid w:val="12255233"/>
    <w:rsid w:val="12530213"/>
    <w:rsid w:val="127723A9"/>
    <w:rsid w:val="12862074"/>
    <w:rsid w:val="12883966"/>
    <w:rsid w:val="129E45B4"/>
    <w:rsid w:val="12CC0E8B"/>
    <w:rsid w:val="12D343EB"/>
    <w:rsid w:val="12D66E53"/>
    <w:rsid w:val="12D81596"/>
    <w:rsid w:val="13072A44"/>
    <w:rsid w:val="135F4BE2"/>
    <w:rsid w:val="136F6164"/>
    <w:rsid w:val="139B1A0A"/>
    <w:rsid w:val="139D25C7"/>
    <w:rsid w:val="13B14168"/>
    <w:rsid w:val="13BF3CE4"/>
    <w:rsid w:val="141008D8"/>
    <w:rsid w:val="14125FE6"/>
    <w:rsid w:val="146C6483"/>
    <w:rsid w:val="146D271E"/>
    <w:rsid w:val="147310D6"/>
    <w:rsid w:val="14982588"/>
    <w:rsid w:val="149A5AD9"/>
    <w:rsid w:val="149C4D23"/>
    <w:rsid w:val="14A7619D"/>
    <w:rsid w:val="14B02116"/>
    <w:rsid w:val="14BD74B7"/>
    <w:rsid w:val="14C749C0"/>
    <w:rsid w:val="14C86864"/>
    <w:rsid w:val="14FB409E"/>
    <w:rsid w:val="150536C3"/>
    <w:rsid w:val="150A2574"/>
    <w:rsid w:val="150C1963"/>
    <w:rsid w:val="151447A0"/>
    <w:rsid w:val="15287D42"/>
    <w:rsid w:val="154A6454"/>
    <w:rsid w:val="156E5484"/>
    <w:rsid w:val="15762120"/>
    <w:rsid w:val="158A2BD5"/>
    <w:rsid w:val="15972B36"/>
    <w:rsid w:val="15F97C18"/>
    <w:rsid w:val="168D6C11"/>
    <w:rsid w:val="16A8729C"/>
    <w:rsid w:val="16B33777"/>
    <w:rsid w:val="16BC70A7"/>
    <w:rsid w:val="16C6339E"/>
    <w:rsid w:val="17152850"/>
    <w:rsid w:val="172F2D79"/>
    <w:rsid w:val="174D02DD"/>
    <w:rsid w:val="17557BEF"/>
    <w:rsid w:val="177D483A"/>
    <w:rsid w:val="179E323E"/>
    <w:rsid w:val="17C616DE"/>
    <w:rsid w:val="17D349C1"/>
    <w:rsid w:val="1830729E"/>
    <w:rsid w:val="18345EEC"/>
    <w:rsid w:val="186768F3"/>
    <w:rsid w:val="1870062C"/>
    <w:rsid w:val="18817102"/>
    <w:rsid w:val="18830A15"/>
    <w:rsid w:val="18852B28"/>
    <w:rsid w:val="188B5321"/>
    <w:rsid w:val="189B4645"/>
    <w:rsid w:val="18A77CE2"/>
    <w:rsid w:val="18D05BDE"/>
    <w:rsid w:val="19481511"/>
    <w:rsid w:val="19932372"/>
    <w:rsid w:val="19A20DD5"/>
    <w:rsid w:val="19AE03F1"/>
    <w:rsid w:val="19BA288C"/>
    <w:rsid w:val="1A071A03"/>
    <w:rsid w:val="1A1F16AE"/>
    <w:rsid w:val="1A3B5C77"/>
    <w:rsid w:val="1A984BAD"/>
    <w:rsid w:val="1AB8220E"/>
    <w:rsid w:val="1AE4166C"/>
    <w:rsid w:val="1AF06CFB"/>
    <w:rsid w:val="1AF11B8D"/>
    <w:rsid w:val="1B11359C"/>
    <w:rsid w:val="1B2A271F"/>
    <w:rsid w:val="1B3D1008"/>
    <w:rsid w:val="1B530544"/>
    <w:rsid w:val="1B5A471D"/>
    <w:rsid w:val="1B6F1330"/>
    <w:rsid w:val="1B713184"/>
    <w:rsid w:val="1B8667AD"/>
    <w:rsid w:val="1BA209CF"/>
    <w:rsid w:val="1BA43EC8"/>
    <w:rsid w:val="1BA915CD"/>
    <w:rsid w:val="1BB4777D"/>
    <w:rsid w:val="1BD46692"/>
    <w:rsid w:val="1BD75AB8"/>
    <w:rsid w:val="1C0459C2"/>
    <w:rsid w:val="1C1B3B4A"/>
    <w:rsid w:val="1C61354E"/>
    <w:rsid w:val="1C644BDE"/>
    <w:rsid w:val="1C88086E"/>
    <w:rsid w:val="1C923F00"/>
    <w:rsid w:val="1D266CE1"/>
    <w:rsid w:val="1D3963AF"/>
    <w:rsid w:val="1D6A673C"/>
    <w:rsid w:val="1D9247AE"/>
    <w:rsid w:val="1D965047"/>
    <w:rsid w:val="1DB567EC"/>
    <w:rsid w:val="1DF51A98"/>
    <w:rsid w:val="1E3D060F"/>
    <w:rsid w:val="1E3F7D2E"/>
    <w:rsid w:val="1E4134E4"/>
    <w:rsid w:val="1E50157B"/>
    <w:rsid w:val="1E5062B3"/>
    <w:rsid w:val="1E523514"/>
    <w:rsid w:val="1E59211C"/>
    <w:rsid w:val="1E714A66"/>
    <w:rsid w:val="1E802593"/>
    <w:rsid w:val="1E8B6156"/>
    <w:rsid w:val="1EA703CC"/>
    <w:rsid w:val="1EB7330C"/>
    <w:rsid w:val="1F0A0FF3"/>
    <w:rsid w:val="1F4F7BDD"/>
    <w:rsid w:val="1F5771FF"/>
    <w:rsid w:val="1F766649"/>
    <w:rsid w:val="1F8B07BA"/>
    <w:rsid w:val="1FE868A9"/>
    <w:rsid w:val="20034907"/>
    <w:rsid w:val="20173E4B"/>
    <w:rsid w:val="204E48BC"/>
    <w:rsid w:val="2057360E"/>
    <w:rsid w:val="208921B3"/>
    <w:rsid w:val="20973DEB"/>
    <w:rsid w:val="20B26522"/>
    <w:rsid w:val="20B44310"/>
    <w:rsid w:val="20EE5D31"/>
    <w:rsid w:val="211116EB"/>
    <w:rsid w:val="21245B8C"/>
    <w:rsid w:val="2146619B"/>
    <w:rsid w:val="214C6E70"/>
    <w:rsid w:val="21504956"/>
    <w:rsid w:val="216133FC"/>
    <w:rsid w:val="21903871"/>
    <w:rsid w:val="219625F0"/>
    <w:rsid w:val="219F4F23"/>
    <w:rsid w:val="21D56769"/>
    <w:rsid w:val="21E52EF3"/>
    <w:rsid w:val="21FB5D7B"/>
    <w:rsid w:val="22015E94"/>
    <w:rsid w:val="220B1C3D"/>
    <w:rsid w:val="221D1D20"/>
    <w:rsid w:val="22334A87"/>
    <w:rsid w:val="2235765A"/>
    <w:rsid w:val="224F3F58"/>
    <w:rsid w:val="22701ACE"/>
    <w:rsid w:val="22BE6801"/>
    <w:rsid w:val="23045B0C"/>
    <w:rsid w:val="233500BF"/>
    <w:rsid w:val="23377FF7"/>
    <w:rsid w:val="235D7A25"/>
    <w:rsid w:val="236B425F"/>
    <w:rsid w:val="23836192"/>
    <w:rsid w:val="23901F29"/>
    <w:rsid w:val="239C0061"/>
    <w:rsid w:val="23B908A4"/>
    <w:rsid w:val="23E95BEF"/>
    <w:rsid w:val="23FD0064"/>
    <w:rsid w:val="23FE2473"/>
    <w:rsid w:val="23FF5797"/>
    <w:rsid w:val="245375B0"/>
    <w:rsid w:val="24574279"/>
    <w:rsid w:val="24642C0A"/>
    <w:rsid w:val="249228B4"/>
    <w:rsid w:val="24B22173"/>
    <w:rsid w:val="24B95AD9"/>
    <w:rsid w:val="24BE24DA"/>
    <w:rsid w:val="24CF5825"/>
    <w:rsid w:val="24D663E6"/>
    <w:rsid w:val="24D77F2B"/>
    <w:rsid w:val="24F93BF5"/>
    <w:rsid w:val="25301D1A"/>
    <w:rsid w:val="258B00E2"/>
    <w:rsid w:val="258B5680"/>
    <w:rsid w:val="25A917A6"/>
    <w:rsid w:val="25B67C06"/>
    <w:rsid w:val="25BE27CC"/>
    <w:rsid w:val="25C93661"/>
    <w:rsid w:val="25E45AA4"/>
    <w:rsid w:val="25E7494B"/>
    <w:rsid w:val="25F74A5C"/>
    <w:rsid w:val="2628662C"/>
    <w:rsid w:val="262D45DE"/>
    <w:rsid w:val="263D07E2"/>
    <w:rsid w:val="2659262D"/>
    <w:rsid w:val="266157D3"/>
    <w:rsid w:val="26871DC8"/>
    <w:rsid w:val="26933BB3"/>
    <w:rsid w:val="26A53EF9"/>
    <w:rsid w:val="26A94201"/>
    <w:rsid w:val="26AC274F"/>
    <w:rsid w:val="26C365A6"/>
    <w:rsid w:val="27044A29"/>
    <w:rsid w:val="27077CDA"/>
    <w:rsid w:val="271D34C8"/>
    <w:rsid w:val="27451133"/>
    <w:rsid w:val="276142BF"/>
    <w:rsid w:val="27783712"/>
    <w:rsid w:val="27907362"/>
    <w:rsid w:val="27F47A82"/>
    <w:rsid w:val="28333E1D"/>
    <w:rsid w:val="28454BD6"/>
    <w:rsid w:val="28455253"/>
    <w:rsid w:val="28551971"/>
    <w:rsid w:val="285B1C53"/>
    <w:rsid w:val="289F7086"/>
    <w:rsid w:val="28C32028"/>
    <w:rsid w:val="28CC490F"/>
    <w:rsid w:val="28DE1EE5"/>
    <w:rsid w:val="28DE40AA"/>
    <w:rsid w:val="29345E77"/>
    <w:rsid w:val="29362E6D"/>
    <w:rsid w:val="29457465"/>
    <w:rsid w:val="294C65AD"/>
    <w:rsid w:val="29806583"/>
    <w:rsid w:val="298B3C4C"/>
    <w:rsid w:val="29A34A46"/>
    <w:rsid w:val="29F26D24"/>
    <w:rsid w:val="2A055331"/>
    <w:rsid w:val="2A0B2FFD"/>
    <w:rsid w:val="2A15033F"/>
    <w:rsid w:val="2A1662C1"/>
    <w:rsid w:val="2A1C7367"/>
    <w:rsid w:val="2A1E1CD3"/>
    <w:rsid w:val="2A2815FA"/>
    <w:rsid w:val="2A6D6092"/>
    <w:rsid w:val="2A7D76B4"/>
    <w:rsid w:val="2A8A61D9"/>
    <w:rsid w:val="2AEE35D3"/>
    <w:rsid w:val="2B437463"/>
    <w:rsid w:val="2B6F643F"/>
    <w:rsid w:val="2B7807EE"/>
    <w:rsid w:val="2BA50BF7"/>
    <w:rsid w:val="2BBF00EC"/>
    <w:rsid w:val="2BC37CFD"/>
    <w:rsid w:val="2BD5237F"/>
    <w:rsid w:val="2BD75859"/>
    <w:rsid w:val="2BE536CE"/>
    <w:rsid w:val="2BE758D9"/>
    <w:rsid w:val="2BF53AC1"/>
    <w:rsid w:val="2C09049E"/>
    <w:rsid w:val="2C0A653C"/>
    <w:rsid w:val="2C191F85"/>
    <w:rsid w:val="2C226A0E"/>
    <w:rsid w:val="2C2E01B6"/>
    <w:rsid w:val="2C58303B"/>
    <w:rsid w:val="2C7E756F"/>
    <w:rsid w:val="2CE82D6F"/>
    <w:rsid w:val="2D105D0A"/>
    <w:rsid w:val="2D343236"/>
    <w:rsid w:val="2D7C7C95"/>
    <w:rsid w:val="2DCA64F8"/>
    <w:rsid w:val="2DD15014"/>
    <w:rsid w:val="2DD433CB"/>
    <w:rsid w:val="2DF72DE4"/>
    <w:rsid w:val="2E0220AF"/>
    <w:rsid w:val="2E324A58"/>
    <w:rsid w:val="2E355AD7"/>
    <w:rsid w:val="2E397B11"/>
    <w:rsid w:val="2E4B082A"/>
    <w:rsid w:val="2E5D4E86"/>
    <w:rsid w:val="2E5D790B"/>
    <w:rsid w:val="2E9A3C18"/>
    <w:rsid w:val="2EBB0FEE"/>
    <w:rsid w:val="2EC63002"/>
    <w:rsid w:val="2F0A6B38"/>
    <w:rsid w:val="2F1331CC"/>
    <w:rsid w:val="2F2F72EE"/>
    <w:rsid w:val="2F3A2239"/>
    <w:rsid w:val="2F946CCB"/>
    <w:rsid w:val="2FB60701"/>
    <w:rsid w:val="2FD25781"/>
    <w:rsid w:val="2FDC745C"/>
    <w:rsid w:val="2FFD7934"/>
    <w:rsid w:val="303E7D85"/>
    <w:rsid w:val="30733ACD"/>
    <w:rsid w:val="308C3862"/>
    <w:rsid w:val="309379D8"/>
    <w:rsid w:val="30A270F7"/>
    <w:rsid w:val="30AD7C37"/>
    <w:rsid w:val="30DF1478"/>
    <w:rsid w:val="30EC2A34"/>
    <w:rsid w:val="30EC586F"/>
    <w:rsid w:val="31192ADC"/>
    <w:rsid w:val="31597945"/>
    <w:rsid w:val="317E3C54"/>
    <w:rsid w:val="319C6071"/>
    <w:rsid w:val="31AC537E"/>
    <w:rsid w:val="31CE290E"/>
    <w:rsid w:val="31E3679B"/>
    <w:rsid w:val="31E732FD"/>
    <w:rsid w:val="32517576"/>
    <w:rsid w:val="32AA5FBD"/>
    <w:rsid w:val="32BE5C2C"/>
    <w:rsid w:val="32FB6478"/>
    <w:rsid w:val="32FE6578"/>
    <w:rsid w:val="331B2D21"/>
    <w:rsid w:val="33263B3F"/>
    <w:rsid w:val="336963EB"/>
    <w:rsid w:val="33816EEB"/>
    <w:rsid w:val="33CE091A"/>
    <w:rsid w:val="33DF1229"/>
    <w:rsid w:val="33EB55CD"/>
    <w:rsid w:val="33EC4C02"/>
    <w:rsid w:val="33F25072"/>
    <w:rsid w:val="340D2360"/>
    <w:rsid w:val="3410665D"/>
    <w:rsid w:val="34211214"/>
    <w:rsid w:val="342E63AB"/>
    <w:rsid w:val="345F1D4F"/>
    <w:rsid w:val="349258B5"/>
    <w:rsid w:val="34950E68"/>
    <w:rsid w:val="34986E94"/>
    <w:rsid w:val="34AF62C9"/>
    <w:rsid w:val="34B230DD"/>
    <w:rsid w:val="34CB4388"/>
    <w:rsid w:val="34FA6E12"/>
    <w:rsid w:val="351B06D8"/>
    <w:rsid w:val="354874A0"/>
    <w:rsid w:val="354D7158"/>
    <w:rsid w:val="358D5588"/>
    <w:rsid w:val="363A3B40"/>
    <w:rsid w:val="365302AE"/>
    <w:rsid w:val="36607A0A"/>
    <w:rsid w:val="366E227C"/>
    <w:rsid w:val="366F2E0D"/>
    <w:rsid w:val="367B6A5C"/>
    <w:rsid w:val="36A74ADA"/>
    <w:rsid w:val="36AD60D5"/>
    <w:rsid w:val="36B224F9"/>
    <w:rsid w:val="36EC0CC9"/>
    <w:rsid w:val="3712011B"/>
    <w:rsid w:val="3733591A"/>
    <w:rsid w:val="373F410B"/>
    <w:rsid w:val="373F547E"/>
    <w:rsid w:val="37A561E0"/>
    <w:rsid w:val="37EE7094"/>
    <w:rsid w:val="38155364"/>
    <w:rsid w:val="38295E03"/>
    <w:rsid w:val="38296C89"/>
    <w:rsid w:val="383002EB"/>
    <w:rsid w:val="3840121B"/>
    <w:rsid w:val="38586797"/>
    <w:rsid w:val="38663D84"/>
    <w:rsid w:val="387763B6"/>
    <w:rsid w:val="38BC0149"/>
    <w:rsid w:val="38CA7B90"/>
    <w:rsid w:val="38D87D1C"/>
    <w:rsid w:val="38F833E7"/>
    <w:rsid w:val="39076A76"/>
    <w:rsid w:val="39636459"/>
    <w:rsid w:val="396B7F6C"/>
    <w:rsid w:val="39784FD2"/>
    <w:rsid w:val="39B417A9"/>
    <w:rsid w:val="39D40453"/>
    <w:rsid w:val="39FC5695"/>
    <w:rsid w:val="3A006D8E"/>
    <w:rsid w:val="3A3546C3"/>
    <w:rsid w:val="3A3651E5"/>
    <w:rsid w:val="3A39522C"/>
    <w:rsid w:val="3A744481"/>
    <w:rsid w:val="3A843E98"/>
    <w:rsid w:val="3A8C7BEF"/>
    <w:rsid w:val="3A906246"/>
    <w:rsid w:val="3A99689B"/>
    <w:rsid w:val="3AE73652"/>
    <w:rsid w:val="3B1948AF"/>
    <w:rsid w:val="3B1D1E6D"/>
    <w:rsid w:val="3B2349B7"/>
    <w:rsid w:val="3B3520E9"/>
    <w:rsid w:val="3B431423"/>
    <w:rsid w:val="3B5D54BE"/>
    <w:rsid w:val="3B616CFF"/>
    <w:rsid w:val="3B6259F6"/>
    <w:rsid w:val="3B922460"/>
    <w:rsid w:val="3B976654"/>
    <w:rsid w:val="3BC01EFC"/>
    <w:rsid w:val="3BCA786A"/>
    <w:rsid w:val="3BD31E2F"/>
    <w:rsid w:val="3BF15831"/>
    <w:rsid w:val="3C105946"/>
    <w:rsid w:val="3C155601"/>
    <w:rsid w:val="3C471448"/>
    <w:rsid w:val="3C4B27E2"/>
    <w:rsid w:val="3C547E1C"/>
    <w:rsid w:val="3C5F759A"/>
    <w:rsid w:val="3C6C525A"/>
    <w:rsid w:val="3C7A5A6C"/>
    <w:rsid w:val="3CC26FA1"/>
    <w:rsid w:val="3CCE23CB"/>
    <w:rsid w:val="3CD17D17"/>
    <w:rsid w:val="3CEC1B57"/>
    <w:rsid w:val="3D3C7F39"/>
    <w:rsid w:val="3D440F09"/>
    <w:rsid w:val="3D4504A0"/>
    <w:rsid w:val="3D4A736D"/>
    <w:rsid w:val="3D8734BB"/>
    <w:rsid w:val="3D9A11D4"/>
    <w:rsid w:val="3DA16D89"/>
    <w:rsid w:val="3DA364BE"/>
    <w:rsid w:val="3DB60664"/>
    <w:rsid w:val="3DE041CB"/>
    <w:rsid w:val="3DF96EDE"/>
    <w:rsid w:val="3E06649E"/>
    <w:rsid w:val="3E0D48F6"/>
    <w:rsid w:val="3E1868B4"/>
    <w:rsid w:val="3E377251"/>
    <w:rsid w:val="3E42664B"/>
    <w:rsid w:val="3E5A7334"/>
    <w:rsid w:val="3E71151B"/>
    <w:rsid w:val="3E7B5D6B"/>
    <w:rsid w:val="3E843E66"/>
    <w:rsid w:val="3E886B1F"/>
    <w:rsid w:val="3E8F51FE"/>
    <w:rsid w:val="3E926F87"/>
    <w:rsid w:val="3E9A59DE"/>
    <w:rsid w:val="3EAF4836"/>
    <w:rsid w:val="3EC33DFA"/>
    <w:rsid w:val="3F060E16"/>
    <w:rsid w:val="3F1D1096"/>
    <w:rsid w:val="3F2F0234"/>
    <w:rsid w:val="3F5421FE"/>
    <w:rsid w:val="3F6363FE"/>
    <w:rsid w:val="3F756B8F"/>
    <w:rsid w:val="3F7B04F7"/>
    <w:rsid w:val="3F95482B"/>
    <w:rsid w:val="3FFA759E"/>
    <w:rsid w:val="40154B4D"/>
    <w:rsid w:val="4019356B"/>
    <w:rsid w:val="4023063D"/>
    <w:rsid w:val="40592157"/>
    <w:rsid w:val="406E1CAE"/>
    <w:rsid w:val="40A0133A"/>
    <w:rsid w:val="40C31A53"/>
    <w:rsid w:val="40FF545D"/>
    <w:rsid w:val="410067C8"/>
    <w:rsid w:val="412F7FE8"/>
    <w:rsid w:val="41887200"/>
    <w:rsid w:val="418F0D2A"/>
    <w:rsid w:val="41D01505"/>
    <w:rsid w:val="42474939"/>
    <w:rsid w:val="424C3C57"/>
    <w:rsid w:val="425402BB"/>
    <w:rsid w:val="42613FF3"/>
    <w:rsid w:val="42660D96"/>
    <w:rsid w:val="428667D2"/>
    <w:rsid w:val="42880446"/>
    <w:rsid w:val="42CC01E9"/>
    <w:rsid w:val="42CD1CE0"/>
    <w:rsid w:val="42E1381E"/>
    <w:rsid w:val="42ED6459"/>
    <w:rsid w:val="42F17C42"/>
    <w:rsid w:val="42FB7084"/>
    <w:rsid w:val="42FE58DD"/>
    <w:rsid w:val="43174B3D"/>
    <w:rsid w:val="434B790E"/>
    <w:rsid w:val="4360274F"/>
    <w:rsid w:val="437C6C0B"/>
    <w:rsid w:val="437E0832"/>
    <w:rsid w:val="43977AB6"/>
    <w:rsid w:val="43A3342B"/>
    <w:rsid w:val="43C77C27"/>
    <w:rsid w:val="43CC211F"/>
    <w:rsid w:val="43DE09EE"/>
    <w:rsid w:val="44002FAD"/>
    <w:rsid w:val="44137675"/>
    <w:rsid w:val="44840FCB"/>
    <w:rsid w:val="449101DD"/>
    <w:rsid w:val="44921153"/>
    <w:rsid w:val="44D77513"/>
    <w:rsid w:val="44DE1391"/>
    <w:rsid w:val="44EE6427"/>
    <w:rsid w:val="44F329AB"/>
    <w:rsid w:val="451B225C"/>
    <w:rsid w:val="451D3FAE"/>
    <w:rsid w:val="452410C9"/>
    <w:rsid w:val="45317DFB"/>
    <w:rsid w:val="456D3CE4"/>
    <w:rsid w:val="4579042C"/>
    <w:rsid w:val="457F0571"/>
    <w:rsid w:val="45851176"/>
    <w:rsid w:val="45AD03B0"/>
    <w:rsid w:val="45BC5762"/>
    <w:rsid w:val="45C51D09"/>
    <w:rsid w:val="45C63B94"/>
    <w:rsid w:val="45CC5962"/>
    <w:rsid w:val="460E7DA5"/>
    <w:rsid w:val="461737AA"/>
    <w:rsid w:val="46183EA8"/>
    <w:rsid w:val="46422483"/>
    <w:rsid w:val="4659254A"/>
    <w:rsid w:val="465B0637"/>
    <w:rsid w:val="465E3F0D"/>
    <w:rsid w:val="466A16E6"/>
    <w:rsid w:val="46893F2B"/>
    <w:rsid w:val="46C4686E"/>
    <w:rsid w:val="46EA4B94"/>
    <w:rsid w:val="471A5861"/>
    <w:rsid w:val="475C0DFD"/>
    <w:rsid w:val="477B778F"/>
    <w:rsid w:val="478203EC"/>
    <w:rsid w:val="47867474"/>
    <w:rsid w:val="47B025FA"/>
    <w:rsid w:val="47C1655C"/>
    <w:rsid w:val="47E84D63"/>
    <w:rsid w:val="47EE730C"/>
    <w:rsid w:val="480756E2"/>
    <w:rsid w:val="4809698F"/>
    <w:rsid w:val="4811697D"/>
    <w:rsid w:val="483C5358"/>
    <w:rsid w:val="487A3E25"/>
    <w:rsid w:val="488B5503"/>
    <w:rsid w:val="48937E21"/>
    <w:rsid w:val="489A0361"/>
    <w:rsid w:val="48B94FF3"/>
    <w:rsid w:val="48CD45B6"/>
    <w:rsid w:val="48D06B18"/>
    <w:rsid w:val="48E37AAB"/>
    <w:rsid w:val="48E9022E"/>
    <w:rsid w:val="48FD4B4C"/>
    <w:rsid w:val="490A68E0"/>
    <w:rsid w:val="491055FE"/>
    <w:rsid w:val="493A469B"/>
    <w:rsid w:val="494E7DA5"/>
    <w:rsid w:val="495F5B3E"/>
    <w:rsid w:val="496F77D7"/>
    <w:rsid w:val="497654FD"/>
    <w:rsid w:val="49B64211"/>
    <w:rsid w:val="49F6167F"/>
    <w:rsid w:val="4A064FA0"/>
    <w:rsid w:val="4A16615C"/>
    <w:rsid w:val="4A3E7F2D"/>
    <w:rsid w:val="4A4424D7"/>
    <w:rsid w:val="4A452991"/>
    <w:rsid w:val="4A720A4F"/>
    <w:rsid w:val="4A7D798C"/>
    <w:rsid w:val="4A90410F"/>
    <w:rsid w:val="4A992134"/>
    <w:rsid w:val="4AB82D0F"/>
    <w:rsid w:val="4AE75728"/>
    <w:rsid w:val="4AEB7664"/>
    <w:rsid w:val="4AFD7C19"/>
    <w:rsid w:val="4B005029"/>
    <w:rsid w:val="4B0567D1"/>
    <w:rsid w:val="4B236AAE"/>
    <w:rsid w:val="4B707271"/>
    <w:rsid w:val="4B9739F7"/>
    <w:rsid w:val="4BAB75CA"/>
    <w:rsid w:val="4BEE2503"/>
    <w:rsid w:val="4C0665BB"/>
    <w:rsid w:val="4C1877DB"/>
    <w:rsid w:val="4C245A30"/>
    <w:rsid w:val="4C3B6749"/>
    <w:rsid w:val="4C7447E3"/>
    <w:rsid w:val="4C901754"/>
    <w:rsid w:val="4CB6685F"/>
    <w:rsid w:val="4CC367FE"/>
    <w:rsid w:val="4CEC664C"/>
    <w:rsid w:val="4D077F3C"/>
    <w:rsid w:val="4D123355"/>
    <w:rsid w:val="4D2A3B31"/>
    <w:rsid w:val="4D312C52"/>
    <w:rsid w:val="4D905305"/>
    <w:rsid w:val="4D964A72"/>
    <w:rsid w:val="4D9C1254"/>
    <w:rsid w:val="4DB05D7C"/>
    <w:rsid w:val="4DFD2A74"/>
    <w:rsid w:val="4E0C0654"/>
    <w:rsid w:val="4E5764B7"/>
    <w:rsid w:val="4E5F47CB"/>
    <w:rsid w:val="4E626A30"/>
    <w:rsid w:val="4E793892"/>
    <w:rsid w:val="4E800872"/>
    <w:rsid w:val="4E8F4105"/>
    <w:rsid w:val="4EC569ED"/>
    <w:rsid w:val="4EC86B11"/>
    <w:rsid w:val="4ED50EA1"/>
    <w:rsid w:val="4EEC050C"/>
    <w:rsid w:val="4F104EC3"/>
    <w:rsid w:val="4F47354A"/>
    <w:rsid w:val="4F475EF4"/>
    <w:rsid w:val="4F48343E"/>
    <w:rsid w:val="4F911C54"/>
    <w:rsid w:val="4FC44CC1"/>
    <w:rsid w:val="4FE625E0"/>
    <w:rsid w:val="4FF26843"/>
    <w:rsid w:val="5021480F"/>
    <w:rsid w:val="50260A6B"/>
    <w:rsid w:val="50962ECB"/>
    <w:rsid w:val="50A42E38"/>
    <w:rsid w:val="50A4577F"/>
    <w:rsid w:val="50B73D1F"/>
    <w:rsid w:val="50BA2ECE"/>
    <w:rsid w:val="50BD5BC9"/>
    <w:rsid w:val="50C11EEE"/>
    <w:rsid w:val="50E97CFC"/>
    <w:rsid w:val="50FA4028"/>
    <w:rsid w:val="510D65B7"/>
    <w:rsid w:val="511157AB"/>
    <w:rsid w:val="5142540C"/>
    <w:rsid w:val="51772131"/>
    <w:rsid w:val="51773B6B"/>
    <w:rsid w:val="518832C8"/>
    <w:rsid w:val="519D3C50"/>
    <w:rsid w:val="51A0432A"/>
    <w:rsid w:val="51A86090"/>
    <w:rsid w:val="51B7396D"/>
    <w:rsid w:val="51CA58AD"/>
    <w:rsid w:val="51D80097"/>
    <w:rsid w:val="522E4CC3"/>
    <w:rsid w:val="5244713B"/>
    <w:rsid w:val="525D6120"/>
    <w:rsid w:val="52615633"/>
    <w:rsid w:val="526F4DE4"/>
    <w:rsid w:val="52752898"/>
    <w:rsid w:val="52977FD4"/>
    <w:rsid w:val="52A25790"/>
    <w:rsid w:val="52A96B6F"/>
    <w:rsid w:val="52B45975"/>
    <w:rsid w:val="52BE095F"/>
    <w:rsid w:val="52D94AA4"/>
    <w:rsid w:val="52EA3A62"/>
    <w:rsid w:val="52F50BB8"/>
    <w:rsid w:val="53097272"/>
    <w:rsid w:val="530A20FB"/>
    <w:rsid w:val="53142E54"/>
    <w:rsid w:val="531D1B76"/>
    <w:rsid w:val="532F0697"/>
    <w:rsid w:val="534D3DF0"/>
    <w:rsid w:val="53544462"/>
    <w:rsid w:val="5397158E"/>
    <w:rsid w:val="53982860"/>
    <w:rsid w:val="54013861"/>
    <w:rsid w:val="543A2D37"/>
    <w:rsid w:val="54487265"/>
    <w:rsid w:val="544D6070"/>
    <w:rsid w:val="544D740D"/>
    <w:rsid w:val="54605E1E"/>
    <w:rsid w:val="54672F42"/>
    <w:rsid w:val="54B3506A"/>
    <w:rsid w:val="54CA0D16"/>
    <w:rsid w:val="54D603D3"/>
    <w:rsid w:val="54DD4057"/>
    <w:rsid w:val="54E7490F"/>
    <w:rsid w:val="55044754"/>
    <w:rsid w:val="550764A4"/>
    <w:rsid w:val="550B2BF6"/>
    <w:rsid w:val="55214EB5"/>
    <w:rsid w:val="55364EFD"/>
    <w:rsid w:val="555D4828"/>
    <w:rsid w:val="557A4C8B"/>
    <w:rsid w:val="558931E1"/>
    <w:rsid w:val="55923347"/>
    <w:rsid w:val="55925180"/>
    <w:rsid w:val="55983B1B"/>
    <w:rsid w:val="55A8376B"/>
    <w:rsid w:val="55DC29B6"/>
    <w:rsid w:val="55DD4241"/>
    <w:rsid w:val="5634181F"/>
    <w:rsid w:val="565F118B"/>
    <w:rsid w:val="566B6D1E"/>
    <w:rsid w:val="56940D1B"/>
    <w:rsid w:val="57032A2C"/>
    <w:rsid w:val="570F5219"/>
    <w:rsid w:val="572B375B"/>
    <w:rsid w:val="574B4E5A"/>
    <w:rsid w:val="575D12B5"/>
    <w:rsid w:val="57610A87"/>
    <w:rsid w:val="577B1140"/>
    <w:rsid w:val="577B7F21"/>
    <w:rsid w:val="577F181B"/>
    <w:rsid w:val="57921984"/>
    <w:rsid w:val="579737F0"/>
    <w:rsid w:val="579938D9"/>
    <w:rsid w:val="57AB7B30"/>
    <w:rsid w:val="57AF5251"/>
    <w:rsid w:val="57B26373"/>
    <w:rsid w:val="57B63F04"/>
    <w:rsid w:val="57CD20C2"/>
    <w:rsid w:val="57D675AB"/>
    <w:rsid w:val="57D95FDD"/>
    <w:rsid w:val="57E7007E"/>
    <w:rsid w:val="58917D2F"/>
    <w:rsid w:val="5894085C"/>
    <w:rsid w:val="58AE4F0C"/>
    <w:rsid w:val="58B85899"/>
    <w:rsid w:val="58E363A9"/>
    <w:rsid w:val="58EC6C7E"/>
    <w:rsid w:val="594C7285"/>
    <w:rsid w:val="595E1678"/>
    <w:rsid w:val="596D5BD4"/>
    <w:rsid w:val="597E3DD8"/>
    <w:rsid w:val="5982589A"/>
    <w:rsid w:val="598F426A"/>
    <w:rsid w:val="59B5011D"/>
    <w:rsid w:val="59CF0773"/>
    <w:rsid w:val="59F80043"/>
    <w:rsid w:val="5A09252F"/>
    <w:rsid w:val="5A0B2778"/>
    <w:rsid w:val="5A264659"/>
    <w:rsid w:val="5A2A7C7B"/>
    <w:rsid w:val="5A3E2560"/>
    <w:rsid w:val="5A5D3B6E"/>
    <w:rsid w:val="5A637A76"/>
    <w:rsid w:val="5A6D33BA"/>
    <w:rsid w:val="5A792B1F"/>
    <w:rsid w:val="5A874767"/>
    <w:rsid w:val="5AA85BE2"/>
    <w:rsid w:val="5AAD6F28"/>
    <w:rsid w:val="5AD63A24"/>
    <w:rsid w:val="5B24201C"/>
    <w:rsid w:val="5B2E1A1D"/>
    <w:rsid w:val="5B843A1C"/>
    <w:rsid w:val="5B873E3F"/>
    <w:rsid w:val="5BB76E21"/>
    <w:rsid w:val="5BC10878"/>
    <w:rsid w:val="5C02690E"/>
    <w:rsid w:val="5C196DA7"/>
    <w:rsid w:val="5C25100B"/>
    <w:rsid w:val="5C2A048C"/>
    <w:rsid w:val="5C7742E0"/>
    <w:rsid w:val="5C80234E"/>
    <w:rsid w:val="5C8A680C"/>
    <w:rsid w:val="5D086A44"/>
    <w:rsid w:val="5D0979C5"/>
    <w:rsid w:val="5D0C4701"/>
    <w:rsid w:val="5D0F0395"/>
    <w:rsid w:val="5D221076"/>
    <w:rsid w:val="5D236B9E"/>
    <w:rsid w:val="5D397964"/>
    <w:rsid w:val="5D5A391C"/>
    <w:rsid w:val="5D5F10C0"/>
    <w:rsid w:val="5D891B7B"/>
    <w:rsid w:val="5D910037"/>
    <w:rsid w:val="5DAD38EE"/>
    <w:rsid w:val="5DCB5F1B"/>
    <w:rsid w:val="5DCB7BEE"/>
    <w:rsid w:val="5E006862"/>
    <w:rsid w:val="5E0207B9"/>
    <w:rsid w:val="5E1834A1"/>
    <w:rsid w:val="5E261785"/>
    <w:rsid w:val="5E4A7017"/>
    <w:rsid w:val="5E552BBA"/>
    <w:rsid w:val="5E611C10"/>
    <w:rsid w:val="5E6B1FC3"/>
    <w:rsid w:val="5E6D478F"/>
    <w:rsid w:val="5E7A0F3F"/>
    <w:rsid w:val="5EA80EB3"/>
    <w:rsid w:val="5EFC7377"/>
    <w:rsid w:val="5F06174D"/>
    <w:rsid w:val="5F281390"/>
    <w:rsid w:val="5F3A3602"/>
    <w:rsid w:val="5F45733B"/>
    <w:rsid w:val="5F6277C6"/>
    <w:rsid w:val="5F6D0B1D"/>
    <w:rsid w:val="5F8C173B"/>
    <w:rsid w:val="5F8D0B82"/>
    <w:rsid w:val="5FCC5339"/>
    <w:rsid w:val="5FE34A5B"/>
    <w:rsid w:val="5FFE1E36"/>
    <w:rsid w:val="600F3098"/>
    <w:rsid w:val="60232584"/>
    <w:rsid w:val="60464C5E"/>
    <w:rsid w:val="607330CE"/>
    <w:rsid w:val="60825176"/>
    <w:rsid w:val="609F2AC4"/>
    <w:rsid w:val="60FA2EE8"/>
    <w:rsid w:val="61054A27"/>
    <w:rsid w:val="610A52BC"/>
    <w:rsid w:val="611D2366"/>
    <w:rsid w:val="613100ED"/>
    <w:rsid w:val="613F1B6C"/>
    <w:rsid w:val="61421856"/>
    <w:rsid w:val="615227C4"/>
    <w:rsid w:val="61654E3F"/>
    <w:rsid w:val="61706E61"/>
    <w:rsid w:val="6182292A"/>
    <w:rsid w:val="618E2503"/>
    <w:rsid w:val="619F7F92"/>
    <w:rsid w:val="61F94C26"/>
    <w:rsid w:val="62000E56"/>
    <w:rsid w:val="62384999"/>
    <w:rsid w:val="624F3E49"/>
    <w:rsid w:val="62632286"/>
    <w:rsid w:val="62692145"/>
    <w:rsid w:val="62885958"/>
    <w:rsid w:val="62F30F4F"/>
    <w:rsid w:val="62F40B65"/>
    <w:rsid w:val="62FC2CFE"/>
    <w:rsid w:val="63024505"/>
    <w:rsid w:val="631E4332"/>
    <w:rsid w:val="63273306"/>
    <w:rsid w:val="63322E48"/>
    <w:rsid w:val="635600A5"/>
    <w:rsid w:val="635B1DB5"/>
    <w:rsid w:val="636B0F68"/>
    <w:rsid w:val="63711FED"/>
    <w:rsid w:val="63791227"/>
    <w:rsid w:val="63880DDC"/>
    <w:rsid w:val="638D750D"/>
    <w:rsid w:val="63AC6CC0"/>
    <w:rsid w:val="63F574F0"/>
    <w:rsid w:val="640363CE"/>
    <w:rsid w:val="64055776"/>
    <w:rsid w:val="64240056"/>
    <w:rsid w:val="643E143A"/>
    <w:rsid w:val="643E301F"/>
    <w:rsid w:val="64491666"/>
    <w:rsid w:val="645E3CF0"/>
    <w:rsid w:val="648B6EEF"/>
    <w:rsid w:val="64A66274"/>
    <w:rsid w:val="64C03794"/>
    <w:rsid w:val="64C158BF"/>
    <w:rsid w:val="64CE2EAA"/>
    <w:rsid w:val="65182333"/>
    <w:rsid w:val="653C3090"/>
    <w:rsid w:val="65854376"/>
    <w:rsid w:val="658767BE"/>
    <w:rsid w:val="65892531"/>
    <w:rsid w:val="66195831"/>
    <w:rsid w:val="662E75B1"/>
    <w:rsid w:val="66342C2E"/>
    <w:rsid w:val="663E784C"/>
    <w:rsid w:val="66573F49"/>
    <w:rsid w:val="66894091"/>
    <w:rsid w:val="668B6A45"/>
    <w:rsid w:val="66CF0852"/>
    <w:rsid w:val="66D62679"/>
    <w:rsid w:val="672F3F24"/>
    <w:rsid w:val="673E055F"/>
    <w:rsid w:val="67551CE3"/>
    <w:rsid w:val="677456E8"/>
    <w:rsid w:val="67A22552"/>
    <w:rsid w:val="67B22DCC"/>
    <w:rsid w:val="67BE71AA"/>
    <w:rsid w:val="67BF409A"/>
    <w:rsid w:val="67D90273"/>
    <w:rsid w:val="67DE5875"/>
    <w:rsid w:val="67E55852"/>
    <w:rsid w:val="67EB1AB4"/>
    <w:rsid w:val="67FA1285"/>
    <w:rsid w:val="682B24D2"/>
    <w:rsid w:val="683F05C5"/>
    <w:rsid w:val="68551F4F"/>
    <w:rsid w:val="687C10C9"/>
    <w:rsid w:val="687D7D3D"/>
    <w:rsid w:val="68840C16"/>
    <w:rsid w:val="68876EFB"/>
    <w:rsid w:val="68884654"/>
    <w:rsid w:val="689F444F"/>
    <w:rsid w:val="68B70D50"/>
    <w:rsid w:val="68B96DBB"/>
    <w:rsid w:val="68CA2805"/>
    <w:rsid w:val="68E937A3"/>
    <w:rsid w:val="692017B5"/>
    <w:rsid w:val="692A7B3F"/>
    <w:rsid w:val="69354174"/>
    <w:rsid w:val="693E15D3"/>
    <w:rsid w:val="694A52A9"/>
    <w:rsid w:val="69627681"/>
    <w:rsid w:val="696C473E"/>
    <w:rsid w:val="6977531D"/>
    <w:rsid w:val="69CC2BFF"/>
    <w:rsid w:val="69FD55B8"/>
    <w:rsid w:val="6A023E40"/>
    <w:rsid w:val="6A0B1C62"/>
    <w:rsid w:val="6A2406C8"/>
    <w:rsid w:val="6A2825D4"/>
    <w:rsid w:val="6A4F0688"/>
    <w:rsid w:val="6ADE0BD1"/>
    <w:rsid w:val="6AE96859"/>
    <w:rsid w:val="6B147746"/>
    <w:rsid w:val="6B24787C"/>
    <w:rsid w:val="6B573233"/>
    <w:rsid w:val="6B5B6274"/>
    <w:rsid w:val="6B935D53"/>
    <w:rsid w:val="6BE61B8E"/>
    <w:rsid w:val="6BFD7FF8"/>
    <w:rsid w:val="6C15183B"/>
    <w:rsid w:val="6C196F71"/>
    <w:rsid w:val="6C1D2129"/>
    <w:rsid w:val="6C226FCB"/>
    <w:rsid w:val="6C31226F"/>
    <w:rsid w:val="6C552F0B"/>
    <w:rsid w:val="6C8C67B7"/>
    <w:rsid w:val="6C9D744C"/>
    <w:rsid w:val="6D167928"/>
    <w:rsid w:val="6D26299B"/>
    <w:rsid w:val="6D4772EC"/>
    <w:rsid w:val="6D9078AF"/>
    <w:rsid w:val="6DA261BE"/>
    <w:rsid w:val="6DAA3FEF"/>
    <w:rsid w:val="6DC0172B"/>
    <w:rsid w:val="6DCB690C"/>
    <w:rsid w:val="6DD41A5B"/>
    <w:rsid w:val="6DD447E6"/>
    <w:rsid w:val="6DD601BB"/>
    <w:rsid w:val="6DEE218F"/>
    <w:rsid w:val="6DF43C2E"/>
    <w:rsid w:val="6DF51CA3"/>
    <w:rsid w:val="6E5A5011"/>
    <w:rsid w:val="6E8335BD"/>
    <w:rsid w:val="6E8E12EF"/>
    <w:rsid w:val="6E972936"/>
    <w:rsid w:val="6ED446C5"/>
    <w:rsid w:val="6F285251"/>
    <w:rsid w:val="6F2A7D94"/>
    <w:rsid w:val="6F486C8D"/>
    <w:rsid w:val="6F8331F1"/>
    <w:rsid w:val="6FAE1A09"/>
    <w:rsid w:val="6FC114BF"/>
    <w:rsid w:val="6FD75BF8"/>
    <w:rsid w:val="6FDE3485"/>
    <w:rsid w:val="6FF077E4"/>
    <w:rsid w:val="703E2329"/>
    <w:rsid w:val="70676438"/>
    <w:rsid w:val="707723D0"/>
    <w:rsid w:val="709B63D8"/>
    <w:rsid w:val="709C7102"/>
    <w:rsid w:val="70E15D81"/>
    <w:rsid w:val="70F5661B"/>
    <w:rsid w:val="712C404C"/>
    <w:rsid w:val="7132433F"/>
    <w:rsid w:val="71360107"/>
    <w:rsid w:val="71390828"/>
    <w:rsid w:val="713B688E"/>
    <w:rsid w:val="71754639"/>
    <w:rsid w:val="71B773F3"/>
    <w:rsid w:val="71D43752"/>
    <w:rsid w:val="71E41A46"/>
    <w:rsid w:val="71F1796A"/>
    <w:rsid w:val="71FA0FAE"/>
    <w:rsid w:val="72154626"/>
    <w:rsid w:val="72262B5D"/>
    <w:rsid w:val="72283FF7"/>
    <w:rsid w:val="722E7212"/>
    <w:rsid w:val="723A0474"/>
    <w:rsid w:val="725923E4"/>
    <w:rsid w:val="72864BF7"/>
    <w:rsid w:val="729023FC"/>
    <w:rsid w:val="7296249E"/>
    <w:rsid w:val="72EF42B1"/>
    <w:rsid w:val="7389306C"/>
    <w:rsid w:val="73A149DD"/>
    <w:rsid w:val="73C0646E"/>
    <w:rsid w:val="73CB3869"/>
    <w:rsid w:val="73DD6B96"/>
    <w:rsid w:val="73E930A6"/>
    <w:rsid w:val="741A30D9"/>
    <w:rsid w:val="742222F5"/>
    <w:rsid w:val="74476126"/>
    <w:rsid w:val="74706664"/>
    <w:rsid w:val="7476077F"/>
    <w:rsid w:val="747F3682"/>
    <w:rsid w:val="74915C8D"/>
    <w:rsid w:val="749C4185"/>
    <w:rsid w:val="749F7ED9"/>
    <w:rsid w:val="74C40EE2"/>
    <w:rsid w:val="74E6270D"/>
    <w:rsid w:val="75067759"/>
    <w:rsid w:val="752E6DCD"/>
    <w:rsid w:val="7551380D"/>
    <w:rsid w:val="75600BE5"/>
    <w:rsid w:val="7564475C"/>
    <w:rsid w:val="7583797F"/>
    <w:rsid w:val="75D20F1D"/>
    <w:rsid w:val="75D52AF6"/>
    <w:rsid w:val="75DA2C18"/>
    <w:rsid w:val="75E70A34"/>
    <w:rsid w:val="75F54412"/>
    <w:rsid w:val="761D08E0"/>
    <w:rsid w:val="765C4090"/>
    <w:rsid w:val="765D347C"/>
    <w:rsid w:val="76826699"/>
    <w:rsid w:val="769055AE"/>
    <w:rsid w:val="76C87133"/>
    <w:rsid w:val="76CD08D5"/>
    <w:rsid w:val="76DB4B92"/>
    <w:rsid w:val="76FA7936"/>
    <w:rsid w:val="77052AA4"/>
    <w:rsid w:val="77136511"/>
    <w:rsid w:val="77340A39"/>
    <w:rsid w:val="77351FD0"/>
    <w:rsid w:val="77472422"/>
    <w:rsid w:val="7763169B"/>
    <w:rsid w:val="777B1510"/>
    <w:rsid w:val="777F31F2"/>
    <w:rsid w:val="77D1700D"/>
    <w:rsid w:val="77D66F7F"/>
    <w:rsid w:val="77EC04CC"/>
    <w:rsid w:val="78775729"/>
    <w:rsid w:val="78A42DB0"/>
    <w:rsid w:val="78A656AB"/>
    <w:rsid w:val="78B2245C"/>
    <w:rsid w:val="78D70307"/>
    <w:rsid w:val="78E172CC"/>
    <w:rsid w:val="78EA1D1F"/>
    <w:rsid w:val="78F81D6F"/>
    <w:rsid w:val="7904172F"/>
    <w:rsid w:val="790F7E27"/>
    <w:rsid w:val="792A231A"/>
    <w:rsid w:val="79316829"/>
    <w:rsid w:val="793B3F51"/>
    <w:rsid w:val="793F46E5"/>
    <w:rsid w:val="796874A3"/>
    <w:rsid w:val="797E66A9"/>
    <w:rsid w:val="798518A4"/>
    <w:rsid w:val="79A97383"/>
    <w:rsid w:val="79E27E8B"/>
    <w:rsid w:val="79F850CE"/>
    <w:rsid w:val="79FD443C"/>
    <w:rsid w:val="7A1D1975"/>
    <w:rsid w:val="7A3E5150"/>
    <w:rsid w:val="7A4670D6"/>
    <w:rsid w:val="7A47632D"/>
    <w:rsid w:val="7A4C640E"/>
    <w:rsid w:val="7A534B63"/>
    <w:rsid w:val="7A5D612E"/>
    <w:rsid w:val="7A615382"/>
    <w:rsid w:val="7A67303B"/>
    <w:rsid w:val="7AAB1D04"/>
    <w:rsid w:val="7ABA4368"/>
    <w:rsid w:val="7AD05746"/>
    <w:rsid w:val="7B257FFD"/>
    <w:rsid w:val="7B343476"/>
    <w:rsid w:val="7B524379"/>
    <w:rsid w:val="7B5A2978"/>
    <w:rsid w:val="7B5A7E4C"/>
    <w:rsid w:val="7B667AF9"/>
    <w:rsid w:val="7B7468F8"/>
    <w:rsid w:val="7BBC71E8"/>
    <w:rsid w:val="7BE15C70"/>
    <w:rsid w:val="7BED03C0"/>
    <w:rsid w:val="7BEE0103"/>
    <w:rsid w:val="7C066E82"/>
    <w:rsid w:val="7C0A0FE4"/>
    <w:rsid w:val="7C117B83"/>
    <w:rsid w:val="7C254906"/>
    <w:rsid w:val="7C4660ED"/>
    <w:rsid w:val="7C590818"/>
    <w:rsid w:val="7C7C10F6"/>
    <w:rsid w:val="7C853BEA"/>
    <w:rsid w:val="7C881368"/>
    <w:rsid w:val="7C9A2AE1"/>
    <w:rsid w:val="7CC520E6"/>
    <w:rsid w:val="7CCE4BCA"/>
    <w:rsid w:val="7CD802FD"/>
    <w:rsid w:val="7CE27788"/>
    <w:rsid w:val="7CE60B8F"/>
    <w:rsid w:val="7D0C32F1"/>
    <w:rsid w:val="7D0F408D"/>
    <w:rsid w:val="7D194844"/>
    <w:rsid w:val="7D1F3A30"/>
    <w:rsid w:val="7D376807"/>
    <w:rsid w:val="7D3B0262"/>
    <w:rsid w:val="7D491C6C"/>
    <w:rsid w:val="7D5429C0"/>
    <w:rsid w:val="7D6622B1"/>
    <w:rsid w:val="7D6E6D43"/>
    <w:rsid w:val="7D75277A"/>
    <w:rsid w:val="7DB57A34"/>
    <w:rsid w:val="7DE4242A"/>
    <w:rsid w:val="7DE60973"/>
    <w:rsid w:val="7DEF0916"/>
    <w:rsid w:val="7E1E5218"/>
    <w:rsid w:val="7E691AAA"/>
    <w:rsid w:val="7E9A4E1F"/>
    <w:rsid w:val="7EA7723A"/>
    <w:rsid w:val="7EE40ACC"/>
    <w:rsid w:val="7EF56FBB"/>
    <w:rsid w:val="7F0768EB"/>
    <w:rsid w:val="7F143BEC"/>
    <w:rsid w:val="7F22543C"/>
    <w:rsid w:val="7F715AF2"/>
    <w:rsid w:val="7F7B5733"/>
    <w:rsid w:val="7F886E69"/>
    <w:rsid w:val="7FF7498B"/>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18"/>
    <w:qFormat/>
    <w:uiPriority w:val="0"/>
    <w:pPr>
      <w:adjustRightInd/>
      <w:spacing w:after="120" w:line="240" w:lineRule="auto"/>
      <w:ind w:left="420" w:leftChars="200" w:firstLine="210"/>
    </w:pPr>
    <w:rPr>
      <w:sz w:val="21"/>
    </w:rPr>
  </w:style>
  <w:style w:type="paragraph" w:styleId="3">
    <w:name w:val="Body Text Indent"/>
    <w:basedOn w:val="1"/>
    <w:next w:val="2"/>
    <w:link w:val="262"/>
    <w:qFormat/>
    <w:uiPriority w:val="0"/>
    <w:pPr>
      <w:spacing w:line="480" w:lineRule="exact"/>
      <w:ind w:firstLine="480" w:firstLineChars="200"/>
    </w:pPr>
    <w:rPr>
      <w:rFonts w:ascii="宋体" w:hAnsi="宋体"/>
      <w:sz w:val="24"/>
    </w:rPr>
  </w:style>
  <w:style w:type="paragraph" w:styleId="7">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6"/>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199"/>
    <w:qFormat/>
    <w:uiPriority w:val="0"/>
    <w:pPr>
      <w:shd w:val="clear" w:color="auto" w:fill="000080"/>
    </w:pPr>
  </w:style>
  <w:style w:type="paragraph" w:styleId="21">
    <w:name w:val="annotation text"/>
    <w:basedOn w:val="1"/>
    <w:link w:val="341"/>
    <w:qFormat/>
    <w:uiPriority w:val="99"/>
    <w:pPr>
      <w:jc w:val="left"/>
    </w:pPr>
  </w:style>
  <w:style w:type="paragraph" w:styleId="22">
    <w:name w:val="Salutation"/>
    <w:basedOn w:val="1"/>
    <w:next w:val="1"/>
    <w:link w:val="295"/>
    <w:qFormat/>
    <w:uiPriority w:val="0"/>
    <w:rPr>
      <w:rFonts w:ascii="仿宋_GB2312" w:eastAsia="仿宋_GB2312"/>
      <w:sz w:val="28"/>
      <w:szCs w:val="20"/>
    </w:rPr>
  </w:style>
  <w:style w:type="paragraph" w:styleId="23">
    <w:name w:val="Body Text 3"/>
    <w:basedOn w:val="1"/>
    <w:link w:val="327"/>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27"/>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link w:val="318"/>
    <w:qFormat/>
    <w:uiPriority w:val="0"/>
    <w:pPr>
      <w:ind w:firstLine="420"/>
    </w:pPr>
    <w:rPr>
      <w:rFonts w:hAnsi="Calibri" w:cs="Times New Roman"/>
      <w:snapToGrid/>
      <w:szCs w:val="20"/>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2"/>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78"/>
    <w:qFormat/>
    <w:uiPriority w:val="0"/>
    <w:pPr>
      <w:ind w:left="100" w:leftChars="2500"/>
    </w:pPr>
    <w:rPr>
      <w:rFonts w:ascii="宋体"/>
      <w:sz w:val="24"/>
      <w:szCs w:val="21"/>
      <w:lang w:val="zh-CN"/>
    </w:rPr>
  </w:style>
  <w:style w:type="paragraph" w:styleId="38">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9">
    <w:name w:val="endnote text"/>
    <w:basedOn w:val="1"/>
    <w:link w:val="929"/>
    <w:qFormat/>
    <w:uiPriority w:val="0"/>
    <w:rPr>
      <w:lang w:val="zh-CN"/>
    </w:rPr>
  </w:style>
  <w:style w:type="paragraph" w:styleId="40">
    <w:name w:val="Balloon Text"/>
    <w:basedOn w:val="1"/>
    <w:link w:val="185"/>
    <w:qFormat/>
    <w:uiPriority w:val="0"/>
    <w:rPr>
      <w:sz w:val="18"/>
      <w:szCs w:val="18"/>
    </w:rPr>
  </w:style>
  <w:style w:type="paragraph" w:styleId="41">
    <w:name w:val="footer"/>
    <w:basedOn w:val="1"/>
    <w:link w:val="380"/>
    <w:qFormat/>
    <w:uiPriority w:val="99"/>
    <w:pPr>
      <w:tabs>
        <w:tab w:val="center" w:pos="4153"/>
        <w:tab w:val="right" w:pos="8306"/>
      </w:tabs>
      <w:snapToGrid w:val="0"/>
      <w:jc w:val="left"/>
    </w:pPr>
    <w:rPr>
      <w:sz w:val="18"/>
      <w:szCs w:val="18"/>
    </w:rPr>
  </w:style>
  <w:style w:type="paragraph" w:styleId="42">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7"/>
    <w:link w:val="307"/>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字符"/>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字符"/>
    <w:link w:val="2"/>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字符"/>
    <w:link w:val="48"/>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字符"/>
    <w:link w:val="10"/>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5"/>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字符"/>
    <w:link w:val="37"/>
    <w:qFormat/>
    <w:uiPriority w:val="0"/>
    <w:rPr>
      <w:rFonts w:ascii="宋体"/>
      <w:kern w:val="2"/>
      <w:sz w:val="24"/>
      <w:szCs w:val="21"/>
      <w:lang w:val="zh-CN"/>
    </w:rPr>
  </w:style>
  <w:style w:type="character" w:customStyle="1" w:styleId="179">
    <w:name w:val="标题 9 字符"/>
    <w:link w:val="13"/>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字符1"/>
    <w:link w:val="40"/>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7"/>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字符"/>
    <w:link w:val="20"/>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字符"/>
    <w:link w:val="31"/>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8"/>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字符"/>
    <w:link w:val="18"/>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字符1"/>
    <w:link w:val="3"/>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字符1"/>
    <w:link w:val="4"/>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字符"/>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字符"/>
    <w:link w:val="9"/>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字符"/>
    <w:link w:val="22"/>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字符"/>
    <w:link w:val="58"/>
    <w:qFormat/>
    <w:uiPriority w:val="0"/>
    <w:rPr>
      <w:rFonts w:ascii="黑体" w:hAnsi="Courier New" w:eastAsia="黑体"/>
    </w:rPr>
  </w:style>
  <w:style w:type="character" w:customStyle="1" w:styleId="299">
    <w:name w:val="正文文本 2 字符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8"/>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字符"/>
    <w:link w:val="11"/>
    <w:qFormat/>
    <w:uiPriority w:val="0"/>
    <w:rPr>
      <w:b/>
      <w:bCs/>
      <w:kern w:val="2"/>
      <w:sz w:val="24"/>
      <w:szCs w:val="24"/>
    </w:rPr>
  </w:style>
  <w:style w:type="character" w:customStyle="1" w:styleId="305">
    <w:name w:val="正文文本缩进 2 字符"/>
    <w:link w:val="38"/>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字符"/>
    <w:link w:val="51"/>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字符"/>
    <w:link w:val="26"/>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字符1"/>
    <w:link w:val="8"/>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字符"/>
    <w:link w:val="23"/>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1"/>
    <w:qFormat/>
    <w:uiPriority w:val="0"/>
    <w:rPr>
      <w:kern w:val="2"/>
      <w:sz w:val="21"/>
      <w:szCs w:val="24"/>
    </w:rPr>
  </w:style>
  <w:style w:type="character" w:customStyle="1" w:styleId="342">
    <w:name w:val="签名 字符"/>
    <w:link w:val="43"/>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2"/>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字符"/>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字符2"/>
    <w:link w:val="41"/>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字符2"/>
    <w:link w:val="42"/>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7"/>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5"/>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8"/>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5"/>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5"/>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6"/>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9"/>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6"/>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34"/>
    <w:next w:val="2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8"/>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4"/>
    <w:qFormat/>
    <w:uiPriority w:val="0"/>
    <w:pPr>
      <w:tabs>
        <w:tab w:val="left" w:pos="840"/>
      </w:tabs>
      <w:adjustRightInd/>
      <w:ind w:left="840" w:hanging="420"/>
    </w:pPr>
  </w:style>
  <w:style w:type="paragraph" w:customStyle="1" w:styleId="623">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8"/>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8"/>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6"/>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0"/>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9"/>
    <w:next w:val="1"/>
    <w:qFormat/>
    <w:uiPriority w:val="0"/>
    <w:pPr>
      <w:tabs>
        <w:tab w:val="left" w:pos="1080"/>
      </w:tabs>
      <w:ind w:left="1080" w:hanging="1080"/>
    </w:pPr>
  </w:style>
  <w:style w:type="paragraph" w:customStyle="1" w:styleId="894">
    <w:name w:val="数字标题1"/>
    <w:basedOn w:val="4"/>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字符"/>
    <w:link w:val="39"/>
    <w:qFormat/>
    <w:uiPriority w:val="0"/>
    <w:rPr>
      <w:kern w:val="2"/>
      <w:sz w:val="21"/>
      <w:szCs w:val="24"/>
      <w:lang w:val="zh-CN"/>
    </w:rPr>
  </w:style>
  <w:style w:type="character" w:customStyle="1" w:styleId="930">
    <w:name w:val="无间隔 字符"/>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_Style 10"/>
    <w:basedOn w:val="1"/>
    <w:qFormat/>
    <w:uiPriority w:val="0"/>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DD069A-B380-4A04-A4AF-7B49CD636C3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Pages>
  <Words>7198</Words>
  <Characters>41030</Characters>
  <Lines>341</Lines>
  <Paragraphs>96</Paragraphs>
  <TotalTime>15</TotalTime>
  <ScaleCrop>false</ScaleCrop>
  <LinksUpToDate>false</LinksUpToDate>
  <CharactersWithSpaces>48132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DELL</cp:lastModifiedBy>
  <cp:lastPrinted>2022-06-15T09:22:00Z</cp:lastPrinted>
  <dcterms:modified xsi:type="dcterms:W3CDTF">2022-08-24T07:40:04Z</dcterms:modified>
  <dc:title>杭州市市民卡扩大发卡工程</dc:title>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F99FED57FEAA4820841AF51CEC0FCE78</vt:lpwstr>
  </property>
</Properties>
</file>