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eastAsia="仿宋_GB2312" w:hint="eastAsia"/>
          <w:sz w:val="32"/>
          <w:szCs w:val="32"/>
          <w:highlight w:val="yellow"/>
        </w:rPr>
      </w:pPr>
      <w:r>
        <w:rPr>
          <w:rFonts w:eastAsia="仿宋_GB2312" w:cs="仿宋_GB2312" w:hint="eastAsia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方正小标宋_GBK" w:eastAsia="方正小标宋_GBK" w:cs="方正小标宋_GBK" w:hint="eastAsia"/>
          <w:sz w:val="36"/>
          <w:szCs w:val="36"/>
        </w:rPr>
      </w:pPr>
      <w:bookmarkStart w:id="0" w:name="_GoBack"/>
      <w:r>
        <w:rPr>
          <w:rFonts w:ascii="方正小标宋_GBK" w:eastAsia="方正小标宋_GBK" w:cs="方正小标宋_GBK" w:hint="eastAsia"/>
          <w:sz w:val="36"/>
          <w:szCs w:val="36"/>
        </w:rPr>
        <w:t>西湖区财政农业专项资金项目实施任务清单（样本）</w:t>
      </w:r>
    </w:p>
    <w:p>
      <w:pPr>
        <w:spacing w:line="560" w:lineRule="exact"/>
        <w:ind w:firstLineChars="200" w:firstLine="640"/>
        <w:rPr>
          <w:rFonts w:ascii="黑体" w:eastAsia="黑体" w:cs="黑体" w:hint="eastAsia"/>
          <w:bCs/>
          <w:sz w:val="32"/>
          <w:szCs w:val="32"/>
        </w:rPr>
      </w:pPr>
      <w:bookmarkEnd w:id="0"/>
      <w:r>
        <w:rPr>
          <w:rFonts w:ascii="黑体" w:eastAsia="黑体" w:cs="黑体" w:hint="eastAsia"/>
          <w:bCs/>
          <w:sz w:val="32"/>
          <w:szCs w:val="32"/>
        </w:rPr>
        <w:t>一、实施期限</w:t>
      </w:r>
    </w:p>
    <w:p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本项目执行期自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月至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月。</w:t>
      </w:r>
    </w:p>
    <w:p>
      <w:pPr>
        <w:spacing w:line="560" w:lineRule="exact"/>
        <w:ind w:firstLineChars="200" w:firstLine="640"/>
        <w:rPr>
          <w:rFonts w:ascii="黑体" w:eastAsia="黑体" w:cs="黑体" w:hint="eastAsia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二、实施任务</w:t>
      </w:r>
    </w:p>
    <w:tbl>
      <w:tblPr>
        <w:jc w:val="center"/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51"/>
        <w:gridCol w:w="929"/>
        <w:gridCol w:w="1260"/>
        <w:gridCol w:w="1230"/>
        <w:gridCol w:w="1260"/>
        <w:gridCol w:w="1350"/>
        <w:gridCol w:w="1095"/>
      </w:tblGrid>
      <w:tr>
        <w:trPr>
          <w:cantSplit/>
          <w:trHeight w:val="1233"/>
        </w:trPr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实施类别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规格型号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投资额（万元）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拟补助资金（万元）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完成时间</w:t>
            </w:r>
          </w:p>
        </w:tc>
      </w:tr>
      <w:tr>
        <w:trPr>
          <w:cantSplit/>
          <w:trHeight w:val="454"/>
        </w:trPr>
        <w:tc>
          <w:tcPr>
            <w:tcW w:w="7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基础建设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设施装备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技术应用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54"/>
        </w:trPr>
        <w:tc>
          <w:tcPr>
            <w:tcW w:w="7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firstLineChars="200" w:firstLine="640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三、实施要求</w:t>
      </w:r>
    </w:p>
    <w:p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1、严格按照项目实施任务书要求，完成相关内容；</w:t>
      </w:r>
    </w:p>
    <w:p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2、未经甲方同意，不得擅自改变项目内容、标准、地点；</w:t>
      </w:r>
    </w:p>
    <w:p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3、项目完成后，及时递交项目验收资料和相关工作总结，主动积极接受项目审计、审价和验收、绩效评价等工作；</w:t>
      </w:r>
    </w:p>
    <w:p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、按《会计法》、《个体工商户建帐管理办法》及企业财务规范要求进行会计核算，建立项目单独账目，严格遵循项目资金“专款专用、专账核算、专人管理”的原则，做好项目成本核算、资金管理、会计资料档案管理，系统完整地提供项目投资事前、事中、事后运行的财务状况和信息资料；</w:t>
      </w:r>
    </w:p>
    <w:p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、严格加强发票管理和合同管理，不得使用虚假发票和不合法、不合规的原始发票，不得伪造合同，不得在项目申报和验收过程中重复使用发票。严格按照《现金管理条理》要求，加强现金管理，严控大额现金支出。</w:t>
      </w:r>
    </w:p>
    <w:p/>
    <w:sectPr>
      <w:pgSz w:w="11906" w:h="16838"/>
      <w:pgMar w:top="1440" w:right="1646" w:bottom="1246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2</Pages>
  <Words>0</Words>
  <Characters>429</Characters>
  <Lines>0</Lines>
  <Paragraphs>13</Paragraphs>
  <CharactersWithSpaces>573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gsh</dc:creator>
  <cp:lastModifiedBy>gsh</cp:lastModifiedBy>
  <cp:revision>1</cp:revision>
  <dcterms:created xsi:type="dcterms:W3CDTF">2021-11-11T02:07:24Z</dcterms:created>
  <dcterms:modified xsi:type="dcterms:W3CDTF">2021-11-11T02:07:34Z</dcterms:modified>
</cp:coreProperties>
</file>