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3"/>
        <w:gridCol w:w="1699"/>
        <w:gridCol w:w="1149"/>
        <w:gridCol w:w="2132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693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1699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826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2018年财政拨款收支预算总表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6673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单位名称：西溪街道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</w:t>
            </w:r>
          </w:p>
        </w:tc>
        <w:tc>
          <w:tcPr>
            <w:tcW w:w="48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功能科目代码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一、财政拨款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D3D3D3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17,252.05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1,756.23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一般公共预算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D3D3D3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17,252.05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人大事务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政府性基金预算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2010102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20103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政府办公厅（室）及相关机构事务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2010301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2010302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一般行政管理事务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20105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统计信息事务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2010507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专项普查活动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2010599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其他统计信息事务支出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20111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纪检监察事务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2011199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其他纪检监察事务支出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20113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商贸事务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2011308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招商引资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20129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2012999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2019999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其他一般公共服务支出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国防支出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20399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其他国防支出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2039901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其他国防支出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1,473.10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20401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武装警察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2040103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20402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2040204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20406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司法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2040699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其他司法支出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20499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其他公共安全支出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2049901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其他公共安全支出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20502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普通教育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2050201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20607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科学技术普及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2060702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20699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其他科学技术支出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2069999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其他科学技术支出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文化体育与传媒支出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20701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2070109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867.83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人力资源和社会保障管理事务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2080199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其他人力资源和社会保障管理事务支出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民政管理事务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2080205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老龄事务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2080299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其他民政管理事务支出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行政事业单位离退休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2080502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事业单位离退休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2080504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未归口管理的行政单位离退休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2080505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2080506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机关事业单位职业年金缴费支出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20807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就业补助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2080705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公益性岗位补贴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2080799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其他就业补助支出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20811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残疾人事业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2081199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其他残疾人事业支出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20825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其他生活救助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2082501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其他城市生活救助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医疗卫生与计划生育支出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21004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2100408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基本公共卫生服务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2100499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其他公共卫生支出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21007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计划生育事务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2100799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其他计划生育事务支出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2101101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2101102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6,433.28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21201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城乡社区管理事务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2120199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其他城乡社区管理事务支出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21203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城乡社区公共设施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2120399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其他城乡社区公共设施支出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21205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城乡社区环境卫生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2120501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城乡社区环境卫生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21299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其他城乡社区支出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5,971.78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2129999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其他城乡社区支出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5,971.78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21305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扶贫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2130599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其他扶贫支出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资源勘探信息等支出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3,130.65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21506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安全生产监管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2150699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其他安全生产监管支出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21508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支持中小企业发展和管理支出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2150805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中小企业发展专项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22799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22999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2299901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22999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2299901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收入合计：</w:t>
            </w:r>
          </w:p>
        </w:tc>
        <w:tc>
          <w:tcPr>
            <w:tcW w:w="1699" w:type="dxa"/>
            <w:tcBorders>
              <w:top w:val="single" w:color="D3D3D3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17,252.05</w:t>
            </w:r>
          </w:p>
        </w:tc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支出合计：</w:t>
            </w:r>
          </w:p>
        </w:tc>
        <w:tc>
          <w:tcPr>
            <w:tcW w:w="1587" w:type="dxa"/>
            <w:tcBorders>
              <w:top w:val="single" w:color="D3D3D3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17,252.05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744CC"/>
    <w:rsid w:val="79D744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2018-02-24T07:28:00Z</dcterms:created>
  <dc:creator>锦衣夜行</dc:creator>
  <cp:lastModifiedBy>锦衣夜行</cp:lastModifiedBy>
  <dcterms:modified xsi:type="dcterms:W3CDTF">2018-02-24T07:28:26Z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