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Cs/>
          <w:sz w:val="48"/>
          <w:szCs w:val="48"/>
        </w:rPr>
      </w:pPr>
      <w:bookmarkStart w:id="475" w:name="_GoBack"/>
      <w:bookmarkEnd w:id="475"/>
    </w:p>
    <w:p>
      <w:pPr>
        <w:adjustRightInd/>
        <w:spacing w:line="360" w:lineRule="auto"/>
        <w:jc w:val="center"/>
        <w:rPr>
          <w:rFonts w:ascii="宋体" w:hAnsi="宋体" w:cs="宋体"/>
          <w:sz w:val="48"/>
          <w:szCs w:val="48"/>
        </w:rPr>
      </w:pPr>
      <w:r>
        <w:rPr>
          <w:rFonts w:hint="eastAsia" w:ascii="宋体" w:hAnsi="宋体" w:cs="宋体"/>
          <w:sz w:val="48"/>
          <w:szCs w:val="48"/>
        </w:rPr>
        <w:t>杭州市西湖区“民呼我为·西湖码”综合应用2.0迭代升级采购项目</w:t>
      </w:r>
    </w:p>
    <w:p>
      <w:pPr>
        <w:adjustRightInd/>
        <w:spacing w:line="360" w:lineRule="auto"/>
        <w:rPr>
          <w:rFonts w:ascii="宋体" w:hAnsi="宋体" w:cs="宋体"/>
          <w:sz w:val="48"/>
          <w:szCs w:val="48"/>
        </w:rPr>
      </w:pPr>
    </w:p>
    <w:p>
      <w:pPr>
        <w:pStyle w:val="61"/>
        <w:ind w:firstLine="420"/>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编号:XHZFCG-2023-G-21</w:t>
      </w:r>
    </w:p>
    <w:p>
      <w:pPr>
        <w:adjustRightInd/>
        <w:spacing w:line="360" w:lineRule="auto"/>
        <w:rPr>
          <w:rFonts w:ascii="宋体" w:hAnsi="宋体" w:cs="宋体"/>
          <w:sz w:val="28"/>
          <w:szCs w:val="20"/>
        </w:rPr>
      </w:pPr>
    </w:p>
    <w:p>
      <w:pPr>
        <w:spacing w:line="360" w:lineRule="auto"/>
        <w:rPr>
          <w:rFonts w:ascii="宋体" w:hAnsi="宋体" w:cs="宋体"/>
          <w:b/>
          <w:sz w:val="44"/>
          <w:szCs w:val="4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中共杭州市西湖区委杭州市西湖区人民政府信访局</w:t>
      </w:r>
    </w:p>
    <w:p>
      <w:pPr>
        <w:spacing w:line="360" w:lineRule="auto"/>
        <w:jc w:val="center"/>
        <w:rPr>
          <w:rFonts w:ascii="宋体" w:hAnsi="宋体" w:cs="宋体"/>
          <w:bCs/>
          <w:sz w:val="32"/>
          <w:szCs w:val="32"/>
        </w:rPr>
      </w:pPr>
      <w:r>
        <w:rPr>
          <w:rFonts w:hint="eastAsia" w:ascii="宋体" w:hAnsi="宋体" w:cs="宋体"/>
          <w:bCs/>
          <w:sz w:val="32"/>
          <w:szCs w:val="32"/>
        </w:rPr>
        <w:t>杭州市西湖区政府采购中心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二〇二三年</w:t>
      </w:r>
      <w:r>
        <w:rPr>
          <w:rFonts w:hint="eastAsia" w:ascii="宋体" w:hAnsi="宋体" w:cs="宋体"/>
          <w:bCs/>
          <w:sz w:val="32"/>
          <w:szCs w:val="32"/>
          <w:highlight w:val="none"/>
          <w:lang w:eastAsia="zh-CN"/>
        </w:rPr>
        <w:t>五</w:t>
      </w:r>
      <w:r>
        <w:rPr>
          <w:rFonts w:hint="eastAsia" w:ascii="宋体" w:hAnsi="宋体" w:cs="宋体"/>
          <w:bCs/>
          <w:sz w:val="32"/>
          <w:szCs w:val="32"/>
          <w:highlight w:val="none"/>
        </w:rPr>
        <w:t>月</w:t>
      </w:r>
      <w:r>
        <w:rPr>
          <w:rFonts w:hint="eastAsia" w:ascii="宋体" w:hAnsi="宋体" w:cs="宋体"/>
          <w:bCs/>
          <w:sz w:val="32"/>
          <w:szCs w:val="32"/>
          <w:highlight w:val="none"/>
          <w:lang w:eastAsia="zh-CN"/>
        </w:rPr>
        <w:t>二十五</w:t>
      </w:r>
      <w:r>
        <w:rPr>
          <w:rFonts w:hint="eastAsia" w:ascii="宋体" w:hAnsi="宋体" w:cs="宋体"/>
          <w:bCs/>
          <w:sz w:val="32"/>
          <w:szCs w:val="32"/>
          <w:highlight w:val="none"/>
        </w:rPr>
        <w:t>日</w:t>
      </w:r>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杭州市西湖区“民呼我为</w:t>
      </w:r>
      <w:r>
        <w:rPr>
          <w:rFonts w:ascii="宋体" w:hAnsi="宋体" w:cs="宋体"/>
          <w:sz w:val="24"/>
          <w:u w:val="single"/>
        </w:rPr>
        <w:sym w:font="Wingdings" w:char="F0A0"/>
      </w:r>
      <w:r>
        <w:rPr>
          <w:rFonts w:hint="eastAsia" w:ascii="宋体" w:hAnsi="宋体" w:cs="宋体"/>
          <w:sz w:val="24"/>
          <w:u w:val="single"/>
        </w:rPr>
        <w:t>西湖码”综合应用</w:t>
      </w:r>
      <w:r>
        <w:rPr>
          <w:rFonts w:ascii="宋体" w:hAnsi="宋体" w:cs="宋体"/>
          <w:sz w:val="24"/>
          <w:u w:val="single"/>
        </w:rPr>
        <w:t>2.0</w:t>
      </w:r>
      <w:r>
        <w:rPr>
          <w:rFonts w:hint="eastAsia" w:ascii="宋体" w:hAnsi="宋体" w:cs="宋体"/>
          <w:sz w:val="24"/>
          <w:u w:val="single"/>
        </w:rPr>
        <w:t>迭代升级项目</w:t>
      </w:r>
      <w:r>
        <w:rPr>
          <w:rFonts w:hint="eastAsia" w:ascii="宋体" w:hAnsi="宋体" w:cs="宋体"/>
          <w:sz w:val="24"/>
        </w:rPr>
        <w:t>招标项目的潜在投标人应在政采云平台（</w:t>
      </w:r>
      <w:r>
        <w:fldChar w:fldCharType="begin"/>
      </w:r>
      <w:r>
        <w:instrText xml:space="preserve"> HYPERLINK "https://www.zcygov.cn/）获取（下载）招标文件，并于2023年X月XX日9点30分00秒" </w:instrText>
      </w:r>
      <w:r>
        <w:fldChar w:fldCharType="separate"/>
      </w:r>
      <w:r>
        <w:rPr>
          <w:rStyle w:val="76"/>
          <w:rFonts w:hint="eastAsia" w:ascii="宋体" w:hAnsi="宋体" w:eastAsia="宋体" w:cs="宋体"/>
          <w:snapToGrid/>
          <w:kern w:val="2"/>
          <w:sz w:val="24"/>
          <w:szCs w:val="24"/>
        </w:rPr>
        <w:t>https://www.zcygov.cn/）获取（下载）招标文件，并</w:t>
      </w:r>
      <w:r>
        <w:rPr>
          <w:rStyle w:val="76"/>
          <w:rFonts w:hint="eastAsia" w:ascii="宋体" w:hAnsi="宋体" w:eastAsia="宋体" w:cs="宋体"/>
          <w:snapToGrid/>
          <w:kern w:val="2"/>
          <w:sz w:val="24"/>
          <w:szCs w:val="24"/>
          <w:highlight w:val="none"/>
        </w:rPr>
        <w:t>于2023年</w:t>
      </w:r>
      <w:r>
        <w:rPr>
          <w:rStyle w:val="76"/>
          <w:rFonts w:hint="default" w:ascii="宋体" w:hAnsi="宋体" w:cs="宋体"/>
          <w:snapToGrid/>
          <w:kern w:val="2"/>
          <w:sz w:val="24"/>
          <w:szCs w:val="24"/>
          <w:highlight w:val="none"/>
          <w:lang w:val="en-US"/>
        </w:rPr>
        <w:t>6</w:t>
      </w:r>
      <w:r>
        <w:rPr>
          <w:rStyle w:val="76"/>
          <w:rFonts w:hint="eastAsia" w:ascii="宋体" w:hAnsi="宋体" w:eastAsia="宋体" w:cs="宋体"/>
          <w:snapToGrid/>
          <w:kern w:val="2"/>
          <w:sz w:val="24"/>
          <w:szCs w:val="24"/>
          <w:highlight w:val="none"/>
        </w:rPr>
        <w:t>月</w:t>
      </w:r>
      <w:r>
        <w:rPr>
          <w:rStyle w:val="76"/>
          <w:rFonts w:hint="default" w:ascii="宋体" w:hAnsi="宋体" w:cs="宋体"/>
          <w:snapToGrid/>
          <w:kern w:val="2"/>
          <w:sz w:val="24"/>
          <w:szCs w:val="24"/>
          <w:highlight w:val="none"/>
          <w:lang w:val="en-US"/>
        </w:rPr>
        <w:t>16</w:t>
      </w:r>
      <w:r>
        <w:rPr>
          <w:rStyle w:val="76"/>
          <w:rFonts w:hint="eastAsia" w:ascii="宋体" w:hAnsi="宋体" w:eastAsia="宋体" w:cs="宋体"/>
          <w:snapToGrid/>
          <w:kern w:val="2"/>
          <w:sz w:val="24"/>
          <w:szCs w:val="24"/>
          <w:highlight w:val="none"/>
        </w:rPr>
        <w:t>日</w:t>
      </w:r>
      <w:r>
        <w:rPr>
          <w:rStyle w:val="76"/>
          <w:rFonts w:ascii="宋体" w:hAnsi="宋体" w:eastAsia="宋体" w:cs="宋体"/>
          <w:snapToGrid/>
          <w:kern w:val="2"/>
          <w:sz w:val="24"/>
          <w:szCs w:val="24"/>
        </w:rPr>
        <w:t>9</w:t>
      </w:r>
      <w:r>
        <w:rPr>
          <w:rStyle w:val="76"/>
          <w:rFonts w:hint="eastAsia" w:ascii="宋体" w:hAnsi="宋体" w:eastAsia="宋体" w:cs="宋体"/>
          <w:snapToGrid/>
          <w:kern w:val="2"/>
          <w:sz w:val="24"/>
          <w:szCs w:val="24"/>
        </w:rPr>
        <w:t>点</w:t>
      </w:r>
      <w:r>
        <w:rPr>
          <w:rStyle w:val="76"/>
          <w:rFonts w:ascii="宋体" w:hAnsi="宋体" w:eastAsia="宋体" w:cs="宋体"/>
          <w:snapToGrid/>
          <w:kern w:val="2"/>
          <w:sz w:val="24"/>
          <w:szCs w:val="24"/>
        </w:rPr>
        <w:t>30</w:t>
      </w:r>
      <w:r>
        <w:rPr>
          <w:rStyle w:val="76"/>
          <w:rFonts w:hint="eastAsia" w:ascii="宋体" w:hAnsi="宋体" w:eastAsia="宋体" w:cs="宋体"/>
          <w:snapToGrid/>
          <w:kern w:val="2"/>
          <w:sz w:val="24"/>
          <w:szCs w:val="24"/>
        </w:rPr>
        <w:t>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000000"/>
          <w:sz w:val="24"/>
        </w:rPr>
        <w:t>XHZFCG-2023-G-21</w:t>
      </w:r>
    </w:p>
    <w:p>
      <w:pPr>
        <w:spacing w:line="360" w:lineRule="auto"/>
        <w:ind w:firstLine="480"/>
        <w:rPr>
          <w:rFonts w:ascii="宋体" w:hAnsi="宋体" w:cs="宋体"/>
          <w:b/>
          <w:sz w:val="24"/>
        </w:rPr>
      </w:pPr>
      <w:r>
        <w:rPr>
          <w:rFonts w:hint="eastAsia" w:ascii="宋体" w:hAnsi="宋体" w:cs="宋体"/>
          <w:b/>
          <w:sz w:val="24"/>
        </w:rPr>
        <w:t>项目名称：</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 xml:space="preserve">迭代升级项目   </w:t>
      </w:r>
      <w:r>
        <w:rPr>
          <w:rFonts w:hint="eastAsia" w:ascii="宋体" w:hAnsi="宋体" w:cs="宋体"/>
          <w:b/>
          <w:sz w:val="24"/>
        </w:rPr>
        <w:t xml:space="preserve"> </w:t>
      </w:r>
    </w:p>
    <w:p>
      <w:pPr>
        <w:spacing w:line="360" w:lineRule="auto"/>
        <w:ind w:firstLine="480"/>
        <w:rPr>
          <w:rFonts w:ascii="宋体" w:hAnsi="宋体" w:cs="宋体"/>
          <w:sz w:val="24"/>
        </w:rPr>
      </w:pPr>
      <w:r>
        <w:rPr>
          <w:rFonts w:hint="eastAsia" w:ascii="宋体" w:hAnsi="宋体" w:cs="宋体"/>
          <w:b/>
          <w:sz w:val="24"/>
        </w:rPr>
        <w:t>预算金额（元）：</w:t>
      </w:r>
      <w:r>
        <w:rPr>
          <w:rFonts w:hint="eastAsia" w:ascii="宋体" w:hAnsi="宋体" w:cs="宋体"/>
          <w:bCs/>
          <w:sz w:val="24"/>
        </w:rPr>
        <w:t>2361000</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Cs/>
          <w:sz w:val="24"/>
        </w:rPr>
        <w:t>2361000</w:t>
      </w:r>
    </w:p>
    <w:p>
      <w:pPr>
        <w:pStyle w:val="129"/>
        <w:spacing w:before="0"/>
        <w:ind w:firstLine="482"/>
        <w:outlineLvl w:val="2"/>
        <w:rPr>
          <w:rFonts w:ascii="宋体" w:hAnsi="宋体" w:cs="宋体"/>
          <w:szCs w:val="24"/>
        </w:rPr>
      </w:pPr>
      <w:r>
        <w:rPr>
          <w:rFonts w:hint="eastAsia" w:ascii="宋体" w:hAnsi="宋体" w:cs="宋体"/>
          <w:b/>
        </w:rPr>
        <w:t>采购需求：</w:t>
      </w:r>
      <w:r>
        <w:rPr>
          <w:rFonts w:hint="eastAsia" w:ascii="宋体" w:hAnsi="宋体" w:cs="宋体"/>
        </w:rPr>
        <w:t>杭州市西湖区“民呼我为</w:t>
      </w:r>
      <w:r>
        <w:rPr>
          <w:rFonts w:ascii="宋体" w:hAnsi="宋体" w:cs="宋体"/>
        </w:rPr>
        <w:sym w:font="Wingdings" w:char="F0A0"/>
      </w:r>
      <w:r>
        <w:rPr>
          <w:rFonts w:hint="eastAsia" w:ascii="宋体" w:hAnsi="宋体" w:cs="宋体"/>
        </w:rPr>
        <w:t>西湖码”综合应用</w:t>
      </w:r>
      <w:r>
        <w:rPr>
          <w:rFonts w:ascii="宋体" w:hAnsi="宋体" w:cs="宋体"/>
        </w:rPr>
        <w:t>2.0</w:t>
      </w:r>
      <w:r>
        <w:rPr>
          <w:rFonts w:hint="eastAsia" w:ascii="宋体" w:hAnsi="宋体" w:cs="宋体"/>
        </w:rPr>
        <w:t>迭代升级项目</w:t>
      </w:r>
      <w:r>
        <w:rPr>
          <w:rFonts w:hint="eastAsia" w:ascii="宋体" w:hAnsi="宋体" w:cs="宋体"/>
          <w:szCs w:val="24"/>
        </w:rPr>
        <w:t>，项目包括搭建独立西湖码综合信息系统，深化西湖码服务功能升级，深耕大数据分析研判、预测预警，迭代升级系统完善及场景建设，服务社会精准治理等，并提供不少于1年（含）7*24小时的售后技术服务及</w:t>
      </w:r>
      <w:r>
        <w:rPr>
          <w:rFonts w:hint="eastAsia" w:hAnsi="宋体" w:cs="宋体"/>
          <w:bCs/>
          <w:szCs w:val="24"/>
        </w:rPr>
        <w:t>系统质保服务</w:t>
      </w:r>
      <w:r>
        <w:rPr>
          <w:rFonts w:hint="eastAsia" w:ascii="宋体" w:hAnsi="宋体" w:cs="宋体"/>
          <w:bCs/>
        </w:rPr>
        <w:t>。详见招标文件第三部分采购需求。</w:t>
      </w:r>
    </w:p>
    <w:p>
      <w:pPr>
        <w:pStyle w:val="129"/>
        <w:spacing w:before="0"/>
        <w:ind w:firstLine="482"/>
        <w:outlineLvl w:val="2"/>
        <w:rPr>
          <w:rFonts w:hint="eastAsia" w:ascii="宋体" w:hAnsi="宋体" w:eastAsia="宋体" w:cs="宋体"/>
          <w:bCs/>
          <w:szCs w:val="24"/>
          <w:lang w:eastAsia="zh-CN"/>
        </w:rPr>
      </w:pPr>
      <w:r>
        <w:rPr>
          <w:rFonts w:hint="eastAsia" w:ascii="宋体" w:hAnsi="宋体" w:cs="宋体"/>
          <w:b/>
        </w:rPr>
        <w:t>合同履约期限：</w:t>
      </w:r>
      <w:r>
        <w:rPr>
          <w:rFonts w:hint="eastAsia" w:ascii="宋体" w:hAnsi="宋体" w:cs="宋体"/>
          <w:sz w:val="24"/>
          <w:szCs w:val="22"/>
        </w:rPr>
        <w:t>合同签订后</w:t>
      </w:r>
      <w:r>
        <w:rPr>
          <w:rFonts w:hint="default" w:ascii="宋体" w:hAnsi="宋体" w:cs="宋体"/>
          <w:b/>
          <w:bCs/>
          <w:sz w:val="24"/>
          <w:szCs w:val="22"/>
          <w:lang w:val="en-US"/>
        </w:rPr>
        <w:t>2</w:t>
      </w:r>
      <w:r>
        <w:rPr>
          <w:rFonts w:hint="eastAsia" w:ascii="宋体" w:hAnsi="宋体" w:cs="宋体"/>
          <w:b/>
          <w:bCs/>
          <w:sz w:val="24"/>
          <w:szCs w:val="22"/>
        </w:rPr>
        <w:t>个月</w:t>
      </w:r>
      <w:r>
        <w:rPr>
          <w:rFonts w:hint="eastAsia" w:ascii="宋体" w:hAnsi="宋体" w:cs="宋体"/>
          <w:sz w:val="24"/>
          <w:szCs w:val="22"/>
        </w:rPr>
        <w:t>内完成项目的全部系统建设并通过初步验收,进入试运行</w:t>
      </w:r>
      <w:r>
        <w:rPr>
          <w:rFonts w:hint="eastAsia" w:ascii="宋体" w:hAnsi="宋体" w:cs="宋体"/>
          <w:b/>
          <w:bCs/>
          <w:sz w:val="24"/>
          <w:szCs w:val="22"/>
        </w:rPr>
        <w:t>（试运行1个月）</w:t>
      </w:r>
      <w:r>
        <w:rPr>
          <w:rFonts w:hint="eastAsia" w:ascii="宋体" w:hAnsi="宋体" w:cs="宋体"/>
          <w:b/>
          <w:bCs/>
          <w:sz w:val="24"/>
          <w:szCs w:val="22"/>
          <w:lang w:eastAsia="zh-CN"/>
        </w:rPr>
        <w:t>。</w:t>
      </w:r>
    </w:p>
    <w:p>
      <w:pPr>
        <w:pStyle w:val="5"/>
        <w:spacing w:line="360" w:lineRule="auto"/>
        <w:ind w:firstLine="480"/>
        <w:rPr>
          <w:rFonts w:hAnsi="宋体" w:cs="宋体"/>
          <w:b/>
          <w:color w:val="auto"/>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cs="宋体"/>
              <w:color w:val="auto"/>
              <w:kern w:val="0"/>
              <w:sz w:val="24"/>
            </w:rPr>
            <w:t>þ</w:t>
          </w:r>
        </w:sdtContent>
      </w:sdt>
      <w:r>
        <w:rPr>
          <w:rFonts w:hint="eastAsia" w:hAnsi="宋体" w:cs="宋体"/>
          <w:b/>
          <w:color w:val="auto"/>
          <w:sz w:val="24"/>
        </w:rPr>
        <w:t>是，</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w:t>
      </w:r>
      <w:r>
        <w:rPr>
          <w:rFonts w:hint="eastAsia" w:ascii="宋体" w:hAnsi="宋体" w:cs="宋体"/>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3.落实政府</w:t>
      </w:r>
      <w:r>
        <w:rPr>
          <w:rFonts w:ascii="宋体" w:hAnsi="宋体" w:cs="宋体"/>
          <w:snapToGrid w:val="0"/>
          <w:kern w:val="28"/>
          <w:sz w:val="24"/>
          <w:szCs w:val="20"/>
        </w:rPr>
        <w:t xml:space="preserve">  </w:t>
      </w:r>
      <w:r>
        <w:rPr>
          <w:rFonts w:hint="eastAsia" w:ascii="宋体" w:hAnsi="宋体" w:cs="宋体"/>
          <w:snapToGrid w:val="0"/>
          <w:kern w:val="28"/>
          <w:sz w:val="24"/>
          <w:szCs w:val="20"/>
        </w:rPr>
        <w:t>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sz w:val="24"/>
        </w:rPr>
        <w:t>无（注：不得限制大中型企业与小微企业组成联合体参与投标）；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default" w:ascii="宋体" w:hAnsi="宋体" w:cs="宋体"/>
          <w:color w:val="auto"/>
          <w:sz w:val="24"/>
          <w:lang w:val="en-US"/>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default" w:ascii="宋体" w:hAnsi="宋体" w:cs="宋体"/>
          <w:color w:val="auto"/>
          <w:sz w:val="24"/>
          <w:highlight w:val="none"/>
          <w:lang w:val="en-US"/>
        </w:rPr>
        <w:t xml:space="preserve">                                </w:t>
      </w:r>
      <w:r>
        <w:rPr>
          <w:rFonts w:hint="default" w:ascii="宋体" w:hAnsi="宋体" w:cs="宋体"/>
          <w:color w:val="auto"/>
          <w:sz w:val="24"/>
          <w:lang w:val="en-US"/>
        </w:rPr>
        <w:t xml:space="preserve">   </w:t>
      </w:r>
    </w:p>
    <w:p>
      <w:pPr>
        <w:snapToGrid w:val="0"/>
        <w:spacing w:line="360" w:lineRule="auto"/>
        <w:ind w:firstLine="480" w:firstLineChars="200"/>
        <w:rPr>
          <w:rFonts w:ascii="宋体" w:hAnsi="宋体" w:cs="宋体"/>
          <w:sz w:val="24"/>
        </w:rPr>
      </w:pPr>
      <w:r>
        <w:rPr>
          <w:rFonts w:hint="default" w:ascii="宋体" w:hAnsi="宋体" w:cs="宋体"/>
          <w:color w:val="auto"/>
          <w:sz w:val="24"/>
          <w:lang w:val="en-US"/>
        </w:rPr>
        <w:t xml:space="preserve"> 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highlight w:val="none"/>
          <w:u w:val="single"/>
        </w:rPr>
        <w:t>2023年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16</w:t>
      </w:r>
      <w:r>
        <w:rPr>
          <w:rFonts w:hint="eastAsia" w:ascii="宋体" w:hAnsi="宋体" w:cs="宋体"/>
          <w:sz w:val="24"/>
          <w:highlight w:val="none"/>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sz w:val="24"/>
          <w:highlight w:val="none"/>
          <w:u w:val="single"/>
        </w:rPr>
        <w:t>2023年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16</w:t>
      </w:r>
      <w:r>
        <w:rPr>
          <w:rFonts w:hint="eastAsia" w:ascii="宋体" w:hAnsi="宋体" w:cs="宋体"/>
          <w:sz w:val="24"/>
          <w:highlight w:val="none"/>
          <w:u w:val="single"/>
        </w:rPr>
        <w:t>日09点 30分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highlight w:val="none"/>
          <w:u w:val="single"/>
        </w:rPr>
        <w:t>2023年</w:t>
      </w:r>
      <w:r>
        <w:rPr>
          <w:rFonts w:hint="default" w:ascii="宋体" w:hAnsi="宋体" w:cs="宋体"/>
          <w:sz w:val="24"/>
          <w:highlight w:val="none"/>
          <w:u w:val="single"/>
          <w:lang w:val="en-US"/>
        </w:rPr>
        <w:t>6</w:t>
      </w:r>
      <w:r>
        <w:rPr>
          <w:rFonts w:hint="eastAsia" w:ascii="宋体" w:hAnsi="宋体" w:cs="宋体"/>
          <w:sz w:val="24"/>
          <w:highlight w:val="none"/>
          <w:u w:val="single"/>
        </w:rPr>
        <w:t>月</w:t>
      </w:r>
      <w:r>
        <w:rPr>
          <w:rFonts w:hint="default" w:ascii="宋体" w:hAnsi="宋体" w:cs="宋体"/>
          <w:sz w:val="24"/>
          <w:highlight w:val="none"/>
          <w:u w:val="single"/>
          <w:lang w:val="en-US"/>
        </w:rPr>
        <w:t>16</w:t>
      </w:r>
      <w:r>
        <w:rPr>
          <w:rFonts w:hint="eastAsia" w:ascii="宋体" w:hAnsi="宋体" w:cs="宋体"/>
          <w:sz w:val="24"/>
          <w:highlight w:val="none"/>
          <w:u w:val="single"/>
        </w:rPr>
        <w:t>日09点30 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称：中共杭州市西湖区委杭州市西湖区人民政府信访局 </w:t>
      </w:r>
    </w:p>
    <w:p>
      <w:pPr>
        <w:spacing w:line="360" w:lineRule="auto"/>
        <w:rPr>
          <w:rFonts w:ascii="宋体" w:hAnsi="宋体" w:cs="宋体"/>
          <w:sz w:val="24"/>
        </w:rPr>
      </w:pPr>
      <w:r>
        <w:rPr>
          <w:rFonts w:hint="eastAsia" w:ascii="宋体" w:hAnsi="宋体" w:cs="宋体"/>
          <w:sz w:val="24"/>
        </w:rPr>
        <w:t xml:space="preserve">    地    址：杭州市西湖区浙大路1号</w:t>
      </w:r>
    </w:p>
    <w:p>
      <w:pPr>
        <w:spacing w:line="360" w:lineRule="auto"/>
        <w:ind w:firstLine="480"/>
        <w:rPr>
          <w:rFonts w:ascii="宋体" w:hAnsi="宋体" w:cs="宋体"/>
          <w:sz w:val="24"/>
        </w:rPr>
      </w:pPr>
      <w:r>
        <w:rPr>
          <w:rFonts w:hint="eastAsia" w:ascii="宋体" w:hAnsi="宋体" w:cs="宋体"/>
          <w:sz w:val="24"/>
        </w:rPr>
        <w:t>项目联系人（询问）：董浦安</w:t>
      </w:r>
    </w:p>
    <w:p>
      <w:pPr>
        <w:spacing w:line="360" w:lineRule="auto"/>
        <w:ind w:firstLine="480"/>
        <w:rPr>
          <w:rFonts w:ascii="宋体" w:hAnsi="宋体" w:cs="宋体"/>
          <w:sz w:val="24"/>
        </w:rPr>
      </w:pPr>
      <w:r>
        <w:rPr>
          <w:rFonts w:hint="eastAsia" w:ascii="宋体" w:hAnsi="宋体" w:cs="宋体"/>
          <w:sz w:val="24"/>
        </w:rPr>
        <w:t>项目联系方式（询问）：0571-89510357</w:t>
      </w:r>
    </w:p>
    <w:p>
      <w:pPr>
        <w:spacing w:line="360" w:lineRule="auto"/>
        <w:ind w:firstLine="480"/>
        <w:rPr>
          <w:rFonts w:ascii="宋体" w:hAnsi="宋体" w:cs="宋体"/>
          <w:sz w:val="24"/>
          <w:highlight w:val="yellow"/>
        </w:rPr>
      </w:pPr>
      <w:r>
        <w:rPr>
          <w:rFonts w:hint="eastAsia" w:ascii="宋体" w:hAnsi="宋体" w:cs="宋体"/>
          <w:sz w:val="24"/>
          <w:highlight w:val="none"/>
        </w:rPr>
        <w:t>质疑联系人：</w:t>
      </w:r>
      <w:r>
        <w:rPr>
          <w:rFonts w:hint="eastAsia" w:ascii="宋体" w:hAnsi="宋体" w:cs="宋体"/>
          <w:sz w:val="24"/>
        </w:rPr>
        <w:t>徐晨玺</w:t>
      </w:r>
    </w:p>
    <w:p>
      <w:pPr>
        <w:spacing w:line="360" w:lineRule="auto"/>
        <w:ind w:firstLine="480"/>
        <w:rPr>
          <w:rFonts w:ascii="宋体" w:hAnsi="宋体" w:cs="宋体"/>
          <w:sz w:val="24"/>
        </w:rPr>
      </w:pPr>
      <w:r>
        <w:rPr>
          <w:rFonts w:hint="eastAsia" w:ascii="宋体" w:hAnsi="宋体" w:cs="宋体"/>
          <w:sz w:val="24"/>
          <w:highlight w:val="none"/>
        </w:rPr>
        <w:t>质疑联系方式：</w:t>
      </w:r>
      <w:r>
        <w:rPr>
          <w:rFonts w:hint="eastAsia" w:ascii="宋体" w:hAnsi="宋体" w:cs="宋体"/>
          <w:sz w:val="24"/>
        </w:rPr>
        <w:t>0571-89510379</w:t>
      </w:r>
    </w:p>
    <w:p>
      <w:pPr>
        <w:spacing w:line="360" w:lineRule="auto"/>
        <w:ind w:firstLine="480" w:firstLineChars="200"/>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址：杭州市文一西路858号</w:t>
      </w:r>
    </w:p>
    <w:p>
      <w:pPr>
        <w:spacing w:line="360" w:lineRule="auto"/>
        <w:rPr>
          <w:rFonts w:ascii="宋体" w:hAnsi="宋体" w:cs="宋体"/>
          <w:sz w:val="24"/>
        </w:rPr>
      </w:pPr>
      <w:r>
        <w:rPr>
          <w:rFonts w:hint="eastAsia" w:ascii="宋体" w:hAnsi="宋体" w:cs="宋体"/>
          <w:sz w:val="24"/>
        </w:rPr>
        <w:t xml:space="preserve">    传    真：0571-</w:t>
      </w:r>
      <w:r>
        <w:rPr>
          <w:rFonts w:hint="default" w:ascii="宋体" w:hAnsi="宋体" w:cs="宋体"/>
          <w:sz w:val="24"/>
          <w:lang w:val="en-US"/>
        </w:rPr>
        <w:t>89511006</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邵一成</w:t>
      </w:r>
      <w:r>
        <w:rPr>
          <w:rFonts w:hint="eastAsia" w:ascii="宋体" w:hAnsi="宋体" w:cs="宋体"/>
          <w:sz w:val="24"/>
        </w:rPr>
        <w:t xml:space="preserve">       </w:t>
      </w:r>
    </w:p>
    <w:p>
      <w:pPr>
        <w:pStyle w:val="23"/>
        <w:ind w:firstLine="480"/>
        <w:rPr>
          <w:rFonts w:hint="default" w:ascii="宋体" w:hAnsi="宋体" w:cs="宋体"/>
          <w:sz w:val="24"/>
          <w:lang w:val="en-US"/>
        </w:rPr>
      </w:pPr>
      <w:r>
        <w:rPr>
          <w:rFonts w:hint="eastAsia" w:ascii="宋体" w:hAnsi="宋体" w:cs="宋体"/>
          <w:sz w:val="24"/>
        </w:rPr>
        <w:t>项目联系方式（询问）：0571-</w:t>
      </w:r>
      <w:r>
        <w:rPr>
          <w:rFonts w:hint="default" w:ascii="宋体" w:hAnsi="宋体" w:cs="宋体"/>
          <w:sz w:val="24"/>
          <w:lang w:val="en-US"/>
        </w:rPr>
        <w:t>89511007</w:t>
      </w:r>
    </w:p>
    <w:p>
      <w:pPr>
        <w:pStyle w:val="23"/>
        <w:ind w:firstLine="480"/>
        <w:rPr>
          <w:rFonts w:hint="default" w:ascii="宋体" w:hAnsi="宋体" w:cs="宋体"/>
          <w:b/>
          <w:bCs/>
          <w:sz w:val="24"/>
          <w:lang w:val="en-US"/>
        </w:rPr>
      </w:pPr>
      <w:r>
        <w:rPr>
          <w:rFonts w:hint="eastAsia"/>
          <w:lang w:val="en-US"/>
        </w:rPr>
        <w:t>质疑联系人：</w:t>
      </w:r>
      <w:r>
        <w:rPr>
          <w:rFonts w:hint="eastAsia" w:hAnsi="宋体" w:cs="宋体"/>
        </w:rPr>
        <w:t>缪新新</w:t>
      </w:r>
    </w:p>
    <w:p>
      <w:pPr>
        <w:spacing w:line="360" w:lineRule="auto"/>
        <w:rPr>
          <w:rFonts w:hint="default" w:ascii="宋体" w:hAnsi="宋体" w:cs="宋体"/>
          <w:sz w:val="24"/>
          <w:lang w:val="en-US"/>
        </w:rPr>
      </w:pPr>
      <w:r>
        <w:rPr>
          <w:rFonts w:hint="eastAsia" w:ascii="宋体" w:hAnsi="宋体" w:cs="宋体"/>
          <w:sz w:val="24"/>
        </w:rPr>
        <w:t xml:space="preserve">    质疑联系方式：0571-8</w:t>
      </w:r>
      <w:r>
        <w:rPr>
          <w:rFonts w:hint="default" w:ascii="宋体" w:hAnsi="宋体" w:cs="宋体"/>
          <w:sz w:val="24"/>
          <w:lang w:val="en-US"/>
        </w:rPr>
        <w:t>9511561</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称：杭州市西湖区财政局政府采购监管科 </w:t>
      </w:r>
    </w:p>
    <w:p>
      <w:pPr>
        <w:spacing w:line="360" w:lineRule="auto"/>
        <w:rPr>
          <w:rFonts w:ascii="宋体" w:hAnsi="宋体" w:cs="宋体"/>
          <w:sz w:val="24"/>
        </w:rPr>
      </w:pPr>
      <w:r>
        <w:rPr>
          <w:rFonts w:hint="eastAsia" w:ascii="宋体" w:hAnsi="宋体" w:cs="宋体"/>
          <w:sz w:val="24"/>
        </w:rPr>
        <w:t xml:space="preserve">    地    址：杭州市文三西路18号11楼1104</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：韩继伟    </w:t>
      </w:r>
    </w:p>
    <w:p>
      <w:pPr>
        <w:spacing w:line="360" w:lineRule="auto"/>
        <w:ind w:firstLine="480" w:firstLineChars="200"/>
        <w:rPr>
          <w:rFonts w:ascii="宋体" w:hAnsi="宋体" w:cs="宋体"/>
          <w:sz w:val="24"/>
        </w:rPr>
      </w:pPr>
      <w:r>
        <w:rPr>
          <w:rFonts w:hint="eastAsia" w:ascii="宋体" w:hAnsi="宋体" w:cs="宋体"/>
          <w:sz w:val="24"/>
        </w:rPr>
        <w:t>监督投诉电话：0571-</w:t>
      </w:r>
      <w:r>
        <w:rPr>
          <w:rFonts w:hint="default" w:ascii="宋体" w:hAnsi="宋体" w:cs="宋体"/>
          <w:sz w:val="24"/>
          <w:lang w:val="en-US"/>
        </w:rPr>
        <w:t>89511307</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p>
    <w:p>
      <w:pPr>
        <w:pStyle w:val="33"/>
        <w:adjustRightInd/>
        <w:spacing w:line="360" w:lineRule="auto"/>
        <w:ind w:firstLine="2891" w:firstLineChars="800"/>
        <w:outlineLvl w:val="0"/>
        <w:rPr>
          <w:rFonts w:hAnsi="宋体" w:cs="宋体"/>
          <w:b/>
          <w:sz w:val="36"/>
          <w:szCs w:val="20"/>
        </w:rPr>
      </w:pPr>
      <w:r>
        <w:rPr>
          <w:rFonts w:hint="eastAsia" w:hAnsi="宋体" w:cs="宋体"/>
          <w:b/>
          <w:sz w:val="36"/>
          <w:szCs w:val="20"/>
        </w:rPr>
        <w:t>第二部分</w:t>
      </w:r>
      <w:bookmarkEnd w:id="7"/>
      <w:r>
        <w:rPr>
          <w:rFonts w:hint="eastAsia" w:hAnsi="宋体" w:cs="宋体"/>
          <w:b/>
          <w:sz w:val="36"/>
          <w:szCs w:val="20"/>
        </w:rPr>
        <w:t xml:space="preserve"> 投标人须知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 xml:space="preserve"> 杭州市西湖区“民呼我为·西湖码”综合应用2.0迭代升级采购项目</w:t>
            </w:r>
            <w:r>
              <w:rPr>
                <w:rFonts w:hint="eastAsia" w:ascii="宋体" w:hAnsi="宋体" w:cs="宋体"/>
                <w:kern w:val="0"/>
                <w:sz w:val="24"/>
              </w:rPr>
              <w:t>，属于</w:t>
            </w:r>
            <w:r>
              <w:rPr>
                <w:rFonts w:hint="eastAsia" w:ascii="宋体" w:hAnsi="宋体" w:cs="宋体"/>
                <w:kern w:val="0"/>
                <w:sz w:val="24"/>
                <w:u w:val="single"/>
              </w:rPr>
              <w:t xml:space="preserve"> 软件和信息技术服务业 </w:t>
            </w:r>
            <w:r>
              <w:rPr>
                <w:rFonts w:hint="eastAsia" w:ascii="宋体" w:hAnsi="宋体" w:cs="宋体"/>
                <w:kern w:val="0"/>
                <w:sz w:val="24"/>
              </w:rPr>
              <w:t>行业；</w:t>
            </w:r>
          </w:p>
          <w:p>
            <w:pPr>
              <w:pStyle w:val="2"/>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color w:val="000000"/>
                <w:kern w:val="0"/>
                <w:sz w:val="24"/>
                <w:u w:val="single"/>
                <w:lang w:bidi="ar"/>
              </w:rPr>
              <w:t>政务中台对接(一体化智治平台）</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w:t>
            </w:r>
            <w:r>
              <w:rPr>
                <w:rFonts w:hint="eastAsia" w:ascii="宋体" w:hAnsi="宋体" w:cs="宋体"/>
                <w:color w:val="auto"/>
                <w:kern w:val="0"/>
                <w:sz w:val="24"/>
              </w:rPr>
              <w:t>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ind w:firstLine="240" w:firstLineChars="100"/>
              <w:rPr>
                <w:rFonts w:hint="eastAsia" w:ascii="宋体" w:hAnsi="宋体" w:cs="宋体"/>
                <w:snapToGrid w:val="0"/>
                <w:kern w:val="28"/>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ascii="宋体" w:hAnsi="宋体" w:cs="宋体"/>
                <w:kern w:val="0"/>
                <w:sz w:val="24"/>
              </w:rPr>
              <w:t>20</w:t>
            </w:r>
            <w:r>
              <w:rPr>
                <w:rFonts w:hint="eastAsia" w:ascii="宋体" w:hAnsi="宋体" w:cs="宋体"/>
                <w:kern w:val="0"/>
                <w:sz w:val="24"/>
              </w:rPr>
              <w:t>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rPr>
                <w:rFonts w:ascii="宋体" w:hAnsi="宋体" w:cs="宋体"/>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left w:val="single" w:color="000000" w:sz="8" w:space="0"/>
              <w:right w:val="single" w:color="000000" w:sz="2" w:space="0"/>
            </w:tcBorders>
            <w:vAlign w:val="center"/>
          </w:tcPr>
          <w:p>
            <w:pPr>
              <w:spacing w:line="360" w:lineRule="auto"/>
              <w:jc w:val="center"/>
              <w:rPr>
                <w:rFonts w:hint="default" w:ascii="宋体" w:hAnsi="宋体" w:cs="宋体"/>
                <w:lang w:val="en-US"/>
              </w:rPr>
            </w:pPr>
            <w:r>
              <w:rPr>
                <w:rFonts w:hint="default" w:ascii="宋体" w:hAnsi="宋体" w:cs="宋体"/>
                <w:lang w:val="en-US"/>
              </w:rPr>
              <w:t>11</w:t>
            </w:r>
          </w:p>
        </w:tc>
        <w:tc>
          <w:tcPr>
            <w:tcW w:w="1843" w:type="dxa"/>
            <w:tcBorders>
              <w:left w:val="single" w:color="000000" w:sz="2" w:space="0"/>
              <w:right w:val="single" w:color="000000" w:sz="8" w:space="0"/>
            </w:tcBorders>
            <w:vAlign w:val="center"/>
          </w:tcPr>
          <w:p>
            <w:pPr>
              <w:spacing w:line="360" w:lineRule="auto"/>
              <w:jc w:val="center"/>
              <w:rPr>
                <w:rFonts w:ascii="宋体" w:hAnsi="宋体" w:cs="宋体"/>
              </w:rPr>
            </w:pPr>
            <w:r>
              <w:rPr>
                <w:rFonts w:hint="eastAsia" w:ascii="宋体" w:hAnsi="宋体" w:cs="宋体"/>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color w:val="auto"/>
                <w:kern w:val="28"/>
                <w:sz w:val="24"/>
                <w:szCs w:val="24"/>
              </w:rPr>
              <w:t>备份投标文件送达地点：</w:t>
            </w:r>
            <w:r>
              <w:rPr>
                <w:rFonts w:hint="eastAsia" w:hAnsi="宋体" w:cs="宋体"/>
                <w:sz w:val="24"/>
                <w:highlight w:val="none"/>
                <w:u w:val="single"/>
              </w:rPr>
              <w:t>杭州市西湖区文一西路858号（</w:t>
            </w:r>
            <w:r>
              <w:rPr>
                <w:rFonts w:hint="eastAsia" w:hAnsi="宋体" w:cs="宋体"/>
                <w:sz w:val="24"/>
                <w:highlight w:val="none"/>
                <w:u w:val="single"/>
                <w:lang w:eastAsia="zh-CN"/>
              </w:rPr>
              <w:t>杭州市西湖区政府采购中心</w:t>
            </w:r>
            <w:r>
              <w:rPr>
                <w:rFonts w:hint="eastAsia" w:hAnsi="宋体" w:cs="宋体"/>
                <w:sz w:val="24"/>
                <w:highlight w:val="none"/>
                <w:u w:val="single"/>
              </w:rPr>
              <w:t>西湖分中心东三楼</w:t>
            </w:r>
            <w:r>
              <w:rPr>
                <w:rFonts w:hint="eastAsia" w:hAnsi="宋体" w:cs="宋体"/>
                <w:sz w:val="24"/>
                <w:highlight w:val="none"/>
                <w:u w:val="single"/>
                <w:lang w:val="en-US" w:eastAsia="zh-CN"/>
              </w:rPr>
              <w:t>329办公室）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cs="宋体" w:asciiTheme="minorEastAsia" w:hAnsiTheme="minorEastAsia" w:eastAsiaTheme="minorEastAsia"/>
                <w:sz w:val="24"/>
                <w:highlight w:val="none"/>
                <w:u w:val="single"/>
              </w:rPr>
              <w:t>0571-8</w:t>
            </w:r>
            <w:r>
              <w:rPr>
                <w:rFonts w:hint="default" w:cs="宋体" w:asciiTheme="minorEastAsia" w:hAnsiTheme="minorEastAsia" w:eastAsiaTheme="minorEastAsia"/>
                <w:sz w:val="24"/>
                <w:highlight w:val="none"/>
                <w:u w:val="single"/>
                <w:lang w:val="en-US"/>
              </w:rPr>
              <w:t>9511007</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Arial"/>
                <w:kern w:val="0"/>
                <w:sz w:val="24"/>
              </w:rPr>
              <w:sym w:font="Wingdings" w:char="0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Arial"/>
                <w:kern w:val="0"/>
                <w:sz w:val="24"/>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_Toc164416483"/>
      <w:bookmarkStart w:id="11"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cs="宋体"/>
              <w:kern w:val="0"/>
              <w:sz w:val="24"/>
            </w:rPr>
            <w:t>þ</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 xml:space="preserve">3.2.2 </w:t>
      </w:r>
      <w:r>
        <w:rPr>
          <w:rFonts w:hint="eastAsia" w:ascii="宋体" w:hAnsi="宋体" w:cs="宋体"/>
          <w:color w:val="auto"/>
          <w:sz w:val="24"/>
        </w:rPr>
        <w:t>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平等对待内外资企业和符合条件的破产重整企业，切实保障企业公平竞争，平等维护企业的合法利益。</w:t>
      </w:r>
    </w:p>
    <w:p>
      <w:pPr>
        <w:spacing w:line="360" w:lineRule="auto"/>
        <w:ind w:firstLine="241" w:firstLineChars="100"/>
        <w:rPr>
          <w:rFonts w:ascii="宋体" w:hAnsi="宋体" w:cs="宋体"/>
          <w:b/>
          <w:sz w:val="24"/>
        </w:rPr>
      </w:pPr>
      <w:r>
        <w:rPr>
          <w:rFonts w:hint="eastAsia" w:ascii="宋体" w:hAnsi="宋体" w:cs="宋体"/>
          <w:b/>
          <w:sz w:val="24"/>
        </w:rPr>
        <w:t>4. 询问、质疑、投诉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color w:val="auto"/>
          <w:lang w:val="zh-CN"/>
        </w:rPr>
      </w:pPr>
      <w:r>
        <w:rPr>
          <w:rFonts w:hint="eastAsia"/>
          <w:color w:val="auto"/>
          <w:lang w:val="zh-CN"/>
        </w:rPr>
        <w:t>4.1在线询问、质疑、投诉</w:t>
      </w:r>
    </w:p>
    <w:p>
      <w:pPr>
        <w:pStyle w:val="886"/>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3"/>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886"/>
        <w:shd w:val="clear" w:color="auto" w:fill="FFFFFF"/>
        <w:snapToGrid w:val="0"/>
        <w:spacing w:after="240" w:afterAutospacing="0" w:line="360" w:lineRule="auto"/>
        <w:ind w:firstLine="480" w:firstLineChars="200"/>
        <w:contextualSpacing/>
      </w:pP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9"/>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11.1.4本项目的特定资格要求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11.2.4符合性审查资料；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11.2.5评标标准相应的商务技术资料；</w:t>
      </w:r>
    </w:p>
    <w:p>
      <w:pPr>
        <w:pStyle w:val="2"/>
        <w:rPr>
          <w:rFonts w:eastAsia="宋体"/>
          <w:lang w:val="en-US"/>
        </w:rPr>
      </w:pPr>
      <w:r>
        <w:rPr>
          <w:rFonts w:ascii="宋体" w:hAnsi="宋体" w:eastAsia="宋体" w:cs="宋体"/>
          <w:sz w:val="24"/>
          <w:lang w:val="en-US"/>
        </w:rPr>
        <w:t xml:space="preserve">       </w:t>
      </w:r>
      <w:r>
        <w:rPr>
          <w:rFonts w:ascii="宋体" w:hAnsi="宋体" w:eastAsia="宋体" w:cs="宋体"/>
          <w:b w:val="0"/>
          <w:bCs w:val="0"/>
          <w:sz w:val="24"/>
          <w:lang w:val="en-US"/>
        </w:rPr>
        <w:t xml:space="preserve"> 11.2.6 </w:t>
      </w:r>
      <w:r>
        <w:rPr>
          <w:rFonts w:hint="eastAsia" w:ascii="宋体" w:hAnsi="宋体" w:eastAsia="宋体" w:cs="宋体"/>
          <w:b w:val="0"/>
          <w:bCs w:val="0"/>
          <w:sz w:val="24"/>
          <w:lang w:val="en-US"/>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pStyle w:val="2"/>
        <w:rPr>
          <w:rFonts w:ascii="宋体" w:hAnsi="宋体" w:eastAsia="宋体" w:cs="宋体"/>
          <w:b w:val="0"/>
          <w:bCs w:val="0"/>
          <w:sz w:val="24"/>
          <w:szCs w:val="24"/>
          <w:lang w:val="en-US"/>
        </w:rPr>
      </w:pPr>
      <w:r>
        <w:rPr>
          <w:rFonts w:ascii="宋体" w:hAnsi="宋体" w:eastAsia="宋体" w:cs="宋体"/>
          <w:sz w:val="24"/>
          <w:lang w:val="en-US"/>
        </w:rPr>
        <w:t xml:space="preserve">      </w:t>
      </w:r>
      <w:r>
        <w:rPr>
          <w:rFonts w:ascii="宋体" w:hAnsi="宋体" w:eastAsia="宋体" w:cs="宋体"/>
          <w:b w:val="0"/>
          <w:bCs w:val="0"/>
          <w:sz w:val="24"/>
          <w:lang w:val="en-US"/>
        </w:rPr>
        <w:t xml:space="preserve">  1</w:t>
      </w:r>
      <w:r>
        <w:rPr>
          <w:rFonts w:ascii="宋体" w:hAnsi="宋体" w:eastAsia="宋体" w:cs="宋体"/>
          <w:b w:val="0"/>
          <w:bCs w:val="0"/>
          <w:sz w:val="24"/>
          <w:szCs w:val="24"/>
          <w:lang w:val="en-US"/>
        </w:rPr>
        <w:t xml:space="preserve">1.3.2 </w:t>
      </w:r>
      <w:r>
        <w:rPr>
          <w:rFonts w:hint="eastAsia" w:ascii="宋体" w:hAnsi="宋体" w:eastAsia="宋体" w:cs="宋体"/>
          <w:b w:val="0"/>
          <w:bCs w:val="0"/>
          <w:sz w:val="24"/>
          <w:szCs w:val="24"/>
          <w:lang w:val="en-US"/>
        </w:rPr>
        <w:t>中小企业声明函（如果有）；</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napToGrid w:val="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none"/>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color w:val="auto"/>
          <w:szCs w:val="24"/>
        </w:rPr>
        <w:tab/>
      </w:r>
    </w:p>
    <w:p>
      <w:pPr>
        <w:pStyle w:val="129"/>
        <w:spacing w:before="0"/>
        <w:ind w:firstLine="480"/>
        <w:rPr>
          <w:rFonts w:ascii="宋体" w:hAnsi="宋体" w:cs="宋体"/>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有招标文件第四部分4.2规定的情形之一的，投标无效：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 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 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xml:space="preserve">　18.3 </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9"/>
        <w:spacing w:before="0"/>
        <w:ind w:firstLine="480"/>
        <w:rPr>
          <w:rFonts w:ascii="宋体" w:hAnsi="宋体" w:cs="宋体"/>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9"/>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szCs w:val="24"/>
          <w:highlight w:val="none"/>
        </w:rPr>
        <w:t>在采购结果确认环节，中标候选人撤销投标文件不能成为采购人不确认采购结果的正当理由。</w:t>
      </w:r>
      <w:r>
        <w:rPr>
          <w:rFonts w:hint="eastAsia" w:ascii="宋体" w:hAnsi="宋体" w:cs="宋体"/>
          <w:szCs w:val="24"/>
        </w:rPr>
        <w:t>中标、成交通知书和中标、成交结果公告应当在规定时间内同时发出。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b w:val="0"/>
          <w:bCs w:val="0"/>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ascii="宋体" w:hAnsi="宋体" w:cs="宋体"/>
          <w:b/>
          <w:sz w:val="32"/>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snapToGrid w:val="0"/>
        <w:spacing w:line="360" w:lineRule="auto"/>
        <w:ind w:firstLine="2249" w:firstLineChars="700"/>
        <w:rPr>
          <w:rFonts w:hint="eastAsia" w:ascii="宋体" w:hAnsi="宋体" w:cs="宋体"/>
          <w:b/>
          <w:sz w:val="32"/>
        </w:rPr>
      </w:pPr>
    </w:p>
    <w:p>
      <w:pPr>
        <w:snapToGrid w:val="0"/>
        <w:spacing w:line="360" w:lineRule="auto"/>
        <w:ind w:firstLine="2249" w:firstLineChars="700"/>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color w:val="auto"/>
        </w:rPr>
      </w:pPr>
      <w:r>
        <w:rPr>
          <w:rFonts w:hint="eastAsia" w:ascii="宋体" w:hAnsi="宋体" w:cs="宋体"/>
          <w:color w:val="auto"/>
        </w:rPr>
        <w:t>2</w:t>
      </w:r>
      <w:r>
        <w:rPr>
          <w:rFonts w:hint="default" w:ascii="宋体" w:hAnsi="宋体" w:cs="宋体"/>
          <w:b/>
          <w:color w:val="auto"/>
          <w:szCs w:val="24"/>
          <w:lang w:val="en-US"/>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.1电子交易平台发生故障而无法登录访问的； </w:t>
      </w:r>
    </w:p>
    <w:p>
      <w:pPr>
        <w:pStyle w:val="129"/>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.2电子交易平台应用或数据库出现错误，不能进行正常操作的；</w:t>
      </w:r>
    </w:p>
    <w:p>
      <w:pPr>
        <w:pStyle w:val="129"/>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.3电子交易平台发现严重安全漏洞，有潜在泄密危险的；</w:t>
      </w:r>
    </w:p>
    <w:p>
      <w:pPr>
        <w:pStyle w:val="129"/>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.4病毒发作导致不能进行正常操作的； </w:t>
      </w:r>
    </w:p>
    <w:p>
      <w:pPr>
        <w:pStyle w:val="129"/>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.5其他无法保证电子交易的公平、公正和安全的情况。</w:t>
      </w:r>
    </w:p>
    <w:p>
      <w:pPr>
        <w:pStyle w:val="129"/>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default" w:ascii="宋体" w:hAnsi="宋体" w:cs="宋体"/>
          <w:color w:val="auto"/>
          <w:lang w:val="en-US"/>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pStyle w:val="129"/>
        <w:snapToGrid w:val="0"/>
        <w:spacing w:before="0"/>
        <w:ind w:firstLine="0" w:firstLineChars="0"/>
        <w:rPr>
          <w:rFonts w:ascii="宋体" w:hAnsi="宋体" w:cs="宋体"/>
        </w:rPr>
      </w:pPr>
    </w:p>
    <w:p>
      <w:pPr>
        <w:tabs>
          <w:tab w:val="left" w:pos="0"/>
        </w:tabs>
        <w:spacing w:line="360" w:lineRule="auto"/>
        <w:ind w:firstLine="480"/>
        <w:rPr>
          <w:rFonts w:ascii="宋体" w:hAnsi="宋体" w:cs="宋体"/>
          <w:sz w:val="24"/>
        </w:rPr>
      </w:pPr>
    </w:p>
    <w:p>
      <w:pPr>
        <w:snapToGrid w:val="0"/>
        <w:spacing w:line="360" w:lineRule="auto"/>
        <w:ind w:left="120" w:leftChars="57" w:firstLine="3373" w:firstLineChars="1050"/>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default" w:cs="宋体"/>
          <w:b/>
          <w:lang w:val="en-US"/>
        </w:rPr>
        <w:t>30</w:t>
      </w:r>
      <w:r>
        <w:rPr>
          <w:rFonts w:hint="eastAsia" w:cs="宋体"/>
          <w:b/>
        </w:rPr>
        <w:t>.验收</w:t>
      </w:r>
    </w:p>
    <w:p>
      <w:pPr>
        <w:tabs>
          <w:tab w:val="left" w:pos="0"/>
        </w:tabs>
        <w:spacing w:line="360" w:lineRule="auto"/>
        <w:ind w:firstLine="480"/>
        <w:rPr>
          <w:rFonts w:ascii="宋体" w:hAnsi="宋体" w:cs="宋体"/>
          <w:kern w:val="0"/>
          <w:sz w:val="24"/>
        </w:rPr>
      </w:pPr>
      <w:r>
        <w:rPr>
          <w:rFonts w:hint="default" w:ascii="宋体" w:hAnsi="宋体" w:cs="宋体"/>
          <w:kern w:val="0"/>
          <w:sz w:val="24"/>
          <w:lang w:val="en-US"/>
        </w:rPr>
        <w:t>30</w:t>
      </w: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default" w:ascii="宋体" w:hAnsi="宋体" w:cs="宋体"/>
          <w:kern w:val="0"/>
          <w:sz w:val="24"/>
          <w:lang w:val="en-US"/>
        </w:rPr>
        <w:t>30</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default" w:ascii="宋体" w:hAnsi="宋体" w:cs="宋体"/>
          <w:kern w:val="0"/>
          <w:sz w:val="24"/>
          <w:lang w:val="en-US"/>
        </w:rPr>
        <w:t>30</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default" w:ascii="宋体" w:hAnsi="宋体" w:cs="宋体"/>
          <w:kern w:val="0"/>
          <w:sz w:val="24"/>
          <w:lang w:val="en-US"/>
        </w:rPr>
        <w:t>30</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74707468"/>
      <w:bookmarkEnd w:id="15"/>
      <w:bookmarkStart w:id="16" w:name="_Hlt74729768"/>
      <w:bookmarkEnd w:id="16"/>
      <w:bookmarkStart w:id="17" w:name="_Hlt68073093"/>
      <w:bookmarkEnd w:id="17"/>
      <w:bookmarkStart w:id="18" w:name="_Hlt68403820"/>
      <w:bookmarkEnd w:id="18"/>
      <w:bookmarkStart w:id="19" w:name="_Hlt75236290"/>
      <w:bookmarkEnd w:id="19"/>
      <w:bookmarkStart w:id="20" w:name="_Hlt68072990"/>
      <w:bookmarkEnd w:id="20"/>
      <w:bookmarkStart w:id="21" w:name="_Hlt68072998"/>
      <w:bookmarkEnd w:id="21"/>
      <w:bookmarkStart w:id="22" w:name="_Hlt75236011"/>
      <w:bookmarkEnd w:id="22"/>
      <w:bookmarkStart w:id="23" w:name="_Hlt74714665"/>
      <w:bookmarkEnd w:id="23"/>
      <w:bookmarkStart w:id="24" w:name="_Hlt75236101"/>
      <w:bookmarkEnd w:id="24"/>
      <w:bookmarkStart w:id="25" w:name="_Hlt74730295"/>
      <w:bookmarkEnd w:id="25"/>
    </w:p>
    <w:bookmarkEnd w:id="10"/>
    <w:bookmarkEnd w:id="11"/>
    <w:p>
      <w:pPr>
        <w:numPr>
          <w:ilvl w:val="0"/>
          <w:numId w:val="1"/>
        </w:numPr>
        <w:spacing w:line="360" w:lineRule="auto"/>
        <w:jc w:val="center"/>
        <w:outlineLvl w:val="0"/>
        <w:rPr>
          <w:rFonts w:ascii="宋体" w:hAnsi="宋体" w:cs="宋体"/>
          <w:b/>
          <w:sz w:val="36"/>
          <w:szCs w:val="36"/>
        </w:rPr>
      </w:pPr>
      <w:bookmarkStart w:id="26" w:name="第四部分"/>
      <w:r>
        <w:rPr>
          <w:rFonts w:hint="eastAsia" w:ascii="宋体" w:hAnsi="宋体" w:cs="宋体"/>
          <w:b/>
          <w:sz w:val="36"/>
          <w:szCs w:val="36"/>
        </w:rPr>
        <w:t xml:space="preserve">  采购需求</w:t>
      </w:r>
    </w:p>
    <w:p>
      <w:pPr>
        <w:numPr>
          <w:ilvl w:val="0"/>
          <w:numId w:val="2"/>
        </w:numPr>
        <w:snapToGrid w:val="0"/>
        <w:spacing w:line="360" w:lineRule="auto"/>
        <w:rPr>
          <w:rFonts w:cs="宋体" w:asciiTheme="minorEastAsia" w:hAnsiTheme="minorEastAsia"/>
          <w:b/>
          <w:sz w:val="24"/>
          <w:lang w:val="zh-CN"/>
        </w:rPr>
      </w:pPr>
      <w:r>
        <w:rPr>
          <w:rFonts w:hint="eastAsia" w:cs="宋体" w:asciiTheme="minorEastAsia" w:hAnsiTheme="minorEastAsia"/>
          <w:b/>
          <w:sz w:val="24"/>
        </w:rPr>
        <w:t>建设</w:t>
      </w:r>
      <w:r>
        <w:rPr>
          <w:rFonts w:hint="eastAsia" w:cs="宋体" w:asciiTheme="minorEastAsia" w:hAnsiTheme="minorEastAsia"/>
          <w:b/>
          <w:sz w:val="24"/>
          <w:lang w:val="zh-CN"/>
        </w:rPr>
        <w:t>背景</w:t>
      </w:r>
    </w:p>
    <w:p>
      <w:pPr>
        <w:adjustRightInd/>
        <w:spacing w:line="360" w:lineRule="auto"/>
        <w:ind w:firstLine="720" w:firstLineChars="300"/>
        <w:rPr>
          <w:rFonts w:cs="宋体" w:asciiTheme="minorEastAsia" w:hAnsiTheme="minorEastAsia"/>
          <w:sz w:val="24"/>
        </w:rPr>
      </w:pPr>
      <w:r>
        <w:rPr>
          <w:rFonts w:hint="eastAsia" w:cs="宋体" w:asciiTheme="minorEastAsia" w:hAnsiTheme="minorEastAsia"/>
          <w:sz w:val="24"/>
        </w:rPr>
        <w:t>根据省委省政府关于基层治理体系的建设要求，深化数字化改革以来“141”与“1612”的贯通成果，深刻领会习近平总书记在浙江工作期间调研翠苑一区社区联系点时作出的“民有所呼、我有所应，民有所呼、我有所为”重要指示精神，围绕中央和省市委部署要求，不断完善党建引领基层治理机制，积极推进全过程人民民主在基层社会治理中的实践。以数字化改革为牵引，坚持“区镇一体、条抓块统，整体智治、高效协同”理念，强化数字赋能，探索城市核心城区基层整体智治实现路径，不断提高基层治理体系和治理能力现代化水平。</w:t>
      </w:r>
    </w:p>
    <w:p>
      <w:pPr>
        <w:adjustRightInd/>
        <w:spacing w:line="360" w:lineRule="auto"/>
        <w:ind w:firstLine="720" w:firstLineChars="300"/>
        <w:rPr>
          <w:rFonts w:cs="宋体" w:asciiTheme="minorEastAsia" w:hAnsiTheme="minorEastAsia"/>
          <w:sz w:val="24"/>
        </w:rPr>
      </w:pPr>
      <w:r>
        <w:rPr>
          <w:rFonts w:hint="eastAsia" w:cs="宋体" w:asciiTheme="minorEastAsia" w:hAnsiTheme="minorEastAsia"/>
          <w:sz w:val="24"/>
        </w:rPr>
        <w:t>本项目一期为“民呼我为</w:t>
      </w:r>
      <w:r>
        <w:rPr>
          <w:rFonts w:hint="eastAsia" w:cs="宋体" w:asciiTheme="minorEastAsia" w:hAnsiTheme="minorEastAsia"/>
          <w:sz w:val="24"/>
        </w:rPr>
        <w:sym w:font="Wingdings" w:char="F0A0"/>
      </w:r>
      <w:r>
        <w:rPr>
          <w:rFonts w:hint="eastAsia" w:cs="宋体" w:asciiTheme="minorEastAsia" w:hAnsiTheme="minorEastAsia"/>
          <w:sz w:val="24"/>
        </w:rPr>
        <w:t>西湖码”应用，在西湖区一体化智治平台（西湖区基层治理四平台）中共同建设。一期建设内容主要包括：群众上报的“西湖码”移动端（我要报、我要帮，助企业、助基层）；在“基层治理四平台”中开发“西湖码”模块，群众上报事件后，借助原有四平台事件流转机制进行流转交办，形成完整的事件处理闭环；建设事件管理、数据归集统计的后台应用管理；并建设数字镇长（主任）的相关配套机制。自系统正式上线运行后，每天受理群众上报事件百余件，面向市民群众畅通反映问题、公共服务的线上窗口，发现问题联动解决，让群众诉求“一键响应，件件落实”，加强基层自治，实现小事不出格（基层网格）、大事不出村（社区），增强广大群众社会治理参与感、获得感。</w:t>
      </w:r>
    </w:p>
    <w:p>
      <w:pPr>
        <w:adjustRightInd/>
        <w:spacing w:line="360" w:lineRule="auto"/>
        <w:ind w:firstLine="720" w:firstLineChars="300"/>
        <w:rPr>
          <w:lang w:val="zh-CN"/>
        </w:rPr>
      </w:pPr>
      <w:r>
        <w:rPr>
          <w:rFonts w:hint="eastAsia" w:cs="宋体" w:asciiTheme="minorEastAsia" w:hAnsiTheme="minorEastAsia"/>
          <w:sz w:val="24"/>
        </w:rPr>
        <w:t>为进一步提高西湖码满意率，固化西湖码常态工作机制，拓展群众报送渠道，扩充公共服务功能，整体提升应用效能，服务社会精准治理，打造“西湖码”金字招牌，构筑浙江省共富示范区基层治理西湖样板，规划西湖码2.0迭代升级建设。</w:t>
      </w:r>
    </w:p>
    <w:p>
      <w:pPr>
        <w:snapToGrid w:val="0"/>
        <w:spacing w:line="360" w:lineRule="auto"/>
        <w:rPr>
          <w:rFonts w:cs="宋体" w:asciiTheme="minorEastAsia" w:hAnsiTheme="minorEastAsia"/>
          <w:b/>
          <w:sz w:val="24"/>
        </w:rPr>
      </w:pPr>
      <w:r>
        <w:rPr>
          <w:rFonts w:hint="eastAsia" w:cs="宋体" w:asciiTheme="minorEastAsia" w:hAnsiTheme="minorEastAsia"/>
          <w:b/>
          <w:sz w:val="24"/>
        </w:rPr>
        <w:t>二</w:t>
      </w:r>
      <w:r>
        <w:rPr>
          <w:rFonts w:hint="eastAsia" w:cs="宋体" w:asciiTheme="minorEastAsia" w:hAnsiTheme="minorEastAsia"/>
          <w:b/>
          <w:sz w:val="24"/>
          <w:lang w:val="zh-CN"/>
        </w:rPr>
        <w:t>、</w:t>
      </w:r>
      <w:r>
        <w:rPr>
          <w:rFonts w:hint="eastAsia" w:cs="宋体" w:asciiTheme="minorEastAsia" w:hAnsiTheme="minorEastAsia"/>
          <w:b/>
          <w:sz w:val="24"/>
        </w:rPr>
        <w:t>建设目标</w:t>
      </w:r>
    </w:p>
    <w:p>
      <w:pPr>
        <w:adjustRightInd/>
        <w:spacing w:line="360" w:lineRule="auto"/>
        <w:ind w:firstLine="630" w:firstLineChars="300"/>
        <w:rPr>
          <w:rFonts w:cs="宋体" w:asciiTheme="minorEastAsia" w:hAnsiTheme="minorEastAsia"/>
          <w:sz w:val="24"/>
        </w:rPr>
      </w:pPr>
      <w:r>
        <w:rPr>
          <w:rFonts w:hint="eastAsia" w:ascii="仿宋_GB2312"/>
          <w:szCs w:val="32"/>
        </w:rPr>
        <w:t>“</w:t>
      </w:r>
      <w:r>
        <w:rPr>
          <w:rFonts w:hint="eastAsia" w:cs="宋体" w:asciiTheme="minorEastAsia" w:hAnsiTheme="minorEastAsia"/>
          <w:sz w:val="24"/>
        </w:rPr>
        <w:t>民呼我为·西湖码”综合应用2.0迭代升级将以“民呼我为”“群众满意”为驱动，以应用迭代、系统升级为牵引，围绕“畅通快捷、务实高效、规范有序、权威管用、示范引领”的工作目标，持续固化“西湖码”工作机制，不断夯实基层“手脚”力量；迭代升级系统完善，加固平台高效统一承载能力；全面拓展公众渠道，深化西湖码服务功能升级；深耕大数据分析研判预警，为防范化解风险提供辅助参考，服务社会精准治理。</w:t>
      </w:r>
    </w:p>
    <w:p>
      <w:pPr>
        <w:snapToGrid w:val="0"/>
        <w:spacing w:line="360" w:lineRule="auto"/>
        <w:rPr>
          <w:rFonts w:ascii="宋体" w:hAnsi="宋体" w:cs="宋体"/>
          <w:sz w:val="24"/>
          <w:szCs w:val="22"/>
        </w:rPr>
      </w:pPr>
      <w:r>
        <w:rPr>
          <w:rFonts w:hint="eastAsia" w:cs="宋体" w:asciiTheme="minorEastAsia" w:hAnsiTheme="minorEastAsia"/>
          <w:b/>
          <w:sz w:val="24"/>
        </w:rPr>
        <w:t>三</w:t>
      </w:r>
      <w:r>
        <w:rPr>
          <w:rFonts w:hint="eastAsia" w:cs="宋体" w:asciiTheme="minorEastAsia" w:hAnsiTheme="minorEastAsia"/>
          <w:b/>
          <w:sz w:val="24"/>
          <w:lang w:val="zh-CN"/>
        </w:rPr>
        <w:t>、</w:t>
      </w:r>
      <w:r>
        <w:rPr>
          <w:rFonts w:hint="eastAsia" w:cs="宋体" w:asciiTheme="minorEastAsia" w:hAnsiTheme="minorEastAsia"/>
          <w:b/>
          <w:sz w:val="24"/>
        </w:rPr>
        <w:t>建设原则</w:t>
      </w:r>
    </w:p>
    <w:p>
      <w:pPr>
        <w:pStyle w:val="23"/>
      </w:pPr>
      <w:r>
        <w:rPr>
          <w:rFonts w:hint="eastAsia"/>
        </w:rPr>
        <w:t>（1）前瞻性</w:t>
      </w:r>
    </w:p>
    <w:p>
      <w:pPr>
        <w:pStyle w:val="23"/>
        <w:ind w:firstLine="480" w:firstLineChars="200"/>
      </w:pPr>
      <w:r>
        <w:rPr>
          <w:rFonts w:hint="eastAsia"/>
        </w:rPr>
        <w:t>西湖码应用建设涉及多部门，要进行统筹规划、总体设计和分级实施。加强统筹规划，科学设计总体架构和标准体系，各部门按照统一架构和标准分级分层管理，实现事项受理、数据调用、结果反馈、监督预警等方面的全流程标准化。</w:t>
      </w:r>
    </w:p>
    <w:p>
      <w:pPr>
        <w:pStyle w:val="23"/>
      </w:pPr>
      <w:r>
        <w:rPr>
          <w:rFonts w:hint="eastAsia"/>
        </w:rPr>
        <w:t>（2）集约性</w:t>
      </w:r>
    </w:p>
    <w:p>
      <w:pPr>
        <w:pStyle w:val="23"/>
        <w:ind w:firstLine="480" w:firstLineChars="200"/>
      </w:pPr>
      <w:r>
        <w:rPr>
          <w:rFonts w:hint="eastAsia"/>
        </w:rPr>
        <w:t>西湖码应用建设充分利用区现有的建设基础，防止推倒重来、重复建设。整合西湖区乡镇各级、各部门平台建设所需资源，已经建成的平台要采用接口转换等技术手段，新建、改建平台要采用平台制定的相关技术标准，依政务云和部门业务系统进行建设，达到互联互通，信息共享。推动服务应用资源整合，避免重复建设、重复投资和资源浪费，发挥政务服务移动端技术优势，提升系统整体服务能力。</w:t>
      </w:r>
    </w:p>
    <w:p>
      <w:pPr>
        <w:pStyle w:val="23"/>
      </w:pPr>
      <w:r>
        <w:rPr>
          <w:rFonts w:hint="eastAsia"/>
        </w:rPr>
        <w:t>（3）实用性</w:t>
      </w:r>
    </w:p>
    <w:p>
      <w:pPr>
        <w:pStyle w:val="23"/>
        <w:ind w:firstLine="480" w:firstLineChars="200"/>
      </w:pPr>
      <w:r>
        <w:rPr>
          <w:rFonts w:hint="eastAsia"/>
        </w:rPr>
        <w:t>西湖码应用建设既要符合浙江省、杭州市建设标准，更集合西湖区实际情况建设，保证综合应用的实用性：既要立足满足西湖区常态发展，又要满足乡镇需求，防止重复建设。</w:t>
      </w:r>
    </w:p>
    <w:p>
      <w:pPr>
        <w:pStyle w:val="23"/>
      </w:pPr>
      <w:r>
        <w:rPr>
          <w:rFonts w:hint="eastAsia"/>
        </w:rPr>
        <w:t>（4）安全性</w:t>
      </w:r>
    </w:p>
    <w:p>
      <w:pPr>
        <w:pStyle w:val="23"/>
        <w:ind w:firstLine="480" w:firstLineChars="200"/>
      </w:pPr>
      <w:r>
        <w:rPr>
          <w:rFonts w:hint="eastAsia"/>
        </w:rPr>
        <w:t>依靠大数据、云计算，借鉴国内外先进经验开展建设工作，西湖码应用建设注重系统设备的可靠性和先进性，采用符合当前发展趋势的先进技术，并充分考虑技术的成熟性。加强核心技术的自主研发和应用，建立安全防护和容灾备份机制，保障平台安全平稳运行。</w:t>
      </w:r>
    </w:p>
    <w:p>
      <w:pPr>
        <w:pStyle w:val="23"/>
      </w:pPr>
      <w:r>
        <w:rPr>
          <w:rFonts w:hint="eastAsia"/>
        </w:rPr>
        <w:t>（5）标准性</w:t>
      </w:r>
    </w:p>
    <w:p>
      <w:pPr>
        <w:pStyle w:val="23"/>
        <w:ind w:firstLine="480" w:firstLineChars="200"/>
      </w:pPr>
      <w:r>
        <w:rPr>
          <w:rFonts w:hint="eastAsia"/>
        </w:rPr>
        <w:t>应用建设过程中同步形成数据接入和应用的标准规范，为多源数据归集和接口统一管理、平台安全运行提供基础安全保障。</w:t>
      </w:r>
    </w:p>
    <w:p>
      <w:pPr>
        <w:pStyle w:val="23"/>
      </w:pPr>
      <w:r>
        <w:rPr>
          <w:rFonts w:hint="eastAsia"/>
        </w:rPr>
        <w:t>（6）可扩展性</w:t>
      </w:r>
    </w:p>
    <w:p>
      <w:pPr>
        <w:pStyle w:val="23"/>
        <w:ind w:firstLine="480" w:firstLineChars="200"/>
      </w:pPr>
      <w:r>
        <w:rPr>
          <w:rFonts w:hint="eastAsia"/>
        </w:rPr>
        <w:t>采用松耦合的设计思路，充分考虑到各业务系统数据对接、数据传输与数据共享的要求，同时从不同业务系统数据交换考虑系统接口设计要符合标准规范，满足主流技术对接要求，为今后业务的扩展留有足够的延展空间。</w:t>
      </w:r>
    </w:p>
    <w:p>
      <w:pPr>
        <w:snapToGrid w:val="0"/>
        <w:spacing w:line="360" w:lineRule="auto"/>
        <w:rPr>
          <w:lang w:val="zh-CN"/>
        </w:rPr>
      </w:pPr>
      <w:r>
        <w:rPr>
          <w:rFonts w:hint="eastAsia" w:cs="宋体" w:asciiTheme="minorEastAsia" w:hAnsiTheme="minorEastAsia"/>
          <w:b/>
          <w:sz w:val="24"/>
        </w:rPr>
        <w:t>四</w:t>
      </w:r>
      <w:r>
        <w:rPr>
          <w:rFonts w:hint="eastAsia" w:cs="宋体" w:asciiTheme="minorEastAsia" w:hAnsiTheme="minorEastAsia"/>
          <w:b/>
          <w:sz w:val="24"/>
          <w:lang w:val="zh-CN"/>
        </w:rPr>
        <w:t>、</w:t>
      </w:r>
      <w:r>
        <w:rPr>
          <w:rFonts w:hint="eastAsia" w:cs="宋体" w:asciiTheme="minorEastAsia" w:hAnsiTheme="minorEastAsia"/>
          <w:b/>
          <w:sz w:val="24"/>
        </w:rPr>
        <w:t>建设内容</w:t>
      </w:r>
    </w:p>
    <w:p>
      <w:pPr>
        <w:pStyle w:val="23"/>
        <w:ind w:firstLine="480" w:firstLineChars="200"/>
      </w:pPr>
      <w:bookmarkStart w:id="27" w:name="_Toc22824"/>
      <w:r>
        <w:t>本期</w:t>
      </w:r>
      <w:r>
        <w:rPr>
          <w:rFonts w:hint="eastAsia"/>
        </w:rPr>
        <w:t>项</w:t>
      </w:r>
      <w:r>
        <w:t>目建设以与</w:t>
      </w:r>
      <w:r>
        <w:rPr>
          <w:rFonts w:hint="eastAsia"/>
        </w:rPr>
        <w:t>西湖区</w:t>
      </w:r>
      <w:r>
        <w:t>一体化智治平台解耦为</w:t>
      </w:r>
      <w:r>
        <w:rPr>
          <w:rFonts w:hint="eastAsia"/>
        </w:rPr>
        <w:t>动作</w:t>
      </w:r>
      <w:r>
        <w:t>，加固系统底座，进行应用迭代升级，完善平台的结构完整性、稳定性，</w:t>
      </w:r>
      <w:r>
        <w:rPr>
          <w:rFonts w:hint="eastAsia"/>
        </w:rPr>
        <w:t>并深化拓展服务功能场景。平台整体设计满足“四横四纵”</w:t>
      </w:r>
      <w:r>
        <w:rPr>
          <w:rFonts w:hint="eastAsia"/>
          <w:lang w:val="en-US"/>
        </w:rPr>
        <w:t>架构</w:t>
      </w:r>
      <w:r>
        <w:rPr>
          <w:rFonts w:hint="eastAsia"/>
        </w:rPr>
        <w:t>体系，以“政务一朵云”作为平台部署及实现的基层设施支持，</w:t>
      </w:r>
      <w:r>
        <w:rPr>
          <w:rFonts w:hint="eastAsia"/>
          <w:lang w:val="en-US"/>
        </w:rPr>
        <w:t>在数据支撑及区中台支持的基础上，打造</w:t>
      </w:r>
      <w:r>
        <w:t>以业务应用为实际</w:t>
      </w:r>
      <w:r>
        <w:rPr>
          <w:rFonts w:hint="eastAsia"/>
          <w:lang w:val="en-US"/>
        </w:rPr>
        <w:t>功能建设</w:t>
      </w:r>
      <w:r>
        <w:t>的</w:t>
      </w:r>
      <w:r>
        <w:rPr>
          <w:rFonts w:hint="eastAsia"/>
          <w:lang w:val="en-US"/>
        </w:rPr>
        <w:t>综合性</w:t>
      </w:r>
      <w:r>
        <w:t>平台。</w:t>
      </w:r>
    </w:p>
    <w:p>
      <w:pPr>
        <w:adjustRightInd/>
        <w:spacing w:line="360" w:lineRule="auto"/>
        <w:rPr>
          <w:rFonts w:ascii="宋体" w:hAnsi="宋体" w:cs="宋体"/>
          <w:b/>
          <w:bCs/>
          <w:sz w:val="28"/>
          <w:szCs w:val="28"/>
        </w:rPr>
      </w:pPr>
      <w:r>
        <w:rPr>
          <w:rFonts w:hint="eastAsia" w:ascii="宋体" w:hAnsi="宋体" w:cs="宋体"/>
          <w:b/>
          <w:bCs/>
          <w:sz w:val="28"/>
          <w:szCs w:val="28"/>
        </w:rPr>
        <w:t>主要建设内容包括：</w:t>
      </w:r>
    </w:p>
    <w:p>
      <w:pPr>
        <w:keepNext/>
        <w:keepLines/>
        <w:numPr>
          <w:ilvl w:val="0"/>
          <w:numId w:val="3"/>
        </w:numPr>
        <w:adjustRightInd/>
        <w:spacing w:before="120" w:beforeLines="50" w:after="120" w:afterLines="50" w:line="360" w:lineRule="auto"/>
        <w:ind w:left="0" w:firstLine="0"/>
        <w:jc w:val="left"/>
        <w:outlineLvl w:val="1"/>
        <w:rPr>
          <w:rFonts w:ascii="宋体" w:hAnsi="宋体" w:cs="宋体"/>
          <w:b/>
          <w:bCs/>
          <w:sz w:val="30"/>
          <w:szCs w:val="32"/>
        </w:rPr>
      </w:pPr>
      <w:r>
        <w:rPr>
          <w:rFonts w:hint="eastAsia" w:ascii="宋体" w:hAnsi="宋体" w:cs="宋体"/>
          <w:b/>
          <w:bCs/>
          <w:sz w:val="30"/>
          <w:szCs w:val="32"/>
        </w:rPr>
        <w:t>西湖码综合信息系统（pc端）</w:t>
      </w:r>
    </w:p>
    <w:p>
      <w:pPr>
        <w:adjustRightInd/>
        <w:spacing w:before="120" w:beforeLines="50" w:after="120" w:afterLines="50" w:line="360" w:lineRule="auto"/>
        <w:ind w:firstLine="480" w:firstLineChars="200"/>
      </w:pPr>
      <w:r>
        <w:rPr>
          <w:rFonts w:hint="eastAsia" w:ascii="宋体" w:hAnsi="宋体" w:cs="宋体"/>
          <w:sz w:val="24"/>
          <w:szCs w:val="22"/>
        </w:rPr>
        <w:t>全新搭建独立的西湖码综合信息系统（PC端）作为西湖码统一管理服务平台。包括西湖码门户、事件管理、查询统计、审核审批、及控制管理台等功能模块，为西湖码的日常运行、统一管理提供强有力支撑。同时建设分析研判预测预警模块，辅助领导决策分析，进一步提升西湖码基层治理能力。</w:t>
      </w:r>
    </w:p>
    <w:p>
      <w:pPr>
        <w:adjustRightInd/>
        <w:spacing w:before="120" w:beforeLines="50" w:after="120" w:afterLines="50" w:line="360" w:lineRule="auto"/>
        <w:rPr>
          <w:rFonts w:ascii="宋体" w:hAnsi="宋体" w:cs="宋体"/>
          <w:sz w:val="24"/>
          <w:szCs w:val="22"/>
        </w:rPr>
      </w:pPr>
      <w:r>
        <w:rPr>
          <w:rFonts w:hint="eastAsia" w:ascii="宋体" w:hAnsi="宋体" w:cs="宋体"/>
          <w:sz w:val="24"/>
          <w:szCs w:val="22"/>
        </w:rPr>
        <w:t>建设详细需求如下：</w:t>
      </w:r>
    </w:p>
    <w:tbl>
      <w:tblPr>
        <w:tblStyle w:val="62"/>
        <w:tblW w:w="4996"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1580"/>
        <w:gridCol w:w="3193"/>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96" w:type="pct"/>
            <w:vMerge w:val="restar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建设任务</w:t>
            </w:r>
          </w:p>
        </w:tc>
        <w:tc>
          <w:tcPr>
            <w:tcW w:w="851" w:type="pct"/>
            <w:vMerge w:val="restar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模块</w:t>
            </w:r>
          </w:p>
        </w:tc>
        <w:tc>
          <w:tcPr>
            <w:tcW w:w="1720" w:type="pct"/>
            <w:vMerge w:val="restar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子模块</w:t>
            </w:r>
          </w:p>
        </w:tc>
        <w:tc>
          <w:tcPr>
            <w:tcW w:w="1431" w:type="pct"/>
            <w:vMerge w:val="restar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6" w:type="pct"/>
            <w:vMerge w:val="continue"/>
            <w:shd w:val="clear" w:color="auto" w:fill="DCE6F2" w:themeFill="accent1" w:themeFillTint="32"/>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DCE6F2" w:themeFill="accent1" w:themeFillTint="32"/>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DCE6F2" w:themeFill="accent1" w:themeFillTint="32"/>
            <w:vAlign w:val="center"/>
          </w:tcPr>
          <w:p>
            <w:pPr>
              <w:adjustRightInd/>
              <w:spacing w:before="120" w:beforeLines="50" w:after="120" w:afterLines="50"/>
              <w:jc w:val="center"/>
              <w:rPr>
                <w:rFonts w:ascii="宋体" w:hAnsi="宋体" w:cs="宋体"/>
                <w:color w:val="000000"/>
                <w:sz w:val="24"/>
                <w:szCs w:val="22"/>
              </w:rPr>
            </w:pPr>
          </w:p>
        </w:tc>
        <w:tc>
          <w:tcPr>
            <w:tcW w:w="1431" w:type="pct"/>
            <w:vMerge w:val="continue"/>
            <w:shd w:val="clear" w:color="auto" w:fill="DCE6F2" w:themeFill="accent1" w:themeFillTint="32"/>
            <w:vAlign w:val="center"/>
          </w:tcPr>
          <w:p>
            <w:pPr>
              <w:adjustRightInd/>
              <w:spacing w:before="120" w:beforeLines="50" w:after="120" w:afterLines="50"/>
              <w:jc w:val="center"/>
              <w:rPr>
                <w:rFonts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西湖码</w:t>
            </w:r>
            <w:r>
              <w:rPr>
                <w:rFonts w:hint="eastAsia" w:ascii="宋体" w:hAnsi="宋体" w:cs="宋体"/>
                <w:color w:val="000000"/>
                <w:sz w:val="24"/>
                <w:szCs w:val="22"/>
              </w:rPr>
              <w:br w:type="textWrapping"/>
            </w:r>
            <w:r>
              <w:rPr>
                <w:rFonts w:hint="eastAsia" w:ascii="宋体" w:hAnsi="宋体" w:cs="宋体"/>
                <w:color w:val="000000"/>
                <w:sz w:val="24"/>
                <w:szCs w:val="22"/>
              </w:rPr>
              <w:t>综合信息系统</w:t>
            </w:r>
            <w:r>
              <w:rPr>
                <w:rFonts w:hint="eastAsia" w:ascii="宋体" w:hAnsi="宋体" w:cs="宋体"/>
                <w:color w:val="000000"/>
                <w:sz w:val="24"/>
                <w:szCs w:val="22"/>
              </w:rPr>
              <w:br w:type="textWrapping"/>
            </w:r>
            <w:r>
              <w:rPr>
                <w:rFonts w:hint="eastAsia" w:ascii="宋体" w:hAnsi="宋体" w:cs="宋体"/>
                <w:color w:val="000000"/>
                <w:sz w:val="24"/>
                <w:szCs w:val="22"/>
              </w:rPr>
              <w:t>（PC端）</w:t>
            </w:r>
          </w:p>
        </w:tc>
        <w:tc>
          <w:tcPr>
            <w:tcW w:w="851"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西湖码门户</w:t>
            </w: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今日概览</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当日事件满意情况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当日事件处置情况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实时西湖码指数（升级）</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区级指数更新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镇街指数更新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上报事件趋势</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总体概览</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西湖码五率统计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各镇街五率对比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关注事件预警</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待办事件概况</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通知通报栏</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事件管理</w:t>
            </w: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全部事件</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一键快捷筛选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界面自定义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批量管理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事件分类</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问题件列表</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问题件类型排名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镇街问题件数量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问题件事件列表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不满意事件</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不满意事件情况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不满意事件列表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关注事件</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关注预警标签管理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关注事件确认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关注事件列表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督办事件</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新增督办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督办管理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督办详情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其他事件</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restart"/>
            <w:shd w:val="clear" w:color="auto" w:fill="FFFFFF"/>
            <w:vAlign w:val="center"/>
          </w:tcPr>
          <w:p>
            <w:pPr>
              <w:pStyle w:val="23"/>
              <w:jc w:val="center"/>
              <w:rPr>
                <w:lang w:val="en-US"/>
              </w:rPr>
            </w:pPr>
            <w:r>
              <w:rPr>
                <w:rFonts w:hint="eastAsia" w:ascii="宋体" w:hAnsi="宋体" w:cs="宋体"/>
                <w:color w:val="000000"/>
                <w:sz w:val="24"/>
                <w:szCs w:val="22"/>
              </w:rPr>
              <w:t>查询统计</w:t>
            </w:r>
          </w:p>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西湖码指数查询（升级）</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统计规则升级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新增核减版本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事件综合统计</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事件类型统计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事件来源统计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处置力量统计</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三支队伍分布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处置情况展示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处置力量管理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审核审批</w:t>
            </w: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问题件审核（升级）</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待审核清单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审核审批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不满意件审核</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其他件审核</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分析研判</w:t>
            </w:r>
            <w:r>
              <w:rPr>
                <w:rFonts w:hint="eastAsia" w:ascii="宋体" w:hAnsi="宋体" w:cs="宋体"/>
                <w:color w:val="000000"/>
                <w:sz w:val="24"/>
                <w:szCs w:val="22"/>
              </w:rPr>
              <w:br w:type="textWrapping"/>
            </w:r>
            <w:r>
              <w:rPr>
                <w:rFonts w:hint="eastAsia" w:ascii="宋体" w:hAnsi="宋体" w:cs="宋体"/>
                <w:color w:val="000000"/>
                <w:sz w:val="24"/>
                <w:szCs w:val="22"/>
              </w:rPr>
              <w:t>预测预警</w:t>
            </w: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重点指标分析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一图一指数数据模型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信访指数趋势分析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负面清单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访源治理分析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不稳定因素事件分析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不满意件分析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重复信访事项分析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重点人员分析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稳控人员预警模型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关注人员名单管理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重点人员分析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重点领域分析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西湖码事项聚类分析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信访事项聚类分析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事项判重分析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热点预测模型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热词分析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趋势预测分析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事项办理情况分析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民意形势分析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信访形式分析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民意形势热词分析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共同富裕分析</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共同富裕热词分析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共同富裕趋势分析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不稳定事项词库</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不稳定事项词库管理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工作要求管理</w:t>
            </w: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noWrap/>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noWrap/>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控制管理台</w:t>
            </w:r>
          </w:p>
        </w:tc>
        <w:tc>
          <w:tcPr>
            <w:tcW w:w="1720"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问题件类型设置（升级）</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群众评价标签</w:t>
            </w:r>
            <w:r>
              <w:rPr>
                <w:rFonts w:hint="eastAsia" w:ascii="宋体" w:hAnsi="宋体" w:cs="宋体"/>
                <w:color w:val="000000"/>
                <w:sz w:val="24"/>
                <w:szCs w:val="22"/>
                <w:lang w:eastAsia="zh-CN"/>
              </w:rPr>
              <w:t>配</w:t>
            </w:r>
            <w:r>
              <w:rPr>
                <w:rFonts w:hint="eastAsia" w:ascii="宋体" w:hAnsi="宋体" w:cs="宋体"/>
                <w:color w:val="000000"/>
                <w:sz w:val="24"/>
                <w:szCs w:val="22"/>
              </w:rPr>
              <w:t>置</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标签配置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标签列表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核减原则设置</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核减原则设置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核减项清单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通知公告</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公告分类管理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公告管理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导出事件（升级）</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事件个性化导出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导出记录管理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restar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组织用户</w:t>
            </w:r>
          </w:p>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角色管理</w:t>
            </w: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个人设置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851"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720" w:type="pct"/>
            <w:vMerge w:val="continue"/>
            <w:shd w:val="clear" w:color="auto" w:fill="FFFFFF"/>
            <w:vAlign w:val="center"/>
          </w:tcPr>
          <w:p>
            <w:pPr>
              <w:adjustRightInd/>
              <w:spacing w:before="120" w:beforeLines="50" w:after="120" w:afterLines="50"/>
              <w:jc w:val="center"/>
              <w:rPr>
                <w:rFonts w:ascii="宋体" w:hAnsi="宋体" w:cs="宋体"/>
                <w:color w:val="000000"/>
                <w:sz w:val="24"/>
                <w:szCs w:val="22"/>
              </w:rPr>
            </w:pPr>
          </w:p>
        </w:tc>
        <w:tc>
          <w:tcPr>
            <w:tcW w:w="1431" w:type="pct"/>
            <w:shd w:val="clear" w:color="auto" w:fill="FFFFFF"/>
            <w:vAlign w:val="center"/>
          </w:tcPr>
          <w:p>
            <w:pPr>
              <w:adjustRightInd/>
              <w:spacing w:before="120" w:beforeLines="50" w:after="120" w:afterLines="50"/>
              <w:jc w:val="center"/>
              <w:rPr>
                <w:rFonts w:ascii="宋体" w:hAnsi="宋体" w:cs="宋体"/>
                <w:color w:val="000000"/>
                <w:sz w:val="24"/>
                <w:szCs w:val="22"/>
              </w:rPr>
            </w:pPr>
            <w:r>
              <w:rPr>
                <w:rFonts w:hint="eastAsia" w:ascii="宋体" w:hAnsi="宋体" w:cs="宋体"/>
                <w:color w:val="000000"/>
                <w:sz w:val="24"/>
                <w:szCs w:val="22"/>
              </w:rPr>
              <w:t>系统设置</w:t>
            </w:r>
          </w:p>
        </w:tc>
      </w:tr>
    </w:tbl>
    <w:p>
      <w:pPr>
        <w:autoSpaceDE w:val="0"/>
        <w:autoSpaceDN w:val="0"/>
        <w:spacing w:line="360" w:lineRule="auto"/>
        <w:rPr>
          <w:rFonts w:ascii="宋体" w:hAnsi="宋体" w:cs="宋体"/>
          <w:kern w:val="0"/>
          <w:sz w:val="24"/>
          <w:szCs w:val="21"/>
        </w:rPr>
      </w:pP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西湖码门户</w:t>
      </w:r>
    </w:p>
    <w:p>
      <w:pPr>
        <w:pStyle w:val="23"/>
        <w:ind w:firstLine="420"/>
        <w:rPr>
          <w:lang w:val="en-US"/>
        </w:rPr>
      </w:pPr>
      <w:r>
        <w:rPr>
          <w:rFonts w:hint="eastAsia"/>
          <w:lang w:val="en-US"/>
        </w:rPr>
        <w:t>呈现西湖码统一门户，提取最高频使用和每日最关心的指标情况进行展示。包括今日概览、实时西湖码指数、上报事件趋势、总体概览、关注事件预警、待办事件概况及通知通报栏。今日概览对当日事件满意情况及当日事件处置情况进行整体呈现；实时西湖码指数（升级）对区级及镇街西湖码指数升级为实时，每日可自动更新展示；上报事件趋势可视化呈现所有镇街的上报事件数量；总体概览包括对西湖码五率的统计，与各镇街五率数据的对比；关注事件预警可根据标签设置，统计不同标签下关注事件预警情况；待办事件概况呈现当前用户的待办事件列表；通知通报栏可滚动查看最新通知通报列表。</w:t>
      </w: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事件管理</w:t>
      </w:r>
    </w:p>
    <w:p>
      <w:pPr>
        <w:pStyle w:val="23"/>
        <w:ind w:firstLine="480" w:firstLineChars="200"/>
        <w:rPr>
          <w:lang w:val="en-US"/>
        </w:rPr>
      </w:pPr>
      <w:r>
        <w:rPr>
          <w:rFonts w:hint="eastAsia"/>
          <w:lang w:val="en-US"/>
        </w:rPr>
        <w:t>针对全部事件、分类事件、问题件、不满意事件、关注事件、督办事件及其他事件等进行事件的归集与统一管理。</w:t>
      </w:r>
      <w:r>
        <w:rPr>
          <w:rFonts w:hint="eastAsia"/>
          <w:b/>
          <w:bCs/>
          <w:lang w:val="en-US"/>
        </w:rPr>
        <w:t>其中，对全部事件需要提供进行一键快捷筛选，</w:t>
      </w:r>
      <w:r>
        <w:rPr>
          <w:rFonts w:hint="eastAsia" w:hAnsi="宋体" w:cs="宋体"/>
          <w:b/>
          <w:bCs/>
          <w:kern w:val="0"/>
          <w:lang w:bidi="ar"/>
        </w:rPr>
        <w:t>可根据来源平台、事件状态、事件描述等条件综合筛选所需事件，</w:t>
      </w:r>
      <w:r>
        <w:rPr>
          <w:rFonts w:hint="eastAsia" w:hAnsi="宋体" w:cs="宋体"/>
          <w:b/>
          <w:bCs/>
          <w:kern w:val="0"/>
          <w:lang w:val="en-US" w:bidi="ar"/>
        </w:rPr>
        <w:t>同时</w:t>
      </w:r>
      <w:r>
        <w:rPr>
          <w:rFonts w:hint="eastAsia" w:hAnsi="宋体" w:cs="宋体"/>
          <w:b/>
          <w:bCs/>
          <w:kern w:val="0"/>
          <w:lang w:bidi="ar"/>
        </w:rPr>
        <w:t>保存筛选</w:t>
      </w:r>
      <w:r>
        <w:rPr>
          <w:rFonts w:hint="eastAsia" w:hAnsi="宋体" w:cs="宋体"/>
          <w:b/>
          <w:bCs/>
          <w:kern w:val="0"/>
          <w:lang w:val="en-US" w:bidi="ar"/>
        </w:rPr>
        <w:t>组合</w:t>
      </w:r>
      <w:r>
        <w:rPr>
          <w:rFonts w:hint="eastAsia" w:hAnsi="宋体" w:cs="宋体"/>
          <w:b/>
          <w:bCs/>
          <w:kern w:val="0"/>
          <w:lang w:bidi="ar"/>
        </w:rPr>
        <w:t>条件</w:t>
      </w:r>
      <w:r>
        <w:rPr>
          <w:rFonts w:hint="eastAsia" w:hAnsi="宋体" w:cs="宋体"/>
          <w:b/>
          <w:bCs/>
          <w:kern w:val="0"/>
          <w:lang w:val="en-US" w:bidi="ar"/>
        </w:rPr>
        <w:t>的</w:t>
      </w:r>
      <w:r>
        <w:rPr>
          <w:rFonts w:hint="eastAsia" w:hAnsi="宋体" w:cs="宋体"/>
          <w:b/>
          <w:bCs/>
          <w:kern w:val="0"/>
          <w:lang w:bidi="ar"/>
        </w:rPr>
        <w:t>设置</w:t>
      </w:r>
      <w:r>
        <w:rPr>
          <w:rFonts w:hint="eastAsia" w:hAnsi="宋体" w:cs="宋体"/>
          <w:b/>
          <w:bCs/>
          <w:kern w:val="0"/>
          <w:lang w:val="en-US" w:bidi="ar"/>
        </w:rPr>
        <w:t>并</w:t>
      </w:r>
      <w:r>
        <w:rPr>
          <w:rFonts w:hint="eastAsia" w:hAnsi="宋体" w:cs="宋体"/>
          <w:b/>
          <w:bCs/>
          <w:kern w:val="0"/>
          <w:lang w:bidi="ar"/>
        </w:rPr>
        <w:t>形成快捷筛选标签，</w:t>
      </w:r>
      <w:r>
        <w:rPr>
          <w:rFonts w:hint="eastAsia" w:hAnsi="宋体" w:cs="宋体"/>
          <w:b/>
          <w:bCs/>
          <w:kern w:val="0"/>
          <w:lang w:val="en-US" w:bidi="ar"/>
        </w:rPr>
        <w:t>后续可通过快捷筛选标签</w:t>
      </w:r>
      <w:r>
        <w:rPr>
          <w:rFonts w:hint="eastAsia" w:hAnsi="宋体" w:cs="宋体"/>
          <w:b/>
          <w:bCs/>
          <w:kern w:val="0"/>
          <w:lang w:bidi="ar"/>
        </w:rPr>
        <w:t>进行事件的一键筛选</w:t>
      </w:r>
      <w:r>
        <w:rPr>
          <w:rFonts w:hint="eastAsia" w:ascii="宋体" w:hAnsi="宋体" w:cs="宋体"/>
          <w:b/>
          <w:bCs/>
          <w:kern w:val="0"/>
          <w:sz w:val="24"/>
          <w:szCs w:val="21"/>
          <w:lang w:eastAsia="zh-CN"/>
        </w:rPr>
        <w:t>（提供演示）</w:t>
      </w:r>
      <w:r>
        <w:rPr>
          <w:rFonts w:hint="eastAsia" w:hAnsi="宋体" w:cs="宋体"/>
          <w:b/>
          <w:bCs/>
          <w:kern w:val="0"/>
          <w:lang w:bidi="ar"/>
        </w:rPr>
        <w:t>。</w:t>
      </w: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查询统计</w:t>
      </w:r>
    </w:p>
    <w:p>
      <w:pPr>
        <w:pStyle w:val="23"/>
        <w:ind w:firstLine="420"/>
        <w:rPr>
          <w:lang w:val="en-US"/>
        </w:rPr>
      </w:pPr>
      <w:r>
        <w:rPr>
          <w:rFonts w:hint="eastAsia"/>
          <w:lang w:val="en-US"/>
        </w:rPr>
        <w:t>提供针对西湖码指数，如事件类型、事件评价、事件来源等事件综合情况，及处置力量（三支队伍）的查询统计功能。</w:t>
      </w: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审核审批</w:t>
      </w:r>
    </w:p>
    <w:p>
      <w:pPr>
        <w:pStyle w:val="23"/>
        <w:ind w:firstLine="420"/>
        <w:rPr>
          <w:lang w:val="en-US"/>
        </w:rPr>
      </w:pPr>
      <w:r>
        <w:rPr>
          <w:rFonts w:hint="eastAsia"/>
          <w:lang w:val="en-US"/>
        </w:rPr>
        <w:t>提供对问题件、不满意件及其他件的审核审批功能。</w:t>
      </w: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分析研判预测预警</w:t>
      </w:r>
    </w:p>
    <w:p>
      <w:pPr>
        <w:pStyle w:val="24"/>
        <w:rPr>
          <w:rFonts w:hint="eastAsia"/>
          <w:lang w:val="en-US"/>
        </w:rPr>
      </w:pPr>
      <w:r>
        <w:rPr>
          <w:rFonts w:hint="eastAsia"/>
          <w:lang w:val="en-US"/>
        </w:rPr>
        <w:t>包括对重点指标、访源治理、重点人员、重点领域、民意形势、共同富裕等专题的分析模型与相关预测预警，及对不稳定事项词库和工作要求的管理功能。</w:t>
      </w:r>
    </w:p>
    <w:p>
      <w:pPr>
        <w:pStyle w:val="24"/>
        <w:rPr>
          <w:lang w:val="en-US"/>
        </w:rPr>
      </w:pPr>
      <w:r>
        <w:rPr>
          <w:rFonts w:hint="eastAsia"/>
          <w:lang w:val="en-US"/>
        </w:rPr>
        <w:t>重点指标分析构建信访工作五色图模型，同时依据时间轴等维度对信访指数进行多维度分析，并根据考核要求对于相关扣分项进行分析，形成负面清单。</w:t>
      </w:r>
    </w:p>
    <w:p>
      <w:pPr>
        <w:pStyle w:val="24"/>
        <w:rPr>
          <w:lang w:val="en-US"/>
        </w:rPr>
      </w:pPr>
      <w:r>
        <w:rPr>
          <w:rFonts w:hint="eastAsia"/>
          <w:lang w:val="en-US"/>
        </w:rPr>
        <w:t>访源治理分析包括不稳定因素事件分析、不满意件分析及重复信访事项分析，全面分析群众诉求变化，为矛盾化解提供决策依据。</w:t>
      </w:r>
    </w:p>
    <w:p>
      <w:pPr>
        <w:pStyle w:val="24"/>
        <w:rPr>
          <w:lang w:val="en-US"/>
        </w:rPr>
      </w:pPr>
      <w:r>
        <w:rPr>
          <w:rFonts w:hint="eastAsia"/>
          <w:lang w:val="en-US"/>
        </w:rPr>
        <w:t>重点人员分析包括稳控人员预警模型、关注人员名单管理，并综合形成重点人员分析，形成对人员全面精准的数据支撑。</w:t>
      </w:r>
    </w:p>
    <w:p>
      <w:pPr>
        <w:pStyle w:val="24"/>
        <w:rPr>
          <w:lang w:val="en-US"/>
        </w:rPr>
      </w:pPr>
      <w:r>
        <w:rPr>
          <w:rFonts w:hint="eastAsia"/>
          <w:lang w:val="en-US"/>
        </w:rPr>
        <w:t>重点领域分析包括西湖码事项聚类分析、信访事项聚类分析、事项判重分析、热点预测模型、热词分析、趋势预测分析、事项办理情况分析。</w:t>
      </w:r>
    </w:p>
    <w:p>
      <w:pPr>
        <w:pStyle w:val="24"/>
        <w:rPr>
          <w:lang w:val="en-US"/>
        </w:rPr>
      </w:pPr>
      <w:r>
        <w:rPr>
          <w:rFonts w:hint="eastAsia"/>
          <w:lang w:val="en-US"/>
        </w:rPr>
        <w:t>民意形势分析包括信访形式分析及民意形势热词分析。</w:t>
      </w:r>
    </w:p>
    <w:p>
      <w:pPr>
        <w:pStyle w:val="24"/>
        <w:rPr>
          <w:lang w:val="en-US"/>
        </w:rPr>
      </w:pPr>
      <w:r>
        <w:rPr>
          <w:rFonts w:hint="eastAsia"/>
          <w:lang w:val="en-US"/>
        </w:rPr>
        <w:t>共同富裕分析包括共同富裕热词分析及共同富裕趋势分析。</w:t>
      </w:r>
    </w:p>
    <w:p>
      <w:pPr>
        <w:pStyle w:val="23"/>
        <w:ind w:firstLine="420"/>
        <w:rPr>
          <w:lang w:val="en-US"/>
        </w:rPr>
      </w:pPr>
      <w:r>
        <w:rPr>
          <w:rFonts w:hint="eastAsia"/>
          <w:lang w:val="en-US"/>
        </w:rPr>
        <w:t>不稳定事项词库中对不稳定事项词库进行管理。工作要求管理中包括数据服务及数据上传，对工作要求进行管理，构建西湖区工作力指数。</w:t>
      </w:r>
    </w:p>
    <w:p>
      <w:pPr>
        <w:numPr>
          <w:ilvl w:val="0"/>
          <w:numId w:val="4"/>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控制管理台</w:t>
      </w:r>
    </w:p>
    <w:p>
      <w:pPr>
        <w:pStyle w:val="23"/>
        <w:ind w:firstLine="420"/>
        <w:rPr>
          <w:lang w:val="en-US"/>
        </w:rPr>
      </w:pPr>
      <w:r>
        <w:rPr>
          <w:rFonts w:hint="eastAsia"/>
          <w:lang w:val="en-US"/>
        </w:rPr>
        <w:t>包括问题件类型设置、核减原则设置和群众评价标签的配置功能，以及通知公告、事件导出及组织用户角色管理功能。</w:t>
      </w:r>
      <w:r>
        <w:rPr>
          <w:rFonts w:hint="eastAsia"/>
          <w:b/>
          <w:bCs/>
          <w:lang w:val="en-US"/>
        </w:rPr>
        <w:t>其中，核减原则配置功能需要</w:t>
      </w:r>
      <w:r>
        <w:rPr>
          <w:rFonts w:hint="eastAsia" w:hAnsi="宋体" w:cs="宋体"/>
          <w:b/>
          <w:bCs/>
          <w:kern w:val="0"/>
          <w:lang w:bidi="ar"/>
        </w:rPr>
        <w:t>对核减（项）原则进行配置和管理，对核减项状态进行禁用/启用；同时可查看已设置的核减项清单，</w:t>
      </w:r>
      <w:r>
        <w:rPr>
          <w:rFonts w:hint="eastAsia" w:hAnsi="宋体" w:cs="宋体"/>
          <w:b/>
          <w:bCs/>
          <w:kern w:val="0"/>
          <w:lang w:val="en-US" w:bidi="ar"/>
        </w:rPr>
        <w:t>并</w:t>
      </w:r>
      <w:r>
        <w:rPr>
          <w:rFonts w:hint="eastAsia" w:hAnsi="宋体" w:cs="宋体"/>
          <w:b/>
          <w:bCs/>
          <w:kern w:val="0"/>
          <w:lang w:bidi="ar"/>
        </w:rPr>
        <w:t>根据核减项简称或原则内容等对核减项进行搜索，查看核减项详情和最后修改时间</w:t>
      </w:r>
      <w:r>
        <w:rPr>
          <w:rFonts w:hint="eastAsia" w:ascii="宋体" w:hAnsi="宋体" w:cs="宋体"/>
          <w:b/>
          <w:bCs/>
          <w:kern w:val="0"/>
          <w:sz w:val="24"/>
          <w:szCs w:val="21"/>
        </w:rPr>
        <w:t>（提供演示）</w:t>
      </w:r>
      <w:r>
        <w:rPr>
          <w:rFonts w:hint="eastAsia" w:hAnsi="宋体" w:cs="宋体"/>
          <w:b/>
          <w:bCs/>
          <w:kern w:val="0"/>
          <w:lang w:bidi="ar"/>
        </w:rPr>
        <w:t>。</w:t>
      </w: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西湖码公众入口升级（移动端）</w:t>
      </w:r>
    </w:p>
    <w:p>
      <w:pPr>
        <w:autoSpaceDE w:val="0"/>
        <w:autoSpaceDN w:val="0"/>
        <w:spacing w:line="360" w:lineRule="auto"/>
        <w:ind w:firstLine="480" w:firstLineChars="200"/>
        <w:rPr>
          <w:rFonts w:ascii="宋体" w:hAnsi="宋体" w:cs="宋体"/>
          <w:kern w:val="0"/>
          <w:sz w:val="24"/>
          <w:szCs w:val="21"/>
        </w:rPr>
      </w:pPr>
      <w:r>
        <w:rPr>
          <w:rFonts w:hint="eastAsia" w:ascii="宋体" w:hAnsi="宋体" w:cs="宋体"/>
          <w:kern w:val="0"/>
          <w:sz w:val="24"/>
          <w:szCs w:val="21"/>
        </w:rPr>
        <w:t>新增西湖码支付宝小程序版本，拓宽公众入口渠道，上线亚运专栏等功能模块。在法律咨询、亚运服务等多个方面，进一步提升西湖码公共服务效能。</w:t>
      </w:r>
    </w:p>
    <w:p>
      <w:pPr>
        <w:autoSpaceDE w:val="0"/>
        <w:autoSpaceDN w:val="0"/>
        <w:spacing w:line="360" w:lineRule="auto"/>
        <w:rPr>
          <w:rFonts w:ascii="宋体" w:hAnsi="宋体" w:cs="宋体"/>
          <w:kern w:val="0"/>
          <w:sz w:val="24"/>
          <w:szCs w:val="21"/>
        </w:rPr>
      </w:pPr>
      <w:r>
        <w:rPr>
          <w:rFonts w:hint="eastAsia" w:ascii="宋体" w:hAnsi="宋体" w:cs="宋体"/>
          <w:kern w:val="0"/>
          <w:sz w:val="24"/>
          <w:szCs w:val="21"/>
        </w:rPr>
        <w:t>建设详细需求如下：</w:t>
      </w:r>
    </w:p>
    <w:tbl>
      <w:tblPr>
        <w:tblStyle w:val="62"/>
        <w:tblW w:w="4996" w:type="pct"/>
        <w:jc w:val="center"/>
        <w:tblDescription w:val="{&quot;styleId&quot;:2}"/>
        <w:tblLayout w:type="autofit"/>
        <w:tblCellMar>
          <w:top w:w="0" w:type="dxa"/>
          <w:left w:w="108" w:type="dxa"/>
          <w:bottom w:w="0" w:type="dxa"/>
          <w:right w:w="108" w:type="dxa"/>
        </w:tblCellMar>
      </w:tblPr>
      <w:tblGrid>
        <w:gridCol w:w="2428"/>
        <w:gridCol w:w="2419"/>
        <w:gridCol w:w="2833"/>
        <w:gridCol w:w="1599"/>
      </w:tblGrid>
      <w:tr>
        <w:tblPrEx>
          <w:tblCellMar>
            <w:top w:w="0" w:type="dxa"/>
            <w:left w:w="108" w:type="dxa"/>
            <w:bottom w:w="0" w:type="dxa"/>
            <w:right w:w="108" w:type="dxa"/>
          </w:tblCellMar>
        </w:tblPrEx>
        <w:trPr>
          <w:jc w:val="center"/>
        </w:trPr>
        <w:tc>
          <w:tcPr>
            <w:tcW w:w="1308"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建设任务</w:t>
            </w:r>
          </w:p>
        </w:tc>
        <w:tc>
          <w:tcPr>
            <w:tcW w:w="1303"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模块</w:t>
            </w:r>
          </w:p>
        </w:tc>
        <w:tc>
          <w:tcPr>
            <w:tcW w:w="1526"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子模块</w:t>
            </w:r>
          </w:p>
        </w:tc>
        <w:tc>
          <w:tcPr>
            <w:tcW w:w="861"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子项</w:t>
            </w:r>
          </w:p>
        </w:tc>
      </w:tr>
      <w:tr>
        <w:tblPrEx>
          <w:tblCellMar>
            <w:top w:w="0" w:type="dxa"/>
            <w:left w:w="108" w:type="dxa"/>
            <w:bottom w:w="0" w:type="dxa"/>
            <w:right w:w="108" w:type="dxa"/>
          </w:tblCellMar>
        </w:tblPrEx>
        <w:trPr>
          <w:jc w:val="center"/>
        </w:trPr>
        <w:tc>
          <w:tcPr>
            <w:tcW w:w="130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西湖码</w:t>
            </w:r>
            <w:r>
              <w:rPr>
                <w:rFonts w:hint="eastAsia" w:ascii="宋体" w:hAnsi="宋体" w:cs="宋体"/>
                <w:b/>
                <w:bCs/>
                <w:kern w:val="0"/>
                <w:sz w:val="24"/>
                <w:lang w:bidi="ar"/>
              </w:rPr>
              <w:br w:type="textWrapping"/>
            </w:r>
            <w:r>
              <w:rPr>
                <w:rFonts w:hint="eastAsia" w:ascii="宋体" w:hAnsi="宋体" w:cs="宋体"/>
                <w:b/>
                <w:bCs/>
                <w:kern w:val="0"/>
                <w:sz w:val="24"/>
                <w:lang w:bidi="ar"/>
              </w:rPr>
              <w:t>公众端</w:t>
            </w:r>
            <w:r>
              <w:rPr>
                <w:rFonts w:hint="eastAsia" w:ascii="宋体" w:hAnsi="宋体" w:cs="宋体"/>
                <w:b/>
                <w:bCs/>
                <w:kern w:val="0"/>
                <w:sz w:val="24"/>
                <w:lang w:bidi="ar"/>
              </w:rPr>
              <w:br w:type="textWrapping"/>
            </w:r>
            <w:r>
              <w:rPr>
                <w:rFonts w:hint="eastAsia" w:ascii="宋体" w:hAnsi="宋体" w:cs="宋体"/>
                <w:b/>
                <w:bCs/>
                <w:kern w:val="0"/>
                <w:sz w:val="24"/>
                <w:lang w:bidi="ar"/>
              </w:rPr>
              <w:t>（移动端）</w:t>
            </w:r>
          </w:p>
        </w:tc>
        <w:tc>
          <w:tcPr>
            <w:tcW w:w="130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微信版本</w:t>
            </w:r>
            <w:r>
              <w:rPr>
                <w:rFonts w:hint="eastAsia" w:ascii="宋体" w:hAnsi="宋体" w:cs="宋体"/>
                <w:kern w:val="0"/>
                <w:sz w:val="24"/>
                <w:lang w:bidi="ar"/>
              </w:rPr>
              <w:br w:type="textWrapping"/>
            </w:r>
            <w:r>
              <w:rPr>
                <w:rFonts w:hint="eastAsia" w:ascii="宋体" w:hAnsi="宋体" w:cs="宋体"/>
                <w:kern w:val="0"/>
                <w:sz w:val="24"/>
                <w:lang w:bidi="ar"/>
              </w:rPr>
              <w:t>升级</w:t>
            </w:r>
          </w:p>
        </w:tc>
        <w:tc>
          <w:tcPr>
            <w:tcW w:w="15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界面改版</w:t>
            </w: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引导动效</w:t>
            </w: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亚运专栏</w:t>
            </w: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支付宝版本</w:t>
            </w:r>
            <w:r>
              <w:rPr>
                <w:rFonts w:hint="eastAsia" w:ascii="宋体" w:hAnsi="宋体" w:cs="宋体"/>
                <w:kern w:val="0"/>
                <w:sz w:val="24"/>
                <w:lang w:bidi="ar"/>
              </w:rPr>
              <w:br w:type="textWrapping"/>
            </w:r>
            <w:r>
              <w:rPr>
                <w:rFonts w:hint="eastAsia" w:ascii="宋体" w:hAnsi="宋体" w:cs="宋体"/>
                <w:kern w:val="0"/>
                <w:sz w:val="24"/>
                <w:lang w:bidi="ar"/>
              </w:rPr>
              <w:t>新增</w:t>
            </w:r>
          </w:p>
        </w:tc>
        <w:tc>
          <w:tcPr>
            <w:tcW w:w="152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旧版功能开发</w:t>
            </w: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我要报</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我要帮</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助企业</w:t>
            </w:r>
          </w:p>
        </w:tc>
      </w:tr>
      <w:tr>
        <w:tblPrEx>
          <w:tblCellMar>
            <w:top w:w="0" w:type="dxa"/>
            <w:left w:w="108" w:type="dxa"/>
            <w:bottom w:w="0" w:type="dxa"/>
            <w:right w:w="108" w:type="dxa"/>
          </w:tblCellMar>
        </w:tblPrEx>
        <w:trPr>
          <w:trHeight w:val="90" w:hRule="atLeast"/>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助基层</w:t>
            </w:r>
          </w:p>
        </w:tc>
      </w:tr>
      <w:tr>
        <w:tblPrEx>
          <w:tblCellMar>
            <w:top w:w="0" w:type="dxa"/>
            <w:left w:w="108" w:type="dxa"/>
            <w:bottom w:w="0" w:type="dxa"/>
            <w:right w:w="108" w:type="dxa"/>
          </w:tblCellMar>
        </w:tblPrEx>
        <w:trPr>
          <w:jc w:val="center"/>
        </w:trPr>
        <w:tc>
          <w:tcPr>
            <w:tcW w:w="130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 w:val="24"/>
              </w:rPr>
            </w:pPr>
          </w:p>
        </w:tc>
        <w:tc>
          <w:tcPr>
            <w:tcW w:w="130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rPr>
            </w:pPr>
          </w:p>
        </w:tc>
        <w:tc>
          <w:tcPr>
            <w:tcW w:w="15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新增功能迭代</w:t>
            </w:r>
          </w:p>
        </w:tc>
        <w:tc>
          <w:tcPr>
            <w:tcW w:w="8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lang w:bidi="ar"/>
              </w:rPr>
              <w:t>/</w:t>
            </w:r>
          </w:p>
        </w:tc>
      </w:tr>
    </w:tbl>
    <w:p>
      <w:pPr>
        <w:pStyle w:val="23"/>
      </w:pPr>
    </w:p>
    <w:p>
      <w:pPr>
        <w:numPr>
          <w:ilvl w:val="0"/>
          <w:numId w:val="5"/>
        </w:numPr>
        <w:autoSpaceDE w:val="0"/>
        <w:autoSpaceDN w:val="0"/>
        <w:spacing w:line="360" w:lineRule="auto"/>
        <w:rPr>
          <w:rFonts w:ascii="宋体" w:hAnsi="宋体" w:cs="宋体"/>
          <w:kern w:val="0"/>
          <w:sz w:val="24"/>
          <w:szCs w:val="21"/>
        </w:rPr>
      </w:pPr>
      <w:r>
        <w:rPr>
          <w:rFonts w:hint="eastAsia" w:ascii="宋体" w:hAnsi="宋体" w:cs="宋体"/>
          <w:kern w:val="0"/>
          <w:sz w:val="24"/>
          <w:szCs w:val="21"/>
        </w:rPr>
        <w:t>微信版本升级</w:t>
      </w:r>
    </w:p>
    <w:p>
      <w:pPr>
        <w:pStyle w:val="23"/>
        <w:ind w:firstLine="420"/>
        <w:rPr>
          <w:lang w:val="en-US"/>
        </w:rPr>
      </w:pPr>
      <w:r>
        <w:rPr>
          <w:rFonts w:hint="eastAsia"/>
          <w:lang w:val="en-US"/>
        </w:rPr>
        <w:t>针对西湖码公众端微信旧版进行升级，包括界面改版，引导动效及亚运专栏。</w:t>
      </w:r>
    </w:p>
    <w:p>
      <w:pPr>
        <w:pStyle w:val="23"/>
        <w:numPr>
          <w:ilvl w:val="0"/>
          <w:numId w:val="5"/>
        </w:numPr>
        <w:rPr>
          <w:lang w:val="en-US"/>
        </w:rPr>
      </w:pPr>
      <w:r>
        <w:rPr>
          <w:rFonts w:hint="eastAsia"/>
          <w:lang w:val="en-US"/>
        </w:rPr>
        <w:t>支付宝版本新增</w:t>
      </w:r>
    </w:p>
    <w:p>
      <w:pPr>
        <w:pStyle w:val="24"/>
        <w:rPr>
          <w:lang w:val="en-US"/>
        </w:rPr>
      </w:pPr>
      <w:r>
        <w:rPr>
          <w:rFonts w:hint="eastAsia"/>
          <w:lang w:val="en-US"/>
        </w:rPr>
        <w:t>针对西湖码公众端开发支付宝小程序版本，对旧版已有功能进行开发同时迭代新增功能。我要报实现群众诉求表达的一键快捷上报；我要帮提供群众咨询求助的一键报送；助企业链接企业平台，提供企业服务入口；助基层对接基层平台，提供基层相关问题的提交。</w:t>
      </w: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西湖码驾驶舱（PC端）</w:t>
      </w:r>
    </w:p>
    <w:p>
      <w:pPr>
        <w:autoSpaceDE w:val="0"/>
        <w:autoSpaceDN w:val="0"/>
        <w:spacing w:line="360" w:lineRule="auto"/>
        <w:ind w:firstLine="480" w:firstLineChars="200"/>
        <w:rPr>
          <w:rFonts w:ascii="宋体" w:hAnsi="宋体" w:cs="宋体"/>
          <w:kern w:val="0"/>
          <w:sz w:val="24"/>
          <w:szCs w:val="21"/>
          <w:lang w:val="zh-CN"/>
        </w:rPr>
      </w:pPr>
      <w:r>
        <w:rPr>
          <w:rFonts w:hint="eastAsia" w:ascii="宋体" w:hAnsi="宋体" w:cs="宋体"/>
          <w:kern w:val="0"/>
          <w:sz w:val="24"/>
          <w:szCs w:val="21"/>
          <w:lang w:val="zh-CN"/>
        </w:rPr>
        <w:t>建设西湖码专题大屏，将西湖码整体运行情况、数据统计等进行可视化呈现，实现更好的运行监测、一屏总览，并提供有效的数据支持及决策参考依据。包括西湖码运行总览大屏，及对分析研判</w:t>
      </w:r>
      <w:r>
        <w:rPr>
          <w:rFonts w:hint="eastAsia" w:ascii="宋体" w:hAnsi="宋体" w:cs="宋体"/>
          <w:kern w:val="0"/>
          <w:sz w:val="24"/>
          <w:szCs w:val="21"/>
        </w:rPr>
        <w:t>预测预警</w:t>
      </w:r>
      <w:r>
        <w:rPr>
          <w:rFonts w:hint="eastAsia" w:ascii="宋体" w:hAnsi="宋体" w:cs="宋体"/>
          <w:kern w:val="0"/>
          <w:sz w:val="24"/>
          <w:szCs w:val="21"/>
          <w:lang w:val="zh-CN"/>
        </w:rPr>
        <w:t>结果进行多维度、可视</w:t>
      </w:r>
      <w:r>
        <w:rPr>
          <w:rFonts w:hint="eastAsia" w:ascii="宋体" w:hAnsi="宋体" w:cs="宋体"/>
          <w:kern w:val="0"/>
          <w:sz w:val="24"/>
          <w:szCs w:val="21"/>
        </w:rPr>
        <w:t>化</w:t>
      </w:r>
      <w:r>
        <w:rPr>
          <w:rFonts w:hint="eastAsia" w:ascii="宋体" w:hAnsi="宋体" w:cs="宋体"/>
          <w:kern w:val="0"/>
          <w:sz w:val="24"/>
          <w:szCs w:val="21"/>
          <w:lang w:val="zh-CN"/>
        </w:rPr>
        <w:t>呈现的</w:t>
      </w:r>
      <w:r>
        <w:rPr>
          <w:rFonts w:hint="eastAsia" w:ascii="宋体" w:hAnsi="宋体" w:cs="宋体"/>
          <w:kern w:val="0"/>
          <w:sz w:val="24"/>
          <w:szCs w:val="21"/>
        </w:rPr>
        <w:t>分析研判</w:t>
      </w:r>
      <w:r>
        <w:rPr>
          <w:rFonts w:hint="eastAsia" w:ascii="宋体" w:hAnsi="宋体" w:cs="宋体"/>
          <w:kern w:val="0"/>
          <w:sz w:val="24"/>
          <w:szCs w:val="21"/>
          <w:lang w:val="zh-CN"/>
        </w:rPr>
        <w:t>专题屏。</w:t>
      </w:r>
    </w:p>
    <w:p>
      <w:pPr>
        <w:autoSpaceDE w:val="0"/>
        <w:autoSpaceDN w:val="0"/>
        <w:spacing w:line="360" w:lineRule="auto"/>
        <w:rPr>
          <w:rFonts w:ascii="宋体" w:hAnsi="宋体" w:cs="宋体"/>
          <w:kern w:val="0"/>
          <w:sz w:val="24"/>
          <w:szCs w:val="21"/>
        </w:rPr>
      </w:pPr>
      <w:r>
        <w:rPr>
          <w:rFonts w:hint="eastAsia" w:ascii="宋体" w:hAnsi="宋体" w:cs="宋体"/>
          <w:kern w:val="0"/>
          <w:sz w:val="24"/>
          <w:szCs w:val="21"/>
        </w:rPr>
        <w:t>建设详细需求如下：</w:t>
      </w:r>
    </w:p>
    <w:tbl>
      <w:tblPr>
        <w:tblStyle w:val="62"/>
        <w:tblW w:w="4998"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8"/>
        <w:gridCol w:w="1961"/>
        <w:gridCol w:w="3274"/>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建设任务</w:t>
            </w:r>
          </w:p>
        </w:tc>
        <w:tc>
          <w:tcPr>
            <w:tcW w:w="1056" w:type="pct"/>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模块</w:t>
            </w:r>
          </w:p>
        </w:tc>
        <w:tc>
          <w:tcPr>
            <w:tcW w:w="1763" w:type="pct"/>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子模块</w:t>
            </w:r>
          </w:p>
        </w:tc>
        <w:tc>
          <w:tcPr>
            <w:tcW w:w="1233" w:type="pct"/>
            <w:shd w:val="clear" w:color="auto" w:fill="DCE6F2" w:themeFill="accent1" w:themeFillTint="32"/>
            <w:vAlign w:val="center"/>
          </w:tcPr>
          <w:p>
            <w:pPr>
              <w:adjustRightInd/>
              <w:spacing w:before="120" w:beforeLines="50" w:after="120" w:afterLines="50"/>
              <w:jc w:val="center"/>
              <w:rPr>
                <w:rFonts w:ascii="宋体" w:hAnsi="宋体" w:cs="宋体"/>
                <w:b/>
                <w:bCs/>
                <w:sz w:val="24"/>
                <w:szCs w:val="22"/>
              </w:rPr>
            </w:pPr>
            <w:r>
              <w:rPr>
                <w:rFonts w:hint="eastAsia" w:ascii="宋体" w:hAnsi="宋体" w:cs="宋体"/>
                <w:b/>
                <w:bCs/>
                <w:sz w:val="24"/>
                <w:szCs w:val="22"/>
              </w:rPr>
              <w:t>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restart"/>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西湖码</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驾驶舱</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（PC端）</w:t>
            </w:r>
          </w:p>
        </w:tc>
        <w:tc>
          <w:tcPr>
            <w:tcW w:w="1056" w:type="pct"/>
            <w:vMerge w:val="restart"/>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西湖码专题</w:t>
            </w:r>
            <w:r>
              <w:rPr>
                <w:rFonts w:hint="eastAsia" w:ascii="宋体" w:hAnsi="宋体" w:cs="宋体"/>
                <w:color w:val="000000"/>
                <w:kern w:val="0"/>
                <w:sz w:val="24"/>
                <w:lang w:eastAsia="zh-CN" w:bidi="ar"/>
              </w:rPr>
              <w:t>大屏</w:t>
            </w: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今日事件概况</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全区地图动效</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全区地图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镇街数据</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滚动效果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镇街打通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西湖码应用对外展示</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事件类型top5</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关注事件预警</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事件列表下钻</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事件详情下钻</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上报事件趋势</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队伍力量</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市区贯通</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事件评价</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评价标签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分析研判</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专题展示</w:t>
            </w: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分析研判主页</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整体概况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综合五色图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重点情况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风险预警台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信访工作五色图专题</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信访指数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负面清单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工作指数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重点领域专题</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重点领域展示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条件配置功能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访源治理专题</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restar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重点人员画像</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vMerge w:val="continue"/>
            <w:shd w:val="clear" w:color="auto" w:fill="auto"/>
            <w:vAlign w:val="center"/>
          </w:tcPr>
          <w:p>
            <w:pPr>
              <w:jc w:val="center"/>
              <w:rPr>
                <w:rFonts w:ascii="宋体" w:hAnsi="宋体" w:cs="宋体"/>
                <w:color w:val="000000"/>
                <w:sz w:val="24"/>
              </w:rPr>
            </w:pP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信访行为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民意形势专题</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pct"/>
            <w:vMerge w:val="continue"/>
            <w:shd w:val="clear" w:color="auto" w:fill="auto"/>
            <w:vAlign w:val="center"/>
          </w:tcPr>
          <w:p>
            <w:pPr>
              <w:jc w:val="center"/>
              <w:rPr>
                <w:rFonts w:ascii="宋体" w:hAnsi="宋体" w:cs="宋体"/>
                <w:b/>
                <w:bCs/>
                <w:color w:val="000000"/>
                <w:sz w:val="24"/>
              </w:rPr>
            </w:pPr>
          </w:p>
        </w:tc>
        <w:tc>
          <w:tcPr>
            <w:tcW w:w="1056" w:type="pct"/>
            <w:vMerge w:val="continue"/>
            <w:shd w:val="clear" w:color="auto" w:fill="auto"/>
            <w:vAlign w:val="center"/>
          </w:tcPr>
          <w:p>
            <w:pPr>
              <w:jc w:val="center"/>
              <w:rPr>
                <w:rFonts w:ascii="宋体" w:hAnsi="宋体" w:cs="宋体"/>
                <w:color w:val="000000"/>
                <w:sz w:val="24"/>
              </w:rPr>
            </w:pPr>
          </w:p>
        </w:tc>
        <w:tc>
          <w:tcPr>
            <w:tcW w:w="176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共同富裕专题</w:t>
            </w:r>
          </w:p>
        </w:tc>
        <w:tc>
          <w:tcPr>
            <w:tcW w:w="1233" w:type="pct"/>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bl>
    <w:p>
      <w:pPr>
        <w:adjustRightInd/>
        <w:spacing w:after="120"/>
        <w:rPr>
          <w:rFonts w:ascii="宋体" w:hAnsi="宋体" w:cs="宋体"/>
          <w:kern w:val="0"/>
        </w:rPr>
      </w:pPr>
    </w:p>
    <w:p>
      <w:pPr>
        <w:autoSpaceDE w:val="0"/>
        <w:autoSpaceDN w:val="0"/>
        <w:spacing w:line="360" w:lineRule="auto"/>
        <w:rPr>
          <w:rFonts w:hint="eastAsia" w:ascii="宋体" w:hAnsi="宋体" w:eastAsia="宋体" w:cs="宋体"/>
          <w:kern w:val="0"/>
          <w:sz w:val="24"/>
          <w:szCs w:val="21"/>
          <w:lang w:eastAsia="zh-CN"/>
        </w:rPr>
      </w:pPr>
      <w:r>
        <w:rPr>
          <w:rFonts w:hint="eastAsia" w:ascii="宋体" w:hAnsi="宋体" w:cs="宋体"/>
          <w:kern w:val="0"/>
          <w:sz w:val="24"/>
          <w:szCs w:val="21"/>
        </w:rPr>
        <w:t>1）</w:t>
      </w:r>
      <w:r>
        <w:rPr>
          <w:rFonts w:hint="eastAsia" w:ascii="宋体" w:hAnsi="宋体" w:cs="宋体"/>
          <w:b/>
          <w:bCs/>
          <w:kern w:val="0"/>
          <w:sz w:val="24"/>
          <w:szCs w:val="21"/>
        </w:rPr>
        <w:t>西湖码专题</w:t>
      </w:r>
      <w:r>
        <w:rPr>
          <w:rFonts w:hint="eastAsia" w:ascii="宋体" w:hAnsi="宋体" w:cs="宋体"/>
          <w:b/>
          <w:bCs/>
          <w:kern w:val="0"/>
          <w:sz w:val="24"/>
          <w:szCs w:val="21"/>
          <w:lang w:eastAsia="zh-CN"/>
        </w:rPr>
        <w:t>大屏（提供演示）</w:t>
      </w:r>
    </w:p>
    <w:p>
      <w:pPr>
        <w:autoSpaceDE w:val="0"/>
        <w:autoSpaceDN w:val="0"/>
        <w:spacing w:line="360" w:lineRule="auto"/>
        <w:ind w:firstLine="480" w:firstLineChars="200"/>
        <w:rPr>
          <w:rFonts w:ascii="宋体" w:hAnsi="宋体" w:cs="宋体"/>
          <w:kern w:val="0"/>
          <w:sz w:val="24"/>
          <w:szCs w:val="21"/>
        </w:rPr>
      </w:pPr>
      <w:r>
        <w:rPr>
          <w:rFonts w:hint="eastAsia" w:ascii="宋体" w:hAnsi="宋体" w:cs="宋体"/>
          <w:kern w:val="0"/>
          <w:sz w:val="24"/>
          <w:szCs w:val="21"/>
        </w:rPr>
        <w:t>建设西湖码驾驶舱西湖码专题，对西湖码运行情况进行一屏展示。包括今日事件概况、全区地图动效、西湖码应用对外展示、事件类型top5、关注事件预警、事件列表下钻、事件详情下钻、上报事件趋势、队伍力量、市区贯通、事件评价等。在全区地图动效当中，可以看到西湖全区地图并查看各镇街的指标数据；有关事件类的指标可点击下钻查看对应的事件列表和事件详情；在事件评价中可以查看事件的评价情况及评价标签。</w:t>
      </w:r>
    </w:p>
    <w:p>
      <w:pPr>
        <w:autoSpaceDE w:val="0"/>
        <w:autoSpaceDN w:val="0"/>
        <w:spacing w:line="360" w:lineRule="auto"/>
        <w:rPr>
          <w:rFonts w:ascii="宋体" w:hAnsi="宋体" w:cs="宋体"/>
          <w:kern w:val="0"/>
          <w:sz w:val="24"/>
          <w:szCs w:val="21"/>
        </w:rPr>
      </w:pPr>
      <w:r>
        <w:rPr>
          <w:rFonts w:hint="eastAsia" w:ascii="宋体" w:hAnsi="宋体" w:cs="宋体"/>
          <w:kern w:val="0"/>
          <w:sz w:val="24"/>
          <w:szCs w:val="21"/>
        </w:rPr>
        <w:t>2）分析研判专题展示</w:t>
      </w:r>
    </w:p>
    <w:p>
      <w:pPr>
        <w:pStyle w:val="23"/>
        <w:ind w:firstLine="420"/>
        <w:rPr>
          <w:rFonts w:hint="eastAsia" w:ascii="宋体" w:hAnsi="宋体" w:cs="宋体"/>
          <w:kern w:val="0"/>
          <w:sz w:val="24"/>
          <w:szCs w:val="21"/>
        </w:rPr>
      </w:pPr>
      <w:r>
        <w:rPr>
          <w:rFonts w:hint="eastAsia" w:ascii="宋体" w:hAnsi="宋体" w:cs="宋体"/>
          <w:kern w:val="0"/>
          <w:sz w:val="24"/>
          <w:szCs w:val="21"/>
        </w:rPr>
        <w:t>基于分析研判预测预警结果，通过驾驶舱可视化直观展示相关情况。包括分析研判主页，信访工作五色图专题、重点领域专题、访源治理专题、重点人员画像、民意形势专题及共同富裕专题。</w:t>
      </w:r>
    </w:p>
    <w:p>
      <w:pPr>
        <w:pStyle w:val="23"/>
        <w:ind w:firstLine="420"/>
        <w:rPr>
          <w:rFonts w:hAnsi="宋体" w:cs="宋体"/>
          <w:kern w:val="0"/>
          <w:lang w:val="en-US"/>
        </w:rPr>
      </w:pPr>
      <w:r>
        <w:rPr>
          <w:rFonts w:hint="eastAsia" w:hAnsi="宋体" w:cs="宋体"/>
          <w:kern w:val="0"/>
          <w:lang w:val="en-US"/>
        </w:rPr>
        <w:t>分析研判主页包括整体概况、综合五色图、重点情况及风险预警台，对分析研判的主要内容进行综合可视化呈现；</w:t>
      </w:r>
    </w:p>
    <w:p>
      <w:pPr>
        <w:pStyle w:val="24"/>
        <w:rPr>
          <w:rFonts w:hAnsi="宋体" w:cs="宋体"/>
          <w:kern w:val="0"/>
          <w:szCs w:val="21"/>
          <w:lang w:val="en-US"/>
        </w:rPr>
      </w:pPr>
      <w:r>
        <w:rPr>
          <w:rFonts w:hint="eastAsia" w:hAnsi="宋体" w:cs="宋体"/>
          <w:kern w:val="0"/>
          <w:szCs w:val="21"/>
          <w:lang w:val="en-US"/>
        </w:rPr>
        <w:t>信访工作五色图专题包括对信访指数、负面清单及工作指数的可视化呈现，可直观了解信访工作情况；</w:t>
      </w:r>
    </w:p>
    <w:p>
      <w:pPr>
        <w:pStyle w:val="24"/>
        <w:rPr>
          <w:rFonts w:hAnsi="宋体" w:cs="宋体"/>
          <w:kern w:val="0"/>
          <w:szCs w:val="21"/>
          <w:lang w:val="en-US"/>
        </w:rPr>
      </w:pPr>
      <w:r>
        <w:rPr>
          <w:rFonts w:hint="eastAsia" w:hAnsi="宋体" w:cs="宋体"/>
          <w:kern w:val="0"/>
          <w:szCs w:val="21"/>
          <w:lang w:val="en-US"/>
        </w:rPr>
        <w:t>重点领域专题包括重点领域展示，对重点领域的突出问题、热点预测、办理情况等进行分析展示，同时提供条件配置功能，相关数据可按照条件设置更新；</w:t>
      </w:r>
    </w:p>
    <w:p>
      <w:pPr>
        <w:pStyle w:val="24"/>
        <w:rPr>
          <w:rFonts w:hAnsi="宋体" w:cs="宋体"/>
          <w:kern w:val="0"/>
          <w:szCs w:val="21"/>
          <w:lang w:val="en-US"/>
        </w:rPr>
      </w:pPr>
      <w:r>
        <w:rPr>
          <w:rFonts w:hint="eastAsia" w:hAnsi="宋体" w:cs="宋体"/>
          <w:kern w:val="0"/>
          <w:szCs w:val="21"/>
          <w:lang w:val="en-US"/>
        </w:rPr>
        <w:t>访源治理专题基于分析研判结果展示西湖区重复信访事项、不稳定因素、不满意件分析等内容，为相关决策提供数据支撑；</w:t>
      </w:r>
    </w:p>
    <w:p>
      <w:pPr>
        <w:pStyle w:val="24"/>
        <w:rPr>
          <w:rFonts w:hAnsi="宋体" w:cs="宋体"/>
          <w:kern w:val="0"/>
          <w:szCs w:val="21"/>
          <w:lang w:val="en-US"/>
        </w:rPr>
      </w:pPr>
      <w:r>
        <w:rPr>
          <w:rFonts w:hint="eastAsia" w:hAnsi="宋体" w:cs="宋体"/>
          <w:kern w:val="0"/>
          <w:szCs w:val="21"/>
          <w:lang w:val="en-US"/>
        </w:rPr>
        <w:t>重点人员画像包括对重点人员情况及其信访行为的展示，为人员稳控提供支撑；</w:t>
      </w:r>
    </w:p>
    <w:p>
      <w:pPr>
        <w:pStyle w:val="24"/>
        <w:rPr>
          <w:rFonts w:hAnsi="宋体" w:cs="宋体"/>
          <w:kern w:val="0"/>
          <w:szCs w:val="21"/>
          <w:lang w:val="en-US"/>
        </w:rPr>
      </w:pPr>
      <w:r>
        <w:rPr>
          <w:rFonts w:hint="eastAsia" w:hAnsi="宋体" w:cs="宋体"/>
          <w:kern w:val="0"/>
          <w:szCs w:val="21"/>
          <w:lang w:val="en-US"/>
        </w:rPr>
        <w:t>民意形势专题</w:t>
      </w:r>
      <w:r>
        <w:rPr>
          <w:rFonts w:hint="eastAsia"/>
        </w:rPr>
        <w:t>对信访形式、受理趋势等进行展示，</w:t>
      </w:r>
      <w:r>
        <w:rPr>
          <w:rFonts w:hint="eastAsia"/>
          <w:lang w:val="en-US"/>
        </w:rPr>
        <w:t>便于及时掌握热点事项；</w:t>
      </w:r>
    </w:p>
    <w:p>
      <w:pPr>
        <w:autoSpaceDE w:val="0"/>
        <w:autoSpaceDN w:val="0"/>
        <w:spacing w:line="360" w:lineRule="auto"/>
        <w:ind w:firstLine="480" w:firstLineChars="200"/>
        <w:rPr>
          <w:rFonts w:hint="eastAsia" w:ascii="宋体" w:hAnsi="宋体" w:eastAsia="宋体" w:cs="宋体"/>
          <w:snapToGrid/>
          <w:kern w:val="0"/>
          <w:sz w:val="24"/>
          <w:szCs w:val="21"/>
          <w:lang w:val="en-US" w:eastAsia="zh-CN" w:bidi="ar-SA"/>
        </w:rPr>
      </w:pPr>
      <w:r>
        <w:rPr>
          <w:rFonts w:hint="eastAsia" w:ascii="宋体" w:hAnsi="宋体" w:eastAsia="宋体" w:cs="宋体"/>
          <w:snapToGrid/>
          <w:kern w:val="0"/>
          <w:sz w:val="24"/>
          <w:szCs w:val="21"/>
          <w:lang w:val="en-US" w:eastAsia="zh-CN" w:bidi="ar-SA"/>
        </w:rPr>
        <w:t>共同富裕专题通过图表直观展示西湖区营商环境、涉企投诉等情况。</w:t>
      </w: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抗原检测（支付宝版）</w:t>
      </w:r>
    </w:p>
    <w:p>
      <w:pPr>
        <w:autoSpaceDE w:val="0"/>
        <w:autoSpaceDN w:val="0"/>
        <w:spacing w:line="360" w:lineRule="auto"/>
        <w:ind w:firstLine="480" w:firstLineChars="200"/>
        <w:rPr>
          <w:rFonts w:ascii="宋体" w:hAnsi="宋体" w:cs="宋体"/>
          <w:kern w:val="0"/>
          <w:sz w:val="24"/>
          <w:szCs w:val="21"/>
        </w:rPr>
      </w:pPr>
      <w:r>
        <w:rPr>
          <w:rFonts w:hint="eastAsia" w:ascii="宋体" w:hAnsi="宋体" w:cs="宋体"/>
          <w:kern w:val="0"/>
          <w:sz w:val="24"/>
          <w:szCs w:val="21"/>
        </w:rPr>
        <w:t>在西湖码支付宝小程序端，提供新冠抗原试剂检测公众上传渠道，实现快速录入，随时可查。包括抗原上报、他人代办、结果查询、使用说明及问题解答等功能。</w:t>
      </w:r>
    </w:p>
    <w:p>
      <w:pPr>
        <w:autoSpaceDE w:val="0"/>
        <w:autoSpaceDN w:val="0"/>
        <w:spacing w:line="360" w:lineRule="auto"/>
        <w:rPr>
          <w:rFonts w:ascii="宋体" w:hAnsi="宋体" w:cs="宋体"/>
          <w:kern w:val="0"/>
          <w:sz w:val="24"/>
          <w:szCs w:val="21"/>
        </w:rPr>
      </w:pPr>
      <w:r>
        <w:rPr>
          <w:rFonts w:hint="eastAsia" w:ascii="宋体" w:hAnsi="宋体" w:cs="宋体"/>
          <w:kern w:val="0"/>
          <w:sz w:val="24"/>
          <w:szCs w:val="21"/>
        </w:rPr>
        <w:t>建设详细需求如下：</w:t>
      </w:r>
    </w:p>
    <w:tbl>
      <w:tblPr>
        <w:tblStyle w:val="62"/>
        <w:tblW w:w="4998"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5"/>
        <w:gridCol w:w="2476"/>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建设任务</w:t>
            </w:r>
          </w:p>
        </w:tc>
        <w:tc>
          <w:tcPr>
            <w:tcW w:w="1333"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模块</w:t>
            </w:r>
          </w:p>
        </w:tc>
        <w:tc>
          <w:tcPr>
            <w:tcW w:w="1869"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restart"/>
            <w:shd w:val="clear" w:color="auto" w:fill="FFFFFF"/>
            <w:vAlign w:val="center"/>
          </w:tcPr>
          <w:p>
            <w:pPr>
              <w:widowControl/>
              <w:jc w:val="center"/>
              <w:textAlignment w:val="center"/>
              <w:rPr>
                <w:rFonts w:ascii="宋体" w:hAnsi="宋体" w:cs="宋体"/>
                <w:b/>
                <w:bCs/>
                <w:color w:val="000000"/>
                <w:kern w:val="0"/>
                <w:sz w:val="24"/>
                <w:lang w:bidi="ar"/>
              </w:rPr>
            </w:pPr>
          </w:p>
          <w:p>
            <w:pPr>
              <w:widowControl/>
              <w:jc w:val="center"/>
              <w:textAlignment w:val="center"/>
              <w:rPr>
                <w:rFonts w:ascii="宋体" w:hAnsi="宋体" w:cs="宋体"/>
                <w:b/>
                <w:bCs/>
                <w:color w:val="000000"/>
                <w:kern w:val="0"/>
                <w:sz w:val="24"/>
                <w:lang w:bidi="ar"/>
              </w:rPr>
            </w:pPr>
          </w:p>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抗原检测</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（支付宝版）</w:t>
            </w:r>
          </w:p>
        </w:tc>
        <w:tc>
          <w:tcPr>
            <w:tcW w:w="1333"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抗原检测</w:t>
            </w: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绑定信息</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自动获取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continue"/>
            <w:shd w:val="clear" w:color="auto" w:fill="FFFFFF"/>
            <w:vAlign w:val="center"/>
          </w:tcPr>
          <w:p>
            <w:pPr>
              <w:jc w:val="center"/>
              <w:rPr>
                <w:rFonts w:ascii="宋体" w:hAnsi="宋体" w:cs="宋体"/>
                <w:color w:val="000000"/>
                <w:sz w:val="24"/>
              </w:rPr>
            </w:pP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检测结果上报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continue"/>
            <w:shd w:val="clear" w:color="auto" w:fill="FFFFFF"/>
            <w:vAlign w:val="center"/>
          </w:tcPr>
          <w:p>
            <w:pPr>
              <w:jc w:val="center"/>
              <w:rPr>
                <w:rFonts w:ascii="宋体" w:hAnsi="宋体" w:cs="宋体"/>
                <w:color w:val="000000"/>
                <w:sz w:val="24"/>
              </w:rPr>
            </w:pP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上传验证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家人代办</w:t>
            </w: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结果查询</w:t>
            </w: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本人抗原查询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continue"/>
            <w:shd w:val="clear" w:color="auto" w:fill="FFFFFF"/>
            <w:vAlign w:val="center"/>
          </w:tcPr>
          <w:p>
            <w:pPr>
              <w:jc w:val="center"/>
              <w:rPr>
                <w:rFonts w:ascii="宋体" w:hAnsi="宋体" w:cs="宋体"/>
                <w:color w:val="000000"/>
                <w:sz w:val="24"/>
              </w:rPr>
            </w:pP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他人抗原查询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使用帮助</w:t>
            </w: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6" w:type="pct"/>
            <w:vMerge w:val="continue"/>
            <w:shd w:val="clear" w:color="auto" w:fill="FFFFFF"/>
            <w:vAlign w:val="center"/>
          </w:tcPr>
          <w:p>
            <w:pPr>
              <w:jc w:val="center"/>
              <w:rPr>
                <w:rFonts w:ascii="宋体" w:hAnsi="宋体" w:cs="宋体"/>
                <w:b/>
                <w:bCs/>
                <w:color w:val="000000"/>
                <w:sz w:val="24"/>
              </w:rPr>
            </w:pPr>
          </w:p>
        </w:tc>
        <w:tc>
          <w:tcPr>
            <w:tcW w:w="1333" w:type="pct"/>
            <w:vMerge w:val="continue"/>
            <w:shd w:val="clear" w:color="auto" w:fill="FFFFFF"/>
            <w:vAlign w:val="center"/>
          </w:tcPr>
          <w:p>
            <w:pPr>
              <w:jc w:val="center"/>
              <w:rPr>
                <w:rFonts w:ascii="宋体" w:hAnsi="宋体" w:cs="宋体"/>
                <w:color w:val="000000"/>
                <w:sz w:val="24"/>
              </w:rPr>
            </w:pPr>
          </w:p>
        </w:tc>
        <w:tc>
          <w:tcPr>
            <w:tcW w:w="186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抗原问答</w:t>
            </w:r>
          </w:p>
        </w:tc>
      </w:tr>
    </w:tbl>
    <w:p>
      <w:pPr>
        <w:adjustRightInd/>
        <w:spacing w:line="360" w:lineRule="auto"/>
        <w:rPr>
          <w:rFonts w:ascii="宋体" w:hAnsi="宋体" w:cs="宋体"/>
          <w:sz w:val="24"/>
        </w:rPr>
      </w:pPr>
    </w:p>
    <w:p>
      <w:pPr>
        <w:numPr>
          <w:ilvl w:val="0"/>
          <w:numId w:val="6"/>
        </w:numPr>
        <w:adjustRightInd/>
        <w:spacing w:line="360" w:lineRule="auto"/>
        <w:rPr>
          <w:rFonts w:ascii="宋体" w:hAnsi="宋体" w:cs="宋体"/>
          <w:sz w:val="24"/>
        </w:rPr>
      </w:pPr>
      <w:r>
        <w:rPr>
          <w:rFonts w:hint="eastAsia" w:ascii="宋体" w:hAnsi="宋体" w:cs="宋体"/>
          <w:sz w:val="24"/>
        </w:rPr>
        <w:t>抗原检测</w:t>
      </w:r>
    </w:p>
    <w:p>
      <w:pPr>
        <w:pStyle w:val="23"/>
        <w:ind w:firstLine="420"/>
        <w:rPr>
          <w:lang w:val="en-US"/>
        </w:rPr>
      </w:pPr>
      <w:r>
        <w:rPr>
          <w:rFonts w:hint="eastAsia"/>
          <w:lang w:val="en-US"/>
        </w:rPr>
        <w:t>提供本人抗原检测结果的上报功能，并进行上传验证。</w:t>
      </w:r>
    </w:p>
    <w:p>
      <w:pPr>
        <w:numPr>
          <w:ilvl w:val="0"/>
          <w:numId w:val="6"/>
        </w:numPr>
        <w:adjustRightInd/>
        <w:spacing w:line="360" w:lineRule="auto"/>
        <w:rPr>
          <w:rFonts w:ascii="宋体" w:hAnsi="宋体" w:cs="宋体"/>
          <w:sz w:val="24"/>
        </w:rPr>
      </w:pPr>
      <w:r>
        <w:rPr>
          <w:rFonts w:hint="eastAsia" w:ascii="宋体" w:hAnsi="宋体" w:cs="宋体"/>
          <w:sz w:val="24"/>
        </w:rPr>
        <w:t>家人代办</w:t>
      </w:r>
    </w:p>
    <w:p>
      <w:pPr>
        <w:pStyle w:val="23"/>
        <w:ind w:firstLine="420"/>
        <w:rPr>
          <w:lang w:val="en-US"/>
        </w:rPr>
      </w:pPr>
      <w:r>
        <w:rPr>
          <w:rFonts w:hint="eastAsia"/>
          <w:lang w:val="en-US"/>
        </w:rPr>
        <w:t>提供抗原检测结果的家人代办上报功能。</w:t>
      </w:r>
    </w:p>
    <w:p>
      <w:pPr>
        <w:numPr>
          <w:ilvl w:val="0"/>
          <w:numId w:val="6"/>
        </w:numPr>
        <w:adjustRightInd/>
        <w:spacing w:line="360" w:lineRule="auto"/>
        <w:rPr>
          <w:rFonts w:ascii="宋体" w:hAnsi="宋体" w:cs="宋体"/>
          <w:sz w:val="24"/>
        </w:rPr>
      </w:pPr>
      <w:r>
        <w:rPr>
          <w:rFonts w:hint="eastAsia" w:ascii="宋体" w:hAnsi="宋体" w:cs="宋体"/>
          <w:sz w:val="24"/>
        </w:rPr>
        <w:t>结果查询</w:t>
      </w:r>
    </w:p>
    <w:p>
      <w:pPr>
        <w:pStyle w:val="23"/>
        <w:ind w:firstLine="420"/>
        <w:rPr>
          <w:lang w:val="en-US"/>
        </w:rPr>
      </w:pPr>
      <w:r>
        <w:rPr>
          <w:rFonts w:hint="eastAsia"/>
          <w:lang w:val="en-US"/>
        </w:rPr>
        <w:t>提供针对本人及他人抗原结果的查询功能。</w:t>
      </w:r>
    </w:p>
    <w:p>
      <w:pPr>
        <w:numPr>
          <w:ilvl w:val="0"/>
          <w:numId w:val="6"/>
        </w:numPr>
        <w:adjustRightInd/>
        <w:spacing w:line="360" w:lineRule="auto"/>
        <w:rPr>
          <w:rFonts w:ascii="宋体" w:hAnsi="宋体" w:cs="宋体"/>
          <w:sz w:val="24"/>
        </w:rPr>
      </w:pPr>
      <w:r>
        <w:rPr>
          <w:rFonts w:hint="eastAsia" w:ascii="宋体" w:hAnsi="宋体" w:cs="宋体"/>
          <w:sz w:val="24"/>
        </w:rPr>
        <w:t>使用帮助</w:t>
      </w:r>
    </w:p>
    <w:p>
      <w:pPr>
        <w:pStyle w:val="23"/>
        <w:ind w:firstLine="420"/>
        <w:rPr>
          <w:lang w:val="en-US"/>
        </w:rPr>
      </w:pPr>
      <w:r>
        <w:rPr>
          <w:rFonts w:hint="eastAsia"/>
          <w:lang w:val="en-US"/>
        </w:rPr>
        <w:t>包括抗原操作手册及相关问答功能，提供使用帮助。</w:t>
      </w: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七张问题清单应用场景</w:t>
      </w:r>
    </w:p>
    <w:p>
      <w:pPr>
        <w:adjustRightInd/>
        <w:spacing w:line="360" w:lineRule="auto"/>
        <w:ind w:firstLine="420"/>
        <w:rPr>
          <w:rFonts w:ascii="宋体" w:hAnsi="宋体" w:cs="宋体"/>
          <w:sz w:val="24"/>
        </w:rPr>
      </w:pPr>
      <w:r>
        <w:rPr>
          <w:rFonts w:hint="eastAsia" w:ascii="宋体" w:hAnsi="宋体" w:cs="宋体"/>
          <w:sz w:val="24"/>
        </w:rPr>
        <w:t>构建西湖区“七张问题清单”应用场景，囊括了重大巡视问题、重大督察问题、重大审计问题、重大安全问题，重大生态环保，重大网络舆情、重大信访等问题。通过智能分析打标进行数据智能归集，辅助七大清单主管部门进行问题的主动发现，并及时对发现的问题进行派发处理，形成问题闭环管理。</w:t>
      </w:r>
    </w:p>
    <w:p>
      <w:pPr>
        <w:pStyle w:val="23"/>
        <w:rPr>
          <w:rFonts w:hAnsi="宋体" w:cs="宋体"/>
          <w:lang w:val="en-US"/>
        </w:rPr>
      </w:pPr>
      <w:r>
        <w:rPr>
          <w:rFonts w:hint="eastAsia" w:hAnsi="宋体" w:cs="宋体"/>
          <w:lang w:val="en-US"/>
        </w:rPr>
        <w:t>建设详细需求如下：</w:t>
      </w:r>
    </w:p>
    <w:tbl>
      <w:tblPr>
        <w:tblStyle w:val="62"/>
        <w:tblW w:w="4996"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1779"/>
        <w:gridCol w:w="2674"/>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建设任务</w:t>
            </w:r>
          </w:p>
        </w:tc>
        <w:tc>
          <w:tcPr>
            <w:tcW w:w="958"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模块</w:t>
            </w:r>
          </w:p>
        </w:tc>
        <w:tc>
          <w:tcPr>
            <w:tcW w:w="1440"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子模块</w:t>
            </w:r>
          </w:p>
        </w:tc>
        <w:tc>
          <w:tcPr>
            <w:tcW w:w="1843"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szCs w:val="22"/>
              </w:rPr>
            </w:pPr>
            <w:r>
              <w:rPr>
                <w:rFonts w:hint="eastAsia" w:ascii="宋体" w:hAnsi="宋体" w:cs="宋体"/>
                <w:b/>
                <w:bCs/>
                <w:color w:val="000000"/>
                <w:sz w:val="24"/>
                <w:szCs w:val="22"/>
              </w:rPr>
              <w:t>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restart"/>
            <w:shd w:val="clear" w:color="auto" w:fill="FFFFFF"/>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西湖区</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“七张问题清单”</w:t>
            </w:r>
            <w:r>
              <w:rPr>
                <w:rFonts w:hint="eastAsia" w:ascii="宋体" w:hAnsi="宋体" w:cs="宋体"/>
                <w:b/>
                <w:bCs/>
                <w:color w:val="000000"/>
                <w:kern w:val="0"/>
                <w:sz w:val="24"/>
                <w:lang w:bidi="ar"/>
              </w:rPr>
              <w:br w:type="textWrapping"/>
            </w:r>
            <w:r>
              <w:rPr>
                <w:rFonts w:hint="eastAsia" w:ascii="宋体" w:hAnsi="宋体" w:cs="宋体"/>
                <w:b/>
                <w:bCs/>
                <w:color w:val="000000"/>
                <w:kern w:val="0"/>
                <w:sz w:val="24"/>
                <w:lang w:bidi="ar"/>
              </w:rPr>
              <w:t>应用建设场景</w:t>
            </w:r>
          </w:p>
        </w:tc>
        <w:tc>
          <w:tcPr>
            <w:tcW w:w="958"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“七张问题清单”总览</w:t>
            </w: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量化评价场景建设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部门量化评价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西湖区管控力指数星级评价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量化评价成绩分析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月度晾晒场景建设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月度晾晒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数据管理工作台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问题总览场景建设</w:t>
            </w:r>
          </w:p>
        </w:tc>
        <w:tc>
          <w:tcPr>
            <w:tcW w:w="1843"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省市级牵头问题总览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区级清单问题总览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“双榜”展示场景建设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省级、市级、区级双榜展示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问题发现场景建设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整改完成率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全量问题库问题数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区级问题库问题数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省市级清单库问题数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主动发现问题被省市采纳数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数据管理工作台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过程管控场景建设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省市清单过程管控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督查通报场景建设</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督查通报信息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数据管理工作台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restart"/>
            <w:shd w:val="clear" w:color="auto" w:fill="FFFFFF"/>
            <w:vAlign w:val="center"/>
          </w:tcPr>
          <w:p>
            <w:pPr>
              <w:jc w:val="center"/>
              <w:rPr>
                <w:rFonts w:ascii="宋体" w:hAnsi="宋体" w:cs="宋体"/>
                <w:color w:val="000000"/>
                <w:sz w:val="24"/>
                <w:lang w:val="en-US"/>
              </w:rPr>
            </w:pPr>
            <w:r>
              <w:rPr>
                <w:rFonts w:hint="eastAsia" w:ascii="宋体" w:hAnsi="宋体" w:cs="宋体"/>
                <w:color w:val="000000"/>
                <w:sz w:val="24"/>
              </w:rPr>
              <w:t>西湖区主动发现问题情况总览</w:t>
            </w:r>
          </w:p>
          <w:p>
            <w:pPr>
              <w:jc w:val="center"/>
              <w:rPr>
                <w:rFonts w:ascii="宋体" w:hAnsi="宋体" w:cs="宋体"/>
                <w:color w:val="000000"/>
                <w:sz w:val="24"/>
              </w:rPr>
            </w:pPr>
          </w:p>
          <w:p>
            <w:pPr>
              <w:pStyle w:val="23"/>
              <w:ind w:firstLine="420"/>
              <w:rPr>
                <w:lang w:val="en-US"/>
              </w:rPr>
            </w:pPr>
          </w:p>
          <w:p>
            <w:pPr>
              <w:widowControl/>
              <w:jc w:val="center"/>
              <w:textAlignment w:val="center"/>
              <w:rPr>
                <w:rFonts w:ascii="宋体" w:hAnsi="宋体" w:cs="宋体"/>
                <w:color w:val="000000"/>
                <w:sz w:val="24"/>
              </w:rPr>
            </w:pPr>
          </w:p>
        </w:tc>
        <w:tc>
          <w:tcPr>
            <w:tcW w:w="1440" w:type="pct"/>
            <w:vMerge w:val="restart"/>
            <w:shd w:val="clear" w:color="auto" w:fill="FFFFFF"/>
            <w:vAlign w:val="center"/>
          </w:tcPr>
          <w:p>
            <w:pPr>
              <w:jc w:val="center"/>
              <w:rPr>
                <w:rFonts w:ascii="宋体" w:hAnsi="宋体" w:cs="宋体"/>
                <w:color w:val="000000"/>
                <w:sz w:val="24"/>
              </w:rPr>
            </w:pPr>
            <w:r>
              <w:rPr>
                <w:rFonts w:hint="eastAsia" w:ascii="宋体" w:hAnsi="宋体" w:cs="宋体"/>
                <w:color w:val="000000"/>
                <w:sz w:val="24"/>
                <w:lang w:val="en-US"/>
              </w:rPr>
              <w:t>西湖区领域问题分析</w:t>
            </w: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西湖区主动发现问题情况总览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巡视领域情况总览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审计领域情况总览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督查领域情况总览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生态环保领域情况总览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安全生产领域情况总览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网络舆情领域情况总览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信访领域情况总览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主管部门派单工作台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问题反馈管理工作台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部门签收工作台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widowControl/>
              <w:jc w:val="center"/>
              <w:textAlignment w:val="center"/>
              <w:rPr>
                <w:rFonts w:ascii="宋体" w:hAnsi="宋体" w:cs="宋体"/>
                <w:color w:val="000000"/>
                <w:sz w:val="24"/>
              </w:rPr>
            </w:pPr>
          </w:p>
        </w:tc>
        <w:tc>
          <w:tcPr>
            <w:tcW w:w="1440" w:type="pct"/>
            <w:vMerge w:val="restart"/>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sz w:val="24"/>
              </w:rPr>
              <w:t>智能分析辅助打标</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巡察业务标签模型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督查业务标签模型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生态业务标签模型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审计业务标签模型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安全生产业务标签模型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舆情业务标签模型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智能分析词库功能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智能分析在线打标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智能分析模型训练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智能分析热词分析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widowControl/>
              <w:jc w:val="center"/>
              <w:textAlignment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主管部门标签管理工作台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标签复核工作台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其他内容</w:t>
            </w:r>
          </w:p>
        </w:tc>
        <w:tc>
          <w:tcPr>
            <w:tcW w:w="1440"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与省七张问题清单系统</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业务数据接口对接</w:t>
            </w:r>
          </w:p>
        </w:tc>
        <w:tc>
          <w:tcPr>
            <w:tcW w:w="184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与省七张问题清单系统</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指标数据对接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pct"/>
            <w:vMerge w:val="continue"/>
            <w:shd w:val="clear" w:color="auto" w:fill="FFFFFF"/>
            <w:vAlign w:val="center"/>
          </w:tcPr>
          <w:p>
            <w:pPr>
              <w:jc w:val="center"/>
              <w:rPr>
                <w:rFonts w:ascii="宋体" w:hAnsi="宋体" w:cs="宋体"/>
                <w:b/>
                <w:bCs/>
                <w:color w:val="000000"/>
                <w:sz w:val="24"/>
              </w:rPr>
            </w:pPr>
          </w:p>
        </w:tc>
        <w:tc>
          <w:tcPr>
            <w:tcW w:w="958" w:type="pct"/>
            <w:vMerge w:val="continue"/>
            <w:shd w:val="clear" w:color="auto" w:fill="FFFFFF"/>
            <w:vAlign w:val="center"/>
          </w:tcPr>
          <w:p>
            <w:pPr>
              <w:jc w:val="center"/>
              <w:rPr>
                <w:rFonts w:ascii="宋体" w:hAnsi="宋体" w:cs="宋体"/>
                <w:color w:val="000000"/>
                <w:sz w:val="24"/>
              </w:rPr>
            </w:pPr>
          </w:p>
        </w:tc>
        <w:tc>
          <w:tcPr>
            <w:tcW w:w="1440" w:type="pct"/>
            <w:vMerge w:val="continue"/>
            <w:shd w:val="clear" w:color="auto" w:fill="FFFFFF"/>
            <w:vAlign w:val="center"/>
          </w:tcPr>
          <w:p>
            <w:pPr>
              <w:jc w:val="center"/>
              <w:rPr>
                <w:rFonts w:ascii="宋体" w:hAnsi="宋体" w:cs="宋体"/>
                <w:color w:val="000000"/>
                <w:sz w:val="24"/>
              </w:rPr>
            </w:pPr>
          </w:p>
        </w:tc>
        <w:tc>
          <w:tcPr>
            <w:tcW w:w="1843" w:type="pct"/>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与省七张问题清单系统</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全量问题库数据对接</w:t>
            </w:r>
          </w:p>
        </w:tc>
      </w:tr>
    </w:tbl>
    <w:p>
      <w:pPr>
        <w:pStyle w:val="24"/>
        <w:ind w:firstLine="0"/>
        <w:rPr>
          <w:lang w:val="en-US"/>
        </w:rPr>
      </w:pPr>
    </w:p>
    <w:p>
      <w:pPr>
        <w:numPr>
          <w:ilvl w:val="0"/>
          <w:numId w:val="7"/>
        </w:numPr>
        <w:adjustRightInd/>
        <w:spacing w:line="360" w:lineRule="auto"/>
        <w:rPr>
          <w:rFonts w:ascii="宋体" w:hAnsi="宋体" w:cs="宋体"/>
          <w:sz w:val="24"/>
        </w:rPr>
      </w:pPr>
      <w:r>
        <w:rPr>
          <w:rFonts w:hint="eastAsia" w:ascii="宋体" w:hAnsi="宋体" w:cs="宋体"/>
          <w:sz w:val="24"/>
        </w:rPr>
        <w:t>西湖区“七张问题清单”总览</w:t>
      </w:r>
    </w:p>
    <w:p>
      <w:pPr>
        <w:pStyle w:val="24"/>
        <w:rPr>
          <w:rFonts w:hint="eastAsia"/>
          <w:lang w:val="en-US"/>
        </w:rPr>
      </w:pPr>
      <w:r>
        <w:rPr>
          <w:rFonts w:hint="eastAsia"/>
          <w:lang w:val="en-US"/>
        </w:rPr>
        <w:t>针对西湖区七张问题清单总览驾驶舱进行建设，包括量化评价场景建设、月度晾晒场景建设、问题总览场景建设、“双榜”展示场景建设、问题发现场景建设、过程管控场景建设、督查通报场景建设。</w:t>
      </w:r>
    </w:p>
    <w:p>
      <w:pPr>
        <w:pStyle w:val="24"/>
        <w:rPr>
          <w:lang w:val="en-US"/>
        </w:rPr>
      </w:pPr>
      <w:r>
        <w:rPr>
          <w:rFonts w:hint="eastAsia"/>
          <w:lang w:val="en-US"/>
        </w:rPr>
        <w:t>建设量化评价分析场景，对量化评价信息按年、按季度、按月进行各清单指数、全市排名、全省排名、星级评价、问题管控力量化指数得分以及省市清单数等信息进行综合展示分析。</w:t>
      </w:r>
    </w:p>
    <w:p>
      <w:pPr>
        <w:pStyle w:val="24"/>
        <w:rPr>
          <w:lang w:val="en-US"/>
        </w:rPr>
      </w:pPr>
      <w:r>
        <w:rPr>
          <w:rFonts w:hint="eastAsia"/>
          <w:lang w:val="en-US"/>
        </w:rPr>
        <w:t>建设月度晾晒展示场景，展示分析各月份清单主管部门、重点任务部门、镇街以及一般任务部门的老虎塝和蜗牛榜。</w:t>
      </w:r>
    </w:p>
    <w:p>
      <w:pPr>
        <w:pStyle w:val="24"/>
        <w:rPr>
          <w:lang w:val="en-US"/>
        </w:rPr>
      </w:pPr>
      <w:r>
        <w:rPr>
          <w:rFonts w:hint="eastAsia"/>
          <w:lang w:val="en-US"/>
        </w:rPr>
        <w:t>通过对接七张问题清单系统数据，建设问题总览展示场景，展示分析省级牵头问题、省级协同问题、市级牵头问题、市级协同问题以及区级清单问题的总数、完成率、逾期、复发问题和月度新增等信息，支持数据信息列表以及清单详情下钻展示。</w:t>
      </w:r>
    </w:p>
    <w:p>
      <w:pPr>
        <w:pStyle w:val="24"/>
        <w:rPr>
          <w:lang w:val="en-US"/>
        </w:rPr>
      </w:pPr>
      <w:r>
        <w:rPr>
          <w:rFonts w:hint="eastAsia"/>
          <w:lang w:val="en-US"/>
        </w:rPr>
        <w:t>建设双榜展示场景，展示省级、市级、区级西湖区相关示范榜以及警示榜数据。</w:t>
      </w:r>
    </w:p>
    <w:p>
      <w:pPr>
        <w:pStyle w:val="24"/>
        <w:rPr>
          <w:lang w:val="en-US"/>
        </w:rPr>
      </w:pPr>
      <w:r>
        <w:rPr>
          <w:rFonts w:hint="eastAsia"/>
          <w:lang w:val="en-US"/>
        </w:rPr>
        <w:t>通过对接七张问题清单系统数据，建设问题发现场景，展示分析全量问题库问题数、区级问题库问题数、省市级清单库问题数、主动发现问题被省市采纳数以及整改完成率数据。</w:t>
      </w:r>
    </w:p>
    <w:p>
      <w:pPr>
        <w:pStyle w:val="24"/>
        <w:rPr>
          <w:rFonts w:ascii="仿宋_GB2312"/>
          <w:szCs w:val="32"/>
        </w:rPr>
      </w:pPr>
      <w:r>
        <w:rPr>
          <w:rFonts w:hint="eastAsia" w:ascii="仿宋_GB2312"/>
          <w:szCs w:val="32"/>
        </w:rPr>
        <w:t>建设过程管控场景，展示分析省市清单和区级清单的问题交办、方案制定、整改推进和问题销号数据。</w:t>
      </w:r>
    </w:p>
    <w:p>
      <w:pPr>
        <w:pStyle w:val="23"/>
        <w:ind w:firstLine="420"/>
        <w:rPr>
          <w:lang w:val="en-US"/>
        </w:rPr>
      </w:pPr>
      <w:r>
        <w:rPr>
          <w:rFonts w:hint="eastAsia" w:ascii="仿宋_GB2312"/>
          <w:szCs w:val="32"/>
          <w:lang w:val="en-US"/>
        </w:rPr>
        <w:t>建设督查通报展示场景，展示各月份督查通报信息，支持通报文件点击预览</w:t>
      </w:r>
      <w:r>
        <w:rPr>
          <w:rFonts w:hint="eastAsia" w:ascii="仿宋_GB2312"/>
          <w:szCs w:val="32"/>
          <w:lang w:val="en-US" w:eastAsia="zh-Hans"/>
        </w:rPr>
        <w:t>和下载</w:t>
      </w:r>
      <w:r>
        <w:rPr>
          <w:rFonts w:hint="eastAsia" w:ascii="仿宋_GB2312"/>
          <w:szCs w:val="32"/>
          <w:lang w:val="en-US"/>
        </w:rPr>
        <w:t>。</w:t>
      </w:r>
    </w:p>
    <w:p>
      <w:pPr>
        <w:numPr>
          <w:ilvl w:val="0"/>
          <w:numId w:val="7"/>
        </w:numPr>
        <w:adjustRightInd/>
        <w:spacing w:line="360" w:lineRule="auto"/>
        <w:rPr>
          <w:rFonts w:ascii="宋体" w:hAnsi="宋体" w:cs="宋体"/>
          <w:sz w:val="24"/>
        </w:rPr>
      </w:pPr>
      <w:r>
        <w:rPr>
          <w:rFonts w:hint="eastAsia" w:ascii="宋体" w:hAnsi="宋体" w:cs="宋体"/>
          <w:sz w:val="24"/>
        </w:rPr>
        <w:t>西湖区主动发现问题情况总览</w:t>
      </w:r>
    </w:p>
    <w:p>
      <w:pPr>
        <w:pStyle w:val="24"/>
        <w:numPr>
          <w:ilvl w:val="0"/>
          <w:numId w:val="0"/>
        </w:numPr>
        <w:ind w:firstLine="480" w:firstLineChars="200"/>
        <w:rPr>
          <w:lang w:val="en-US" w:eastAsia="zh-Hans"/>
        </w:rPr>
      </w:pPr>
      <w:r>
        <w:rPr>
          <w:rFonts w:hint="default"/>
          <w:lang w:val="en-US"/>
        </w:rPr>
        <w:t>1.</w:t>
      </w:r>
      <w:r>
        <w:t>西湖区主动发现问题</w:t>
      </w:r>
      <w:r>
        <w:rPr>
          <w:rFonts w:hint="eastAsia"/>
          <w:lang w:val="en-US" w:eastAsia="zh-Hans"/>
        </w:rPr>
        <w:t>总览</w:t>
      </w:r>
    </w:p>
    <w:p>
      <w:pPr>
        <w:pStyle w:val="24"/>
        <w:rPr>
          <w:lang w:val="en-US"/>
        </w:rPr>
      </w:pPr>
      <w:r>
        <w:rPr>
          <w:rFonts w:hint="eastAsia"/>
          <w:lang w:val="en-US"/>
        </w:rPr>
        <w:t>针对</w:t>
      </w:r>
      <w:r>
        <w:rPr>
          <w:rFonts w:hint="eastAsia"/>
          <w:lang w:val="en-US" w:eastAsia="zh-Hans"/>
        </w:rPr>
        <w:t>主动发现问题</w:t>
      </w:r>
      <w:r>
        <w:rPr>
          <w:rFonts w:hint="eastAsia"/>
          <w:lang w:val="en-US"/>
        </w:rPr>
        <w:t>数据进行</w:t>
      </w:r>
      <w:r>
        <w:rPr>
          <w:rFonts w:hint="eastAsia"/>
          <w:lang w:val="en-US" w:eastAsia="zh-Hans"/>
        </w:rPr>
        <w:t>归集分类，形成主动发现问题情况总览</w:t>
      </w:r>
      <w:r>
        <w:rPr>
          <w:lang w:eastAsia="zh-Hans"/>
        </w:rPr>
        <w:t>。</w:t>
      </w:r>
      <w:r>
        <w:rPr>
          <w:rFonts w:hint="eastAsia"/>
          <w:lang w:val="en-US" w:eastAsia="zh-Hans"/>
        </w:rPr>
        <w:t>同时</w:t>
      </w:r>
      <w:r>
        <w:rPr>
          <w:lang w:eastAsia="zh-Hans"/>
        </w:rPr>
        <w:t>，</w:t>
      </w:r>
      <w:r>
        <w:rPr>
          <w:rFonts w:hint="eastAsia"/>
          <w:lang w:val="en-US" w:eastAsia="zh-Hans"/>
        </w:rPr>
        <w:t>根据七大领域清单的情况</w:t>
      </w:r>
      <w:r>
        <w:rPr>
          <w:lang w:eastAsia="zh-Hans"/>
        </w:rPr>
        <w:t>，</w:t>
      </w:r>
      <w:r>
        <w:rPr>
          <w:rFonts w:hint="eastAsia"/>
          <w:lang w:val="en-US"/>
        </w:rPr>
        <w:t>包括</w:t>
      </w:r>
      <w:r>
        <w:rPr>
          <w:lang w:eastAsia="zh-Hans"/>
        </w:rPr>
        <w:t>巡视领域</w:t>
      </w:r>
      <w:r>
        <w:rPr>
          <w:rFonts w:hint="eastAsia"/>
        </w:rPr>
        <w:t>、</w:t>
      </w:r>
      <w:r>
        <w:rPr>
          <w:lang w:eastAsia="zh-Hans"/>
        </w:rPr>
        <w:t>审计领域</w:t>
      </w:r>
      <w:r>
        <w:rPr>
          <w:rFonts w:hint="eastAsia"/>
        </w:rPr>
        <w:t>、</w:t>
      </w:r>
      <w:r>
        <w:rPr>
          <w:lang w:eastAsia="zh-Hans"/>
        </w:rPr>
        <w:t>督查领域</w:t>
      </w:r>
      <w:r>
        <w:rPr>
          <w:rFonts w:hint="eastAsia"/>
        </w:rPr>
        <w:t>、</w:t>
      </w:r>
      <w:r>
        <w:rPr>
          <w:lang w:eastAsia="zh-Hans"/>
        </w:rPr>
        <w:t>生态环保领域</w:t>
      </w:r>
      <w:r>
        <w:rPr>
          <w:rFonts w:hint="eastAsia"/>
        </w:rPr>
        <w:t>、</w:t>
      </w:r>
      <w:r>
        <w:rPr>
          <w:lang w:eastAsia="zh-Hans"/>
        </w:rPr>
        <w:t>安全生产领域</w:t>
      </w:r>
      <w:r>
        <w:rPr>
          <w:rFonts w:hint="eastAsia"/>
        </w:rPr>
        <w:t>、</w:t>
      </w:r>
      <w:r>
        <w:rPr>
          <w:lang w:eastAsia="zh-Hans"/>
        </w:rPr>
        <w:t>网络舆情领域</w:t>
      </w:r>
      <w:r>
        <w:rPr>
          <w:rFonts w:hint="eastAsia"/>
        </w:rPr>
        <w:t>、</w:t>
      </w:r>
      <w:r>
        <w:rPr>
          <w:lang w:eastAsia="zh-Hans"/>
        </w:rPr>
        <w:t>信访领域</w:t>
      </w:r>
      <w:r>
        <w:rPr>
          <w:rFonts w:hint="eastAsia"/>
        </w:rPr>
        <w:t>，</w:t>
      </w:r>
      <w:r>
        <w:rPr>
          <w:rFonts w:hint="eastAsia"/>
          <w:lang w:val="en-US" w:eastAsia="zh-Hans"/>
        </w:rPr>
        <w:t>建设各</w:t>
      </w:r>
      <w:r>
        <w:rPr>
          <w:rFonts w:hint="eastAsia"/>
          <w:lang w:val="en-US"/>
        </w:rPr>
        <w:t>清单不同维度的综合分析</w:t>
      </w:r>
      <w:r>
        <w:rPr>
          <w:rFonts w:hint="eastAsia"/>
          <w:lang w:val="en-US" w:eastAsia="zh-Hans"/>
        </w:rPr>
        <w:t>总览页面</w:t>
      </w:r>
      <w:r>
        <w:rPr>
          <w:lang w:eastAsia="zh-Hans"/>
        </w:rPr>
        <w:t>。</w:t>
      </w:r>
      <w:r>
        <w:rPr>
          <w:rFonts w:hint="eastAsia"/>
          <w:lang w:val="en-US" w:eastAsia="zh-Hans"/>
        </w:rPr>
        <w:t>建设主管部门派单工作台</w:t>
      </w:r>
      <w:r>
        <w:rPr>
          <w:lang w:eastAsia="zh-Hans"/>
        </w:rPr>
        <w:t>、</w:t>
      </w:r>
      <w:r>
        <w:rPr>
          <w:rFonts w:hint="eastAsia"/>
          <w:lang w:val="en-US" w:eastAsia="zh-Hans"/>
        </w:rPr>
        <w:t>部门签收工作台</w:t>
      </w:r>
      <w:r>
        <w:rPr>
          <w:lang w:eastAsia="zh-Hans"/>
        </w:rPr>
        <w:t>，</w:t>
      </w:r>
      <w:r>
        <w:rPr>
          <w:rFonts w:hint="eastAsia"/>
          <w:lang w:val="en-US" w:eastAsia="zh-Hans"/>
        </w:rPr>
        <w:t>支持主管部门对问题的发布派单和责任部门对问题的签收处理</w:t>
      </w:r>
      <w:r>
        <w:rPr>
          <w:lang w:eastAsia="zh-Hans"/>
        </w:rPr>
        <w:t>。</w:t>
      </w:r>
    </w:p>
    <w:p>
      <w:pPr>
        <w:pStyle w:val="23"/>
        <w:numPr>
          <w:ilvl w:val="0"/>
          <w:numId w:val="0"/>
        </w:numPr>
        <w:ind w:firstLine="480" w:firstLineChars="200"/>
        <w:rPr>
          <w:lang w:val="en-US"/>
        </w:rPr>
      </w:pPr>
      <w:r>
        <w:rPr>
          <w:rFonts w:hint="default" w:hAnsi="宋体" w:cs="宋体"/>
          <w:lang w:val="en-US"/>
        </w:rPr>
        <w:t>2</w:t>
      </w:r>
      <w:r>
        <w:rPr>
          <w:rFonts w:hint="eastAsia" w:hAnsi="宋体" w:cs="宋体"/>
          <w:lang w:val="en-US" w:eastAsia="zh-CN"/>
        </w:rPr>
        <w:t>.</w:t>
      </w:r>
      <w:r>
        <w:rPr>
          <w:rFonts w:hint="eastAsia" w:hAnsi="宋体" w:cs="宋体"/>
        </w:rPr>
        <w:t>智能分析辅助打标</w:t>
      </w:r>
    </w:p>
    <w:p>
      <w:pPr>
        <w:pStyle w:val="23"/>
        <w:ind w:firstLine="420"/>
        <w:rPr>
          <w:lang w:val="en-US"/>
        </w:rPr>
      </w:pPr>
      <w:r>
        <w:rPr>
          <w:rFonts w:hint="eastAsia"/>
          <w:lang w:val="en-US"/>
        </w:rPr>
        <w:t>通过</w:t>
      </w:r>
      <w:r>
        <w:rPr>
          <w:rFonts w:hint="eastAsia"/>
          <w:lang w:val="en-US" w:eastAsia="zh-Hans"/>
        </w:rPr>
        <w:t>主动发现</w:t>
      </w:r>
      <w:r>
        <w:rPr>
          <w:rFonts w:hint="eastAsia"/>
          <w:lang w:val="en-US"/>
        </w:rPr>
        <w:t>问题清单文本内容，提供智能分类接口，由系统</w:t>
      </w:r>
      <w:r>
        <w:rPr>
          <w:lang w:val="en-US"/>
        </w:rPr>
        <w:t>智能分析辅助打标</w:t>
      </w:r>
      <w:r>
        <w:rPr>
          <w:rFonts w:hint="eastAsia"/>
          <w:lang w:val="en-US"/>
        </w:rPr>
        <w:t>或者推荐少量分类给人工操作</w:t>
      </w:r>
      <w:r>
        <w:t>，</w:t>
      </w:r>
      <w:r>
        <w:rPr>
          <w:lang w:val="en-US"/>
        </w:rPr>
        <w:t>并智能派发给到各领域</w:t>
      </w:r>
      <w:r>
        <w:rPr>
          <w:rFonts w:hint="eastAsia"/>
          <w:lang w:val="en-US"/>
        </w:rPr>
        <w:t>。问题清单数据归档后，人工审核分类准确与否，将错误分类修正后反哺至分类系统，优化模型。</w:t>
      </w:r>
      <w:r>
        <w:rPr>
          <w:lang w:val="en-US"/>
        </w:rPr>
        <w:t>包括</w:t>
      </w:r>
      <w:r>
        <w:rPr>
          <w:rFonts w:hint="eastAsia"/>
          <w:lang w:val="en-US"/>
        </w:rPr>
        <w:t>各</w:t>
      </w:r>
      <w:r>
        <w:rPr>
          <w:lang w:val="en-US"/>
        </w:rPr>
        <w:t>业务标签模型、智能分析词库功能、智能分析在线打标、智能分析模型训练</w:t>
      </w:r>
      <w:r>
        <w:rPr>
          <w:rFonts w:hint="eastAsia"/>
          <w:lang w:val="en-US"/>
        </w:rPr>
        <w:t>和智能热词分析，同时提供标签管理工作台以及</w:t>
      </w:r>
      <w:r>
        <w:rPr>
          <w:rFonts w:hint="eastAsia" w:hAnsi="宋体" w:cs="宋体"/>
          <w:color w:val="000000"/>
          <w:kern w:val="0"/>
          <w:lang w:bidi="ar"/>
        </w:rPr>
        <w:t>标签复核工作台</w:t>
      </w:r>
      <w:r>
        <w:rPr>
          <w:rFonts w:hint="eastAsia"/>
          <w:lang w:val="en-US"/>
        </w:rPr>
        <w:t>。</w:t>
      </w:r>
    </w:p>
    <w:p>
      <w:pPr>
        <w:numPr>
          <w:ilvl w:val="0"/>
          <w:numId w:val="7"/>
        </w:numPr>
        <w:adjustRightInd/>
        <w:spacing w:line="360" w:lineRule="auto"/>
        <w:rPr>
          <w:rFonts w:ascii="宋体" w:hAnsi="宋体" w:cs="宋体"/>
          <w:sz w:val="24"/>
        </w:rPr>
      </w:pPr>
      <w:r>
        <w:rPr>
          <w:rFonts w:hint="eastAsia" w:ascii="宋体" w:hAnsi="宋体" w:cs="宋体"/>
          <w:sz w:val="24"/>
        </w:rPr>
        <w:t>其他内容</w:t>
      </w:r>
    </w:p>
    <w:p>
      <w:pPr>
        <w:pStyle w:val="23"/>
        <w:ind w:firstLine="420"/>
        <w:rPr>
          <w:lang w:val="en-US"/>
        </w:rPr>
      </w:pPr>
      <w:r>
        <w:rPr>
          <w:lang w:val="en-US"/>
        </w:rPr>
        <w:t>和省七张问题清单系统业务数据接口对接</w:t>
      </w:r>
      <w:r>
        <w:rPr>
          <w:rFonts w:hint="eastAsia"/>
        </w:rPr>
        <w:t>，</w:t>
      </w:r>
      <w:r>
        <w:rPr>
          <w:rFonts w:hint="eastAsia"/>
          <w:lang w:val="en-US"/>
        </w:rPr>
        <w:t>包括指标数据及全量问题库数据。</w:t>
      </w: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系统对接</w:t>
      </w:r>
    </w:p>
    <w:p>
      <w:pPr>
        <w:adjustRightInd/>
        <w:spacing w:before="120" w:beforeLines="50" w:after="120" w:afterLines="50" w:line="360" w:lineRule="auto"/>
        <w:ind w:firstLine="420"/>
        <w:rPr>
          <w:rFonts w:ascii="宋体" w:hAnsi="宋体" w:cs="宋体"/>
          <w:sz w:val="24"/>
        </w:rPr>
      </w:pPr>
      <w:r>
        <w:rPr>
          <w:rFonts w:hint="eastAsia" w:ascii="宋体" w:hAnsi="宋体" w:cs="宋体"/>
          <w:sz w:val="24"/>
        </w:rPr>
        <w:t>包括与“律聚人</w:t>
      </w:r>
      <w:r>
        <w:rPr>
          <w:rFonts w:hint="eastAsia"/>
        </w:rPr>
        <w:t>”</w:t>
      </w:r>
      <w:r>
        <w:rPr>
          <w:rFonts w:hint="eastAsia" w:ascii="宋体" w:hAnsi="宋体" w:cs="宋体"/>
          <w:sz w:val="24"/>
        </w:rPr>
        <w:t>应用、省信访“民呼我为”平台等外部系统打通、数据对接。及与浙政钉的对接，与区政务中台（西湖区一体化智治平台）的业务贯通。</w:t>
      </w:r>
    </w:p>
    <w:tbl>
      <w:tblPr>
        <w:tblStyle w:val="62"/>
        <w:tblW w:w="4688" w:type="pct"/>
        <w:jc w:val="center"/>
        <w:tblDescription w:val="{&quot;styleId&quot;: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3133"/>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建设任务</w:t>
            </w:r>
          </w:p>
        </w:tc>
        <w:tc>
          <w:tcPr>
            <w:tcW w:w="1799"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模块</w:t>
            </w:r>
          </w:p>
        </w:tc>
        <w:tc>
          <w:tcPr>
            <w:tcW w:w="2023" w:type="pct"/>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Merge w:val="restart"/>
            <w:shd w:val="clear" w:color="auto" w:fill="FFFFFF"/>
            <w:vAlign w:val="center"/>
          </w:tcPr>
          <w:p>
            <w:pPr>
              <w:jc w:val="center"/>
              <w:rPr>
                <w:rFonts w:ascii="宋体" w:hAnsi="宋体" w:cs="宋体"/>
                <w:b/>
                <w:bCs/>
                <w:color w:val="000000"/>
                <w:sz w:val="24"/>
              </w:rPr>
            </w:pPr>
            <w:r>
              <w:rPr>
                <w:rFonts w:hint="eastAsia" w:ascii="宋体" w:hAnsi="宋体" w:cs="宋体"/>
                <w:b/>
                <w:bCs/>
                <w:color w:val="000000"/>
                <w:sz w:val="24"/>
              </w:rPr>
              <w:t>系统对接</w:t>
            </w:r>
          </w:p>
        </w:tc>
        <w:tc>
          <w:tcPr>
            <w:tcW w:w="1799"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系统对接</w:t>
            </w:r>
          </w:p>
        </w:tc>
        <w:tc>
          <w:tcPr>
            <w:tcW w:w="202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接入“律聚人”应用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Merge w:val="continue"/>
            <w:shd w:val="clear" w:color="auto" w:fill="FFFFFF"/>
            <w:vAlign w:val="center"/>
          </w:tcPr>
          <w:p>
            <w:pPr>
              <w:jc w:val="center"/>
              <w:rPr>
                <w:rFonts w:ascii="宋体" w:hAnsi="宋体" w:cs="宋体"/>
                <w:b/>
                <w:bCs/>
                <w:color w:val="000000"/>
                <w:sz w:val="24"/>
              </w:rPr>
            </w:pPr>
          </w:p>
        </w:tc>
        <w:tc>
          <w:tcPr>
            <w:tcW w:w="1799" w:type="pct"/>
            <w:vMerge w:val="continue"/>
            <w:shd w:val="clear" w:color="auto" w:fill="FFFFFF"/>
            <w:vAlign w:val="center"/>
          </w:tcPr>
          <w:p>
            <w:pPr>
              <w:jc w:val="center"/>
              <w:rPr>
                <w:rFonts w:ascii="宋体" w:hAnsi="宋体" w:cs="宋体"/>
                <w:color w:val="000000"/>
                <w:sz w:val="24"/>
              </w:rPr>
            </w:pPr>
          </w:p>
        </w:tc>
        <w:tc>
          <w:tcPr>
            <w:tcW w:w="202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省信访“民呼我为”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综合应用对接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Merge w:val="continue"/>
            <w:shd w:val="clear" w:color="auto" w:fill="FFFFFF"/>
            <w:vAlign w:val="center"/>
          </w:tcPr>
          <w:p>
            <w:pPr>
              <w:jc w:val="center"/>
              <w:rPr>
                <w:rFonts w:ascii="宋体" w:hAnsi="宋体" w:cs="宋体"/>
                <w:b/>
                <w:bCs/>
                <w:color w:val="000000"/>
                <w:sz w:val="24"/>
              </w:rPr>
            </w:pPr>
          </w:p>
        </w:tc>
        <w:tc>
          <w:tcPr>
            <w:tcW w:w="1799" w:type="pct"/>
            <w:vMerge w:val="restar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浙政钉对接</w:t>
            </w:r>
          </w:p>
        </w:tc>
        <w:tc>
          <w:tcPr>
            <w:tcW w:w="202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统一组织用户体系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Merge w:val="continue"/>
            <w:shd w:val="clear" w:color="auto" w:fill="FFFFFF"/>
            <w:vAlign w:val="center"/>
          </w:tcPr>
          <w:p>
            <w:pPr>
              <w:jc w:val="center"/>
              <w:rPr>
                <w:rFonts w:ascii="宋体" w:hAnsi="宋体" w:cs="宋体"/>
                <w:b/>
                <w:bCs/>
                <w:color w:val="000000"/>
                <w:sz w:val="24"/>
              </w:rPr>
            </w:pPr>
          </w:p>
        </w:tc>
        <w:tc>
          <w:tcPr>
            <w:tcW w:w="1799" w:type="pct"/>
            <w:vMerge w:val="continue"/>
            <w:shd w:val="clear" w:color="auto" w:fill="FFFFFF"/>
            <w:vAlign w:val="center"/>
          </w:tcPr>
          <w:p>
            <w:pPr>
              <w:jc w:val="center"/>
              <w:rPr>
                <w:rFonts w:ascii="宋体" w:hAnsi="宋体" w:cs="宋体"/>
                <w:color w:val="000000"/>
                <w:sz w:val="24"/>
              </w:rPr>
            </w:pPr>
          </w:p>
        </w:tc>
        <w:tc>
          <w:tcPr>
            <w:tcW w:w="202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钉消息提醒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7" w:type="pct"/>
            <w:vMerge w:val="continue"/>
            <w:shd w:val="clear" w:color="auto" w:fill="FFFFFF"/>
            <w:vAlign w:val="center"/>
          </w:tcPr>
          <w:p>
            <w:pPr>
              <w:jc w:val="center"/>
              <w:rPr>
                <w:rFonts w:ascii="宋体" w:hAnsi="宋体" w:cs="宋体"/>
                <w:b/>
                <w:bCs/>
                <w:color w:val="000000"/>
                <w:sz w:val="24"/>
              </w:rPr>
            </w:pPr>
          </w:p>
        </w:tc>
        <w:tc>
          <w:tcPr>
            <w:tcW w:w="1799"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政务中台对接</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(一体化智治平台）</w:t>
            </w:r>
          </w:p>
        </w:tc>
        <w:tc>
          <w:tcPr>
            <w:tcW w:w="2023" w:type="pct"/>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用户中心、事件中心等</w:t>
            </w:r>
          </w:p>
        </w:tc>
      </w:tr>
    </w:tbl>
    <w:p>
      <w:pPr>
        <w:pStyle w:val="23"/>
        <w:rPr>
          <w:lang w:val="en-US"/>
        </w:rPr>
      </w:pPr>
    </w:p>
    <w:p>
      <w:pPr>
        <w:keepNext/>
        <w:keepLines/>
        <w:numPr>
          <w:ilvl w:val="0"/>
          <w:numId w:val="3"/>
        </w:numPr>
        <w:adjustRightInd/>
        <w:spacing w:before="120" w:beforeLines="50" w:after="120" w:afterLines="50" w:line="360" w:lineRule="auto"/>
        <w:outlineLvl w:val="1"/>
        <w:rPr>
          <w:rFonts w:ascii="宋体" w:hAnsi="宋体" w:cs="宋体"/>
          <w:b/>
          <w:bCs/>
          <w:sz w:val="30"/>
          <w:szCs w:val="32"/>
        </w:rPr>
      </w:pPr>
      <w:r>
        <w:rPr>
          <w:rFonts w:hint="eastAsia" w:ascii="宋体" w:hAnsi="宋体" w:cs="宋体"/>
          <w:b/>
          <w:bCs/>
          <w:sz w:val="30"/>
          <w:szCs w:val="32"/>
        </w:rPr>
        <w:t>等保和测评服务</w:t>
      </w:r>
    </w:p>
    <w:p>
      <w:pPr>
        <w:adjustRightInd/>
        <w:spacing w:before="120" w:beforeLines="50" w:after="120" w:afterLines="50" w:line="360" w:lineRule="auto"/>
        <w:ind w:firstLine="420"/>
        <w:rPr>
          <w:rFonts w:ascii="宋体" w:hAnsi="宋体" w:cs="宋体"/>
          <w:sz w:val="24"/>
        </w:rPr>
      </w:pPr>
      <w:r>
        <w:rPr>
          <w:rFonts w:hint="eastAsia" w:ascii="宋体" w:hAnsi="宋体" w:cs="宋体"/>
          <w:sz w:val="24"/>
        </w:rPr>
        <w:t>项目进行第三方等保评测、功能测评等服务，满足平台持续正常运营需求。</w:t>
      </w:r>
    </w:p>
    <w:tbl>
      <w:tblPr>
        <w:tblStyle w:val="62"/>
        <w:tblW w:w="4997" w:type="pct"/>
        <w:jc w:val="center"/>
        <w:tblDescription w:val="{&quot;styleId&quot;:2}"/>
        <w:tblLayout w:type="autofit"/>
        <w:tblCellMar>
          <w:top w:w="0" w:type="dxa"/>
          <w:left w:w="108" w:type="dxa"/>
          <w:bottom w:w="0" w:type="dxa"/>
          <w:right w:w="108" w:type="dxa"/>
        </w:tblCellMar>
      </w:tblPr>
      <w:tblGrid>
        <w:gridCol w:w="2684"/>
        <w:gridCol w:w="4823"/>
        <w:gridCol w:w="1773"/>
      </w:tblGrid>
      <w:tr>
        <w:tblPrEx>
          <w:tblCellMar>
            <w:top w:w="0" w:type="dxa"/>
            <w:left w:w="108" w:type="dxa"/>
            <w:bottom w:w="0" w:type="dxa"/>
            <w:right w:w="108" w:type="dxa"/>
          </w:tblCellMar>
        </w:tblPrEx>
        <w:trPr>
          <w:jc w:val="center"/>
        </w:trPr>
        <w:tc>
          <w:tcPr>
            <w:tcW w:w="1446"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模块</w:t>
            </w:r>
          </w:p>
        </w:tc>
        <w:tc>
          <w:tcPr>
            <w:tcW w:w="2598"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内容</w:t>
            </w:r>
          </w:p>
        </w:tc>
        <w:tc>
          <w:tcPr>
            <w:tcW w:w="955" w:type="pct"/>
            <w:tcBorders>
              <w:top w:val="single" w:color="auto" w:sz="4" w:space="0"/>
              <w:left w:val="single" w:color="auto" w:sz="4" w:space="0"/>
              <w:bottom w:val="single" w:color="auto" w:sz="4" w:space="0"/>
              <w:right w:val="single" w:color="auto" w:sz="4" w:space="0"/>
            </w:tcBorders>
            <w:shd w:val="clear" w:color="auto" w:fill="DCE6F2" w:themeFill="accent1" w:themeFillTint="32"/>
            <w:vAlign w:val="center"/>
          </w:tcPr>
          <w:p>
            <w:pPr>
              <w:adjustRightInd/>
              <w:spacing w:before="120" w:beforeLines="50" w:after="120" w:afterLines="50"/>
              <w:jc w:val="center"/>
              <w:rPr>
                <w:rFonts w:ascii="宋体" w:hAnsi="宋体" w:cs="宋体"/>
                <w:b/>
                <w:bCs/>
                <w:color w:val="000000"/>
                <w:sz w:val="24"/>
              </w:rPr>
            </w:pPr>
            <w:r>
              <w:rPr>
                <w:rFonts w:hint="eastAsia" w:ascii="宋体" w:hAnsi="宋体" w:cs="宋体"/>
                <w:b/>
                <w:bCs/>
                <w:color w:val="000000"/>
                <w:sz w:val="24"/>
              </w:rPr>
              <w:t>单位</w:t>
            </w:r>
          </w:p>
        </w:tc>
      </w:tr>
      <w:tr>
        <w:tblPrEx>
          <w:tblCellMar>
            <w:top w:w="0" w:type="dxa"/>
            <w:left w:w="108" w:type="dxa"/>
            <w:bottom w:w="0" w:type="dxa"/>
            <w:right w:w="108" w:type="dxa"/>
          </w:tblCellMar>
        </w:tblPrEx>
        <w:trPr>
          <w:jc w:val="center"/>
        </w:trPr>
        <w:tc>
          <w:tcPr>
            <w:tcW w:w="1446"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测评费用</w:t>
            </w:r>
          </w:p>
        </w:tc>
        <w:tc>
          <w:tcPr>
            <w:tcW w:w="259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软件功能测评</w:t>
            </w:r>
          </w:p>
        </w:tc>
        <w:tc>
          <w:tcPr>
            <w:tcW w:w="95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1年</w:t>
            </w:r>
          </w:p>
        </w:tc>
      </w:tr>
      <w:tr>
        <w:tblPrEx>
          <w:tblCellMar>
            <w:top w:w="0" w:type="dxa"/>
            <w:left w:w="108" w:type="dxa"/>
            <w:bottom w:w="0" w:type="dxa"/>
            <w:right w:w="108" w:type="dxa"/>
          </w:tblCellMar>
        </w:tblPrEx>
        <w:trPr>
          <w:jc w:val="center"/>
        </w:trPr>
        <w:tc>
          <w:tcPr>
            <w:tcW w:w="144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p>
        </w:tc>
        <w:tc>
          <w:tcPr>
            <w:tcW w:w="259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风险评估</w:t>
            </w:r>
          </w:p>
        </w:tc>
        <w:tc>
          <w:tcPr>
            <w:tcW w:w="95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1年</w:t>
            </w:r>
          </w:p>
        </w:tc>
      </w:tr>
      <w:tr>
        <w:tblPrEx>
          <w:tblCellMar>
            <w:top w:w="0" w:type="dxa"/>
            <w:left w:w="108" w:type="dxa"/>
            <w:bottom w:w="0" w:type="dxa"/>
            <w:right w:w="108" w:type="dxa"/>
          </w:tblCellMar>
        </w:tblPrEx>
        <w:trPr>
          <w:jc w:val="center"/>
        </w:trPr>
        <w:tc>
          <w:tcPr>
            <w:tcW w:w="144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p>
        </w:tc>
        <w:tc>
          <w:tcPr>
            <w:tcW w:w="259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密码测评</w:t>
            </w:r>
          </w:p>
        </w:tc>
        <w:tc>
          <w:tcPr>
            <w:tcW w:w="95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3次</w:t>
            </w:r>
          </w:p>
        </w:tc>
      </w:tr>
      <w:tr>
        <w:tblPrEx>
          <w:tblCellMar>
            <w:top w:w="0" w:type="dxa"/>
            <w:left w:w="108" w:type="dxa"/>
            <w:bottom w:w="0" w:type="dxa"/>
            <w:right w:w="108" w:type="dxa"/>
          </w:tblCellMar>
        </w:tblPrEx>
        <w:trPr>
          <w:jc w:val="center"/>
        </w:trPr>
        <w:tc>
          <w:tcPr>
            <w:tcW w:w="1446"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p>
        </w:tc>
        <w:tc>
          <w:tcPr>
            <w:tcW w:w="259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等保测评（三级）</w:t>
            </w:r>
          </w:p>
        </w:tc>
        <w:tc>
          <w:tcPr>
            <w:tcW w:w="95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3年</w:t>
            </w:r>
          </w:p>
        </w:tc>
      </w:tr>
    </w:tbl>
    <w:p>
      <w:pPr>
        <w:pStyle w:val="23"/>
        <w:rPr>
          <w:lang w:val="en-US"/>
        </w:rPr>
      </w:pPr>
    </w:p>
    <w:p>
      <w:pPr>
        <w:keepNext/>
        <w:keepLines/>
        <w:spacing w:line="360" w:lineRule="auto"/>
        <w:jc w:val="left"/>
        <w:outlineLvl w:val="1"/>
        <w:rPr>
          <w:rFonts w:ascii="宋体" w:hAnsi="宋体" w:cs="宋体"/>
          <w:b/>
          <w:bCs/>
          <w:sz w:val="32"/>
          <w:szCs w:val="32"/>
        </w:rPr>
      </w:pPr>
      <w:r>
        <w:rPr>
          <w:rFonts w:hint="eastAsia" w:ascii="宋体" w:hAnsi="宋体" w:cs="宋体"/>
          <w:b/>
          <w:bCs/>
          <w:sz w:val="32"/>
          <w:szCs w:val="32"/>
          <w:lang w:val="zh-CN"/>
        </w:rPr>
        <w:t>五、售后服务要求</w:t>
      </w:r>
      <w:bookmarkEnd w:id="27"/>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本项目需提供1年的软件质保，质保期从验收合格之日开始计算。试运行期间需无条件响应并满足用户对系统的修改，并最迟不超过24小时提供免费上门服务。质保期间需及时响应并满足用户对于系统的适应性功能的修改、已有数据交换接口调整。承诺项目验收后提供7*24小时售后技术服务，0.5小时内做出明确响应和安排，现场响应时间要求是接到用户需求电话后2小时内到达。</w:t>
      </w:r>
    </w:p>
    <w:p>
      <w:pPr>
        <w:keepNext/>
        <w:keepLines/>
        <w:spacing w:line="360" w:lineRule="auto"/>
        <w:jc w:val="left"/>
        <w:outlineLvl w:val="1"/>
        <w:rPr>
          <w:rFonts w:ascii="宋体" w:hAnsi="宋体" w:cs="宋体"/>
          <w:b/>
          <w:bCs/>
          <w:sz w:val="32"/>
          <w:szCs w:val="32"/>
          <w:lang w:val="zh-CN"/>
        </w:rPr>
      </w:pPr>
      <w:bookmarkStart w:id="28" w:name="_Toc8590"/>
      <w:r>
        <w:rPr>
          <w:rFonts w:hint="eastAsia" w:ascii="宋体" w:hAnsi="宋体" w:cs="宋体"/>
          <w:b/>
          <w:bCs/>
          <w:sz w:val="32"/>
          <w:szCs w:val="32"/>
          <w:lang w:val="zh-CN"/>
        </w:rPr>
        <w:t>六、项目验收要求</w:t>
      </w:r>
      <w:bookmarkEnd w:id="28"/>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项目验收需根据招标文件以及合同的需求，由采购方召集专家组织项目验收。验收时需提供相应的文档。</w:t>
      </w:r>
    </w:p>
    <w:p>
      <w:pPr>
        <w:keepNext/>
        <w:keepLines/>
        <w:spacing w:line="360" w:lineRule="auto"/>
        <w:jc w:val="left"/>
        <w:outlineLvl w:val="1"/>
        <w:rPr>
          <w:rFonts w:ascii="宋体" w:hAnsi="宋体" w:cs="宋体"/>
          <w:b/>
          <w:bCs/>
          <w:sz w:val="32"/>
          <w:szCs w:val="32"/>
          <w:lang w:val="zh-CN"/>
        </w:rPr>
      </w:pPr>
      <w:bookmarkStart w:id="29" w:name="_Toc5146"/>
      <w:r>
        <w:rPr>
          <w:rFonts w:hint="eastAsia" w:ascii="宋体" w:hAnsi="宋体" w:cs="宋体"/>
          <w:b/>
          <w:bCs/>
          <w:sz w:val="32"/>
          <w:szCs w:val="32"/>
          <w:lang w:val="zh-CN"/>
        </w:rPr>
        <w:t>七、质量保证</w:t>
      </w:r>
      <w:bookmarkEnd w:id="29"/>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2、投标人必须保证解决项目所涉及的技术问题，如因技术原因无法满足用户需求，由此产生的风险由应标方承担。</w:t>
      </w:r>
    </w:p>
    <w:p>
      <w:pPr>
        <w:keepNext/>
        <w:keepLines/>
        <w:spacing w:line="360" w:lineRule="auto"/>
        <w:jc w:val="left"/>
        <w:outlineLvl w:val="1"/>
        <w:rPr>
          <w:rFonts w:ascii="宋体" w:hAnsi="宋体" w:cs="宋体"/>
          <w:b/>
          <w:bCs/>
          <w:sz w:val="32"/>
          <w:szCs w:val="32"/>
          <w:lang w:val="zh-CN"/>
        </w:rPr>
      </w:pPr>
      <w:r>
        <w:rPr>
          <w:rFonts w:hint="eastAsia" w:ascii="宋体" w:hAnsi="宋体" w:cs="宋体"/>
          <w:b/>
          <w:bCs/>
          <w:sz w:val="32"/>
          <w:szCs w:val="32"/>
          <w:lang w:val="zh-CN"/>
        </w:rPr>
        <w:t>八、项目组人员要求</w:t>
      </w:r>
    </w:p>
    <w:p>
      <w:pPr>
        <w:widowControl/>
        <w:shd w:val="clear" w:color="auto" w:fill="FFFFFF" w:themeFill="background1"/>
        <w:spacing w:line="360" w:lineRule="auto"/>
        <w:ind w:firstLine="480" w:firstLineChars="200"/>
        <w:rPr>
          <w:rFonts w:ascii="宋体" w:hAnsi="宋体" w:cs="宋体"/>
          <w:b/>
          <w:bCs/>
          <w:sz w:val="32"/>
          <w:szCs w:val="32"/>
          <w:lang w:val="zh-CN"/>
        </w:rPr>
      </w:pPr>
      <w:bookmarkStart w:id="30" w:name="_Toc46"/>
      <w:r>
        <w:rPr>
          <w:rFonts w:hint="eastAsia" w:ascii="宋体" w:hAnsi="宋体" w:cs="宋体"/>
          <w:color w:val="000000"/>
          <w:sz w:val="24"/>
          <w:szCs w:val="20"/>
        </w:rPr>
        <w:t>项目经理同时具有高级信息系统项目管理师和高级工程师职称，项目技术负责人具有高级工程师职称，项目组技术人员（除项目经理和技术负责人外），需有4名及以上技术人员具有高级工程师职称或信息系统项目管理师证书，每人需提供1本有效证书（证书上的名字须与担任项目组技术人员相一致）</w:t>
      </w:r>
      <w:r>
        <w:rPr>
          <w:rFonts w:hint="eastAsia" w:ascii="宋体" w:hAnsi="宋体" w:cs="宋体"/>
          <w:color w:val="000000"/>
          <w:sz w:val="24"/>
          <w:szCs w:val="20"/>
          <w:lang w:eastAsia="zh-CN"/>
        </w:rPr>
        <w:t>，</w:t>
      </w:r>
      <w:r>
        <w:rPr>
          <w:rFonts w:hint="eastAsia" w:ascii="宋体" w:hAnsi="宋体" w:cs="宋体"/>
          <w:sz w:val="24"/>
          <w:szCs w:val="22"/>
        </w:rPr>
        <w:t>项目建设工期内</w:t>
      </w:r>
      <w:r>
        <w:rPr>
          <w:rFonts w:hint="eastAsia" w:ascii="宋体" w:hAnsi="宋体" w:cs="宋体"/>
          <w:sz w:val="24"/>
          <w:szCs w:val="22"/>
          <w:lang w:eastAsia="zh-CN"/>
        </w:rPr>
        <w:t>需</w:t>
      </w:r>
      <w:r>
        <w:rPr>
          <w:rFonts w:hint="eastAsia" w:ascii="宋体" w:hAnsi="宋体" w:cs="宋体"/>
          <w:sz w:val="24"/>
          <w:szCs w:val="22"/>
        </w:rPr>
        <w:t>派出1名经验丰富的运维技术人员驻场服务。</w:t>
      </w:r>
    </w:p>
    <w:p>
      <w:pPr>
        <w:keepNext/>
        <w:keepLines/>
        <w:spacing w:line="360" w:lineRule="auto"/>
        <w:jc w:val="left"/>
        <w:outlineLvl w:val="1"/>
        <w:rPr>
          <w:rFonts w:ascii="宋体" w:hAnsi="宋体" w:cs="宋体"/>
          <w:b/>
          <w:bCs/>
          <w:sz w:val="32"/>
          <w:szCs w:val="32"/>
          <w:lang w:val="zh-CN"/>
        </w:rPr>
      </w:pPr>
      <w:r>
        <w:rPr>
          <w:rFonts w:hint="eastAsia" w:ascii="宋体" w:hAnsi="宋体" w:cs="宋体"/>
          <w:b/>
          <w:bCs/>
          <w:sz w:val="32"/>
          <w:szCs w:val="32"/>
          <w:lang w:val="zh-CN"/>
        </w:rPr>
        <w:t>九、工作内容及成果</w:t>
      </w:r>
      <w:bookmarkEnd w:id="30"/>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文档的提交应覆盖以下内容，电子文档是成果不可分割的部分。要求如下文档：</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1、项目实施前：需求分析报告；设计方案；设计说明书；项目实施计划；</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2、项目实施期间：项目实施工作单、故障诊断及排除记录、项目实施过程中衍生的其它相关资料；</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3、项目实施后：系统试运行报告和自测报告、开发总结报告；</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4、培训期间：培训计划、用户使用手册、管理员使用手册；</w:t>
      </w:r>
    </w:p>
    <w:p>
      <w:pPr>
        <w:widowControl/>
        <w:shd w:val="clear" w:color="auto" w:fill="FFFFFF" w:themeFill="background1"/>
        <w:spacing w:line="360" w:lineRule="auto"/>
        <w:ind w:firstLine="480" w:firstLineChars="200"/>
        <w:rPr>
          <w:rFonts w:ascii="宋体" w:hAnsi="宋体" w:cs="宋体"/>
          <w:sz w:val="24"/>
          <w:szCs w:val="20"/>
        </w:rPr>
      </w:pPr>
      <w:r>
        <w:rPr>
          <w:rFonts w:hint="eastAsia" w:ascii="宋体" w:hAnsi="宋体" w:cs="宋体"/>
          <w:sz w:val="24"/>
          <w:szCs w:val="20"/>
        </w:rPr>
        <w:t>5、其他需要提交的材料。</w:t>
      </w:r>
    </w:p>
    <w:p>
      <w:pPr>
        <w:keepNext/>
        <w:keepLines/>
        <w:spacing w:line="360" w:lineRule="auto"/>
        <w:jc w:val="left"/>
        <w:outlineLvl w:val="1"/>
        <w:rPr>
          <w:rFonts w:ascii="宋体" w:hAnsi="宋体" w:cs="宋体"/>
          <w:b/>
          <w:bCs/>
          <w:sz w:val="32"/>
          <w:szCs w:val="32"/>
          <w:lang w:val="zh-CN"/>
        </w:rPr>
      </w:pPr>
      <w:bookmarkStart w:id="31" w:name="_Toc15353"/>
      <w:r>
        <w:rPr>
          <w:rFonts w:hint="eastAsia" w:ascii="宋体" w:hAnsi="宋体" w:cs="宋体"/>
          <w:b/>
          <w:bCs/>
          <w:sz w:val="32"/>
          <w:szCs w:val="32"/>
          <w:lang w:val="zh-CN"/>
        </w:rPr>
        <w:t>十、实施要求</w:t>
      </w:r>
      <w:bookmarkEnd w:id="31"/>
    </w:p>
    <w:p>
      <w:pPr>
        <w:adjustRightInd/>
        <w:spacing w:before="120" w:beforeLines="50" w:after="120" w:afterLines="50" w:line="360" w:lineRule="auto"/>
        <w:ind w:firstLine="482" w:firstLineChars="200"/>
        <w:rPr>
          <w:rFonts w:ascii="宋体" w:hAnsi="宋体" w:cs="宋体"/>
          <w:sz w:val="24"/>
        </w:rPr>
      </w:pPr>
      <w:r>
        <w:rPr>
          <w:rFonts w:hint="eastAsia" w:ascii="宋体" w:hAnsi="宋体" w:cs="宋体"/>
          <w:b/>
          <w:bCs/>
          <w:sz w:val="24"/>
          <w:szCs w:val="22"/>
        </w:rPr>
        <w:t>1、总工期为</w:t>
      </w:r>
      <w:r>
        <w:rPr>
          <w:rFonts w:hint="default" w:ascii="宋体" w:hAnsi="宋体" w:cs="宋体"/>
          <w:b/>
          <w:bCs/>
          <w:sz w:val="24"/>
          <w:szCs w:val="22"/>
          <w:lang w:val="en-US"/>
        </w:rPr>
        <w:t>3</w:t>
      </w:r>
      <w:r>
        <w:rPr>
          <w:rFonts w:hint="eastAsia" w:ascii="宋体" w:hAnsi="宋体" w:cs="宋体"/>
          <w:b/>
          <w:bCs/>
          <w:sz w:val="24"/>
          <w:szCs w:val="22"/>
        </w:rPr>
        <w:t>个月。</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投标人要明确项目组人员构成(人员资质、人数、从业经历)，项目建设工期内要求派出1名经验丰富的运维技术人员驻场服务。在项目实施阶段，不允许中途更换项目主要人员。确保项目按期、按质完成。</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项目各阶段提供详细的进度安排，每月提供项目开发进度报告。</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定期与用户召开项目协调会。</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针对本项目的特殊性，提出切实可行的项目质量控制手段，并落实执行。</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按照验收要求，及时提供全面的项目文档。</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详细实施进度要求如下：</w:t>
      </w:r>
    </w:p>
    <w:p>
      <w:pPr>
        <w:numPr>
          <w:ilvl w:val="0"/>
          <w:numId w:val="8"/>
        </w:numPr>
        <w:adjustRightInd/>
        <w:spacing w:line="360" w:lineRule="auto"/>
        <w:ind w:left="0" w:firstLine="480" w:firstLineChars="200"/>
        <w:rPr>
          <w:rFonts w:ascii="宋体" w:hAnsi="宋体" w:cs="宋体"/>
          <w:sz w:val="24"/>
          <w:szCs w:val="22"/>
        </w:rPr>
      </w:pPr>
      <w:r>
        <w:rPr>
          <w:rFonts w:hint="eastAsia" w:ascii="宋体" w:hAnsi="宋体" w:cs="宋体"/>
          <w:sz w:val="24"/>
          <w:szCs w:val="22"/>
        </w:rPr>
        <w:t>合同签订后7天内进一步优化需求分析、概要设计、详细设计，并细化系统建设计划、目标任务书和测试</w:t>
      </w:r>
      <w:r>
        <w:rPr>
          <w:rFonts w:hint="eastAsia" w:ascii="宋体" w:hAnsi="宋体" w:cs="宋体"/>
          <w:sz w:val="24"/>
          <w:szCs w:val="22"/>
          <w:lang w:eastAsia="zh-CN"/>
        </w:rPr>
        <w:t>、</w:t>
      </w:r>
      <w:r>
        <w:rPr>
          <w:rFonts w:hint="eastAsia" w:ascii="宋体" w:hAnsi="宋体" w:cs="宋体"/>
          <w:sz w:val="24"/>
          <w:szCs w:val="22"/>
        </w:rPr>
        <w:t>验收方案，向采购人提供上述文档并需经采购人审查通过；</w:t>
      </w:r>
    </w:p>
    <w:p>
      <w:pPr>
        <w:numPr>
          <w:ilvl w:val="0"/>
          <w:numId w:val="8"/>
        </w:numPr>
        <w:adjustRightInd/>
        <w:spacing w:line="360" w:lineRule="auto"/>
        <w:ind w:left="0" w:firstLine="480" w:firstLineChars="200"/>
        <w:rPr>
          <w:rFonts w:ascii="宋体" w:hAnsi="宋体" w:cs="宋体"/>
          <w:sz w:val="24"/>
          <w:szCs w:val="22"/>
        </w:rPr>
      </w:pPr>
      <w:r>
        <w:rPr>
          <w:rFonts w:hint="eastAsia" w:ascii="宋体" w:hAnsi="宋体" w:cs="宋体"/>
          <w:sz w:val="24"/>
          <w:szCs w:val="22"/>
        </w:rPr>
        <w:t>合同签订后</w:t>
      </w:r>
      <w:r>
        <w:rPr>
          <w:rFonts w:hint="default" w:ascii="宋体" w:hAnsi="宋体" w:cs="宋体"/>
          <w:b/>
          <w:bCs/>
          <w:sz w:val="24"/>
          <w:szCs w:val="22"/>
          <w:lang w:val="en-US"/>
        </w:rPr>
        <w:t>2</w:t>
      </w:r>
      <w:r>
        <w:rPr>
          <w:rFonts w:hint="eastAsia" w:ascii="宋体" w:hAnsi="宋体" w:cs="宋体"/>
          <w:b/>
          <w:bCs/>
          <w:sz w:val="24"/>
          <w:szCs w:val="22"/>
        </w:rPr>
        <w:t>个月</w:t>
      </w:r>
      <w:r>
        <w:rPr>
          <w:rFonts w:hint="eastAsia" w:ascii="宋体" w:hAnsi="宋体" w:cs="宋体"/>
          <w:sz w:val="24"/>
          <w:szCs w:val="22"/>
        </w:rPr>
        <w:t>内完成项目的全部系统建设并通过初步验收,进入试运行</w:t>
      </w:r>
      <w:r>
        <w:rPr>
          <w:rFonts w:hint="eastAsia" w:ascii="宋体" w:hAnsi="宋体" w:cs="宋体"/>
          <w:b/>
          <w:bCs/>
          <w:sz w:val="24"/>
          <w:szCs w:val="22"/>
        </w:rPr>
        <w:t>（试运行1个月）</w:t>
      </w:r>
      <w:r>
        <w:rPr>
          <w:rFonts w:hint="eastAsia" w:ascii="宋体" w:hAnsi="宋体" w:cs="宋体"/>
          <w:sz w:val="24"/>
          <w:szCs w:val="22"/>
        </w:rPr>
        <w:t>；</w:t>
      </w:r>
    </w:p>
    <w:p>
      <w:pPr>
        <w:numPr>
          <w:ilvl w:val="0"/>
          <w:numId w:val="8"/>
        </w:numPr>
        <w:adjustRightInd/>
        <w:spacing w:line="360" w:lineRule="auto"/>
        <w:ind w:left="0" w:firstLine="480" w:firstLineChars="200"/>
        <w:rPr>
          <w:rFonts w:ascii="宋体" w:hAnsi="宋体" w:cs="宋体"/>
          <w:sz w:val="24"/>
        </w:rPr>
      </w:pPr>
      <w:r>
        <w:rPr>
          <w:rFonts w:hint="eastAsia" w:ascii="宋体" w:hAnsi="宋体" w:cs="宋体"/>
          <w:sz w:val="24"/>
          <w:szCs w:val="22"/>
        </w:rPr>
        <w:t>初步验收后完成培训、试运行及相关的修改，建立完善的系统运维体系，经终验合格，正式交付使用，进入质保期。</w:t>
      </w:r>
    </w:p>
    <w:p>
      <w:pPr>
        <w:keepNext/>
        <w:keepLines/>
        <w:spacing w:line="360" w:lineRule="auto"/>
        <w:jc w:val="left"/>
        <w:outlineLvl w:val="1"/>
        <w:rPr>
          <w:rFonts w:ascii="宋体" w:hAnsi="宋体" w:cs="宋体"/>
          <w:b/>
          <w:bCs/>
          <w:sz w:val="32"/>
          <w:szCs w:val="32"/>
          <w:lang w:val="zh-CN"/>
        </w:rPr>
      </w:pPr>
      <w:bookmarkStart w:id="32" w:name="_Toc26360"/>
      <w:r>
        <w:rPr>
          <w:rFonts w:hint="eastAsia" w:ascii="宋体" w:hAnsi="宋体" w:cs="宋体"/>
          <w:b/>
          <w:bCs/>
          <w:sz w:val="32"/>
          <w:szCs w:val="32"/>
          <w:lang w:val="zh-CN"/>
        </w:rPr>
        <w:t>十一、培训需求</w:t>
      </w:r>
      <w:bookmarkEnd w:id="32"/>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培训对象主要包括系统管理员及使用人员。系统相关软硬件的日常管理及维护由系统管理员负责，专业性较强，因此需要对其进行专门的培训，以备日常工作的需要。同时也要对使用人员进行必要的培训以确保其对业务系统能够正常、有效地使用。</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培训项目内容纲要：</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（1）系统管理员的培训：系统开始运行后，系统的日常维护由系统管理员来完成。包括系统软件、应用软件系统等。根据系统管理员之间的分工，对其进行专门的培训。</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（2）使用人员的培训：在系统运行前期，对各个使用部门的工作人员开展培训，以确保各系统能够有效使用。</w:t>
      </w:r>
    </w:p>
    <w:p>
      <w:pPr>
        <w:adjustRightInd/>
        <w:spacing w:before="120" w:beforeLines="50" w:after="120" w:afterLines="50" w:line="360" w:lineRule="auto"/>
        <w:ind w:firstLine="480" w:firstLineChars="200"/>
        <w:rPr>
          <w:rFonts w:ascii="宋体" w:hAnsi="宋体" w:cs="宋体"/>
          <w:sz w:val="24"/>
          <w:szCs w:val="22"/>
        </w:rPr>
      </w:pPr>
      <w:r>
        <w:rPr>
          <w:rFonts w:hint="eastAsia" w:ascii="宋体" w:hAnsi="宋体" w:cs="宋体"/>
          <w:sz w:val="24"/>
          <w:szCs w:val="22"/>
        </w:rPr>
        <w:t>（3）安全保密培训：针对项目所有参与人员，加强安全保密教育培训来减少和避免失泄密事件的发生；加强信息安全基础知识及防护技能的培训，尤其是个人终端安全技术的培训，提高使用和管理人员的安全保密意识，以及检查入侵、查处失泄密事件的能力。</w:t>
      </w:r>
    </w:p>
    <w:p>
      <w:pPr>
        <w:snapToGrid w:val="0"/>
        <w:spacing w:line="360" w:lineRule="auto"/>
        <w:jc w:val="center"/>
        <w:rPr>
          <w:rFonts w:ascii="宋体" w:hAnsi="宋体" w:cs="宋体"/>
          <w:b/>
          <w:sz w:val="36"/>
          <w:szCs w:val="36"/>
          <w:highlight w:val="yellow"/>
        </w:rPr>
      </w:pPr>
      <w:r>
        <w:rPr>
          <w:rFonts w:hint="eastAsia" w:ascii="宋体" w:hAnsi="宋体" w:cs="宋体"/>
          <w:b/>
          <w:sz w:val="36"/>
          <w:szCs w:val="36"/>
        </w:rPr>
        <w:t xml:space="preserve">第四部分   </w:t>
      </w:r>
      <w:bookmarkStart w:id="33" w:name="_Toc184314447"/>
      <w:bookmarkEnd w:id="33"/>
      <w:bookmarkStart w:id="34" w:name="_Toc184313270"/>
      <w:bookmarkEnd w:id="34"/>
      <w:bookmarkStart w:id="35" w:name="_Toc184312078"/>
      <w:bookmarkEnd w:id="35"/>
      <w:bookmarkStart w:id="36" w:name="_Toc184314462"/>
      <w:bookmarkEnd w:id="36"/>
      <w:bookmarkStart w:id="37" w:name="_Toc184310330"/>
      <w:bookmarkEnd w:id="37"/>
      <w:bookmarkStart w:id="38" w:name="_Toc184312114"/>
      <w:bookmarkEnd w:id="38"/>
      <w:bookmarkStart w:id="39" w:name="_Toc184308087"/>
      <w:bookmarkEnd w:id="39"/>
      <w:bookmarkStart w:id="40" w:name="_Toc184314417"/>
      <w:bookmarkEnd w:id="40"/>
      <w:bookmarkStart w:id="41" w:name="_Toc184312082"/>
      <w:bookmarkEnd w:id="41"/>
      <w:bookmarkStart w:id="42" w:name="_Toc184312106"/>
      <w:bookmarkEnd w:id="42"/>
      <w:bookmarkStart w:id="43" w:name="_Toc184308089"/>
      <w:bookmarkEnd w:id="43"/>
      <w:bookmarkStart w:id="44" w:name="_Toc184314461"/>
      <w:bookmarkEnd w:id="44"/>
      <w:bookmarkStart w:id="45" w:name="_Toc184314434"/>
      <w:bookmarkEnd w:id="45"/>
      <w:bookmarkStart w:id="46" w:name="_Toc184312124"/>
      <w:bookmarkEnd w:id="46"/>
      <w:bookmarkStart w:id="47" w:name="_Toc184308061"/>
      <w:bookmarkEnd w:id="47"/>
      <w:bookmarkStart w:id="48" w:name="_Toc184313290"/>
      <w:bookmarkEnd w:id="48"/>
      <w:bookmarkStart w:id="49" w:name="_Toc184310307"/>
      <w:bookmarkEnd w:id="49"/>
      <w:bookmarkStart w:id="50" w:name="_Toc184310294"/>
      <w:bookmarkEnd w:id="50"/>
      <w:bookmarkStart w:id="51" w:name="_Toc184314477"/>
      <w:bookmarkEnd w:id="51"/>
      <w:bookmarkStart w:id="52" w:name="_Toc184313259"/>
      <w:bookmarkEnd w:id="52"/>
      <w:bookmarkStart w:id="53" w:name="_Toc184308077"/>
      <w:bookmarkEnd w:id="53"/>
      <w:bookmarkStart w:id="54" w:name="_Toc184308108"/>
      <w:bookmarkEnd w:id="54"/>
      <w:bookmarkStart w:id="55" w:name="_Toc184310314"/>
      <w:bookmarkEnd w:id="55"/>
      <w:bookmarkStart w:id="56" w:name="_Toc184308047"/>
      <w:bookmarkEnd w:id="56"/>
      <w:bookmarkStart w:id="57" w:name="_Toc184310317"/>
      <w:bookmarkEnd w:id="57"/>
      <w:bookmarkStart w:id="58" w:name="_Toc184314413"/>
      <w:bookmarkEnd w:id="58"/>
      <w:bookmarkStart w:id="59" w:name="_Toc184310300"/>
      <w:bookmarkEnd w:id="59"/>
      <w:bookmarkStart w:id="60" w:name="_Toc184312111"/>
      <w:bookmarkEnd w:id="60"/>
      <w:bookmarkStart w:id="61" w:name="_Toc184314450"/>
      <w:bookmarkEnd w:id="61"/>
      <w:bookmarkStart w:id="62" w:name="_Toc184312097"/>
      <w:bookmarkEnd w:id="62"/>
      <w:bookmarkStart w:id="63" w:name="_Toc184310282"/>
      <w:bookmarkEnd w:id="63"/>
      <w:bookmarkStart w:id="64" w:name="_Toc184310297"/>
      <w:bookmarkEnd w:id="64"/>
      <w:bookmarkStart w:id="65" w:name="_Toc184308052"/>
      <w:bookmarkEnd w:id="65"/>
      <w:bookmarkStart w:id="66" w:name="_Toc184310313"/>
      <w:bookmarkEnd w:id="66"/>
      <w:bookmarkStart w:id="67" w:name="_Toc184310320"/>
      <w:bookmarkEnd w:id="67"/>
      <w:bookmarkStart w:id="68" w:name="_Toc184310284"/>
      <w:bookmarkEnd w:id="68"/>
      <w:bookmarkStart w:id="69" w:name="_Toc184312071"/>
      <w:bookmarkEnd w:id="69"/>
      <w:bookmarkStart w:id="70" w:name="_Toc184313305"/>
      <w:bookmarkEnd w:id="70"/>
      <w:bookmarkStart w:id="71" w:name="_Toc184310280"/>
      <w:bookmarkEnd w:id="71"/>
      <w:bookmarkStart w:id="72" w:name="_Toc184308098"/>
      <w:bookmarkEnd w:id="72"/>
      <w:bookmarkStart w:id="73" w:name="_Toc184314473"/>
      <w:bookmarkEnd w:id="73"/>
      <w:bookmarkStart w:id="74" w:name="_Toc184310310"/>
      <w:bookmarkEnd w:id="74"/>
      <w:bookmarkStart w:id="75" w:name="_Toc184310322"/>
      <w:bookmarkEnd w:id="75"/>
      <w:bookmarkStart w:id="76" w:name="_Toc184308079"/>
      <w:bookmarkEnd w:id="76"/>
      <w:bookmarkStart w:id="77" w:name="_Toc184308094"/>
      <w:bookmarkEnd w:id="77"/>
      <w:bookmarkStart w:id="78" w:name="_Toc184314467"/>
      <w:bookmarkEnd w:id="78"/>
      <w:bookmarkStart w:id="79" w:name="_Toc184313288"/>
      <w:bookmarkEnd w:id="79"/>
      <w:bookmarkStart w:id="80" w:name="_Toc184313260"/>
      <w:bookmarkEnd w:id="80"/>
      <w:bookmarkStart w:id="81" w:name="_Toc184308059"/>
      <w:bookmarkEnd w:id="81"/>
      <w:bookmarkStart w:id="82" w:name="_Toc184313252"/>
      <w:bookmarkEnd w:id="82"/>
      <w:bookmarkStart w:id="83" w:name="_Toc184310276"/>
      <w:bookmarkEnd w:id="83"/>
      <w:bookmarkStart w:id="84" w:name="_Toc184312085"/>
      <w:bookmarkEnd w:id="84"/>
      <w:bookmarkStart w:id="85" w:name="_Toc184310289"/>
      <w:bookmarkEnd w:id="85"/>
      <w:bookmarkStart w:id="86" w:name="_Toc184313275"/>
      <w:bookmarkEnd w:id="86"/>
      <w:bookmarkStart w:id="87" w:name="_Toc184314455"/>
      <w:bookmarkEnd w:id="87"/>
      <w:bookmarkStart w:id="88" w:name="_Toc184308078"/>
      <w:bookmarkEnd w:id="88"/>
      <w:bookmarkStart w:id="89" w:name="_Toc184308071"/>
      <w:bookmarkEnd w:id="89"/>
      <w:bookmarkStart w:id="90" w:name="_Toc184314437"/>
      <w:bookmarkEnd w:id="90"/>
      <w:bookmarkStart w:id="91" w:name="_Toc184308086"/>
      <w:bookmarkEnd w:id="91"/>
      <w:bookmarkStart w:id="92" w:name="_Toc184312080"/>
      <w:bookmarkEnd w:id="92"/>
      <w:bookmarkStart w:id="93" w:name="_Toc184312101"/>
      <w:bookmarkEnd w:id="93"/>
      <w:bookmarkStart w:id="94" w:name="_Toc184310342"/>
      <w:bookmarkEnd w:id="94"/>
      <w:bookmarkStart w:id="95" w:name="_Toc184314472"/>
      <w:bookmarkEnd w:id="95"/>
      <w:bookmarkStart w:id="96" w:name="_Toc184313245"/>
      <w:bookmarkEnd w:id="96"/>
      <w:bookmarkStart w:id="97" w:name="_Toc184313269"/>
      <w:bookmarkEnd w:id="97"/>
      <w:bookmarkStart w:id="98" w:name="_Toc184313244"/>
      <w:bookmarkEnd w:id="98"/>
      <w:bookmarkStart w:id="99" w:name="_Toc184314426"/>
      <w:bookmarkEnd w:id="99"/>
      <w:bookmarkStart w:id="100" w:name="_Toc184312126"/>
      <w:bookmarkEnd w:id="100"/>
      <w:bookmarkStart w:id="101" w:name="_Toc184314456"/>
      <w:bookmarkEnd w:id="101"/>
      <w:bookmarkStart w:id="102" w:name="_Toc184313293"/>
      <w:bookmarkEnd w:id="102"/>
      <w:bookmarkStart w:id="103" w:name="_Toc184308062"/>
      <w:bookmarkEnd w:id="103"/>
      <w:bookmarkStart w:id="104" w:name="_Toc184310327"/>
      <w:bookmarkEnd w:id="104"/>
      <w:bookmarkStart w:id="105" w:name="_Toc184310292"/>
      <w:bookmarkEnd w:id="105"/>
      <w:bookmarkStart w:id="106" w:name="_Toc184314428"/>
      <w:bookmarkEnd w:id="106"/>
      <w:bookmarkStart w:id="107" w:name="_Toc184310315"/>
      <w:bookmarkEnd w:id="107"/>
      <w:bookmarkStart w:id="108" w:name="_Toc184310306"/>
      <w:bookmarkEnd w:id="108"/>
      <w:bookmarkStart w:id="109" w:name="_Toc184313297"/>
      <w:bookmarkEnd w:id="109"/>
      <w:bookmarkStart w:id="110" w:name="_Toc184308051"/>
      <w:bookmarkEnd w:id="110"/>
      <w:bookmarkStart w:id="111" w:name="_Toc184312133"/>
      <w:bookmarkEnd w:id="111"/>
      <w:bookmarkStart w:id="112" w:name="_Toc184314474"/>
      <w:bookmarkEnd w:id="112"/>
      <w:bookmarkStart w:id="113" w:name="_Toc184312098"/>
      <w:bookmarkEnd w:id="113"/>
      <w:bookmarkStart w:id="114" w:name="_Toc184308053"/>
      <w:bookmarkEnd w:id="114"/>
      <w:bookmarkStart w:id="115" w:name="_Toc184308090"/>
      <w:bookmarkEnd w:id="115"/>
      <w:bookmarkStart w:id="116" w:name="_Toc184314470"/>
      <w:bookmarkEnd w:id="116"/>
      <w:bookmarkStart w:id="117" w:name="_Toc184313274"/>
      <w:bookmarkEnd w:id="117"/>
      <w:bookmarkStart w:id="118" w:name="_Toc184312105"/>
      <w:bookmarkEnd w:id="118"/>
      <w:bookmarkStart w:id="119" w:name="_Toc184314444"/>
      <w:bookmarkEnd w:id="119"/>
      <w:bookmarkStart w:id="120" w:name="_Toc184314433"/>
      <w:bookmarkEnd w:id="120"/>
      <w:bookmarkStart w:id="121" w:name="_Toc184310337"/>
      <w:bookmarkEnd w:id="121"/>
      <w:bookmarkStart w:id="122" w:name="_Toc184313262"/>
      <w:bookmarkEnd w:id="122"/>
      <w:bookmarkStart w:id="123" w:name="_Toc184308040"/>
      <w:bookmarkEnd w:id="123"/>
      <w:bookmarkStart w:id="124" w:name="_Toc184312081"/>
      <w:bookmarkEnd w:id="124"/>
      <w:bookmarkStart w:id="125" w:name="_Toc184310272"/>
      <w:bookmarkEnd w:id="125"/>
      <w:bookmarkStart w:id="126" w:name="_Toc184314430"/>
      <w:bookmarkEnd w:id="126"/>
      <w:bookmarkStart w:id="127" w:name="_Toc184312079"/>
      <w:bookmarkEnd w:id="127"/>
      <w:bookmarkStart w:id="128" w:name="_Toc184312123"/>
      <w:bookmarkEnd w:id="128"/>
      <w:bookmarkStart w:id="129" w:name="_Toc184312077"/>
      <w:bookmarkEnd w:id="129"/>
      <w:bookmarkStart w:id="130" w:name="_Toc184308085"/>
      <w:bookmarkEnd w:id="130"/>
      <w:bookmarkStart w:id="131" w:name="_Toc184308064"/>
      <w:bookmarkEnd w:id="131"/>
      <w:bookmarkStart w:id="132" w:name="_Toc184308104"/>
      <w:bookmarkEnd w:id="132"/>
      <w:bookmarkStart w:id="133" w:name="_Toc184314453"/>
      <w:bookmarkEnd w:id="133"/>
      <w:bookmarkStart w:id="134" w:name="_Toc184314422"/>
      <w:bookmarkEnd w:id="134"/>
      <w:bookmarkStart w:id="135" w:name="_Toc184312109"/>
      <w:bookmarkEnd w:id="135"/>
      <w:bookmarkStart w:id="136" w:name="_Toc184313282"/>
      <w:bookmarkEnd w:id="136"/>
      <w:bookmarkStart w:id="137" w:name="_Toc184314454"/>
      <w:bookmarkEnd w:id="137"/>
      <w:bookmarkStart w:id="138" w:name="_Toc184314416"/>
      <w:bookmarkEnd w:id="138"/>
      <w:bookmarkStart w:id="139" w:name="_Toc184312139"/>
      <w:bookmarkEnd w:id="139"/>
      <w:bookmarkStart w:id="140" w:name="_Toc184313299"/>
      <w:bookmarkEnd w:id="140"/>
      <w:bookmarkStart w:id="141" w:name="_Toc184308048"/>
      <w:bookmarkEnd w:id="141"/>
      <w:bookmarkStart w:id="142" w:name="_Toc184313273"/>
      <w:bookmarkEnd w:id="142"/>
      <w:bookmarkStart w:id="143" w:name="_Toc184312069"/>
      <w:bookmarkEnd w:id="143"/>
      <w:bookmarkStart w:id="144" w:name="_Toc184310308"/>
      <w:bookmarkEnd w:id="144"/>
      <w:bookmarkStart w:id="145" w:name="_Toc184308103"/>
      <w:bookmarkEnd w:id="145"/>
      <w:bookmarkStart w:id="146" w:name="_Toc184314468"/>
      <w:bookmarkEnd w:id="146"/>
      <w:bookmarkStart w:id="147" w:name="_Toc184313241"/>
      <w:bookmarkEnd w:id="147"/>
      <w:bookmarkStart w:id="148" w:name="_Toc184312116"/>
      <w:bookmarkEnd w:id="148"/>
      <w:bookmarkStart w:id="149" w:name="_Toc184310277"/>
      <w:bookmarkEnd w:id="149"/>
      <w:bookmarkStart w:id="150" w:name="_Toc184312135"/>
      <w:bookmarkEnd w:id="150"/>
      <w:bookmarkStart w:id="151" w:name="_Toc184312096"/>
      <w:bookmarkEnd w:id="151"/>
      <w:bookmarkStart w:id="152" w:name="_Toc184313300"/>
      <w:bookmarkEnd w:id="152"/>
      <w:bookmarkStart w:id="153" w:name="_Toc184313251"/>
      <w:bookmarkEnd w:id="153"/>
      <w:bookmarkStart w:id="154" w:name="_Toc184314466"/>
      <w:bookmarkEnd w:id="154"/>
      <w:bookmarkStart w:id="155" w:name="_Toc184310285"/>
      <w:bookmarkEnd w:id="155"/>
      <w:bookmarkStart w:id="156" w:name="_Toc184313310"/>
      <w:bookmarkEnd w:id="156"/>
      <w:bookmarkStart w:id="157" w:name="_Toc184314439"/>
      <w:bookmarkEnd w:id="157"/>
      <w:bookmarkStart w:id="158" w:name="_Toc184313267"/>
      <w:bookmarkEnd w:id="158"/>
      <w:bookmarkStart w:id="159" w:name="_Toc184310338"/>
      <w:bookmarkEnd w:id="159"/>
      <w:bookmarkStart w:id="160" w:name="_Toc184313249"/>
      <w:bookmarkEnd w:id="160"/>
      <w:bookmarkStart w:id="161" w:name="_Toc184312121"/>
      <w:bookmarkEnd w:id="161"/>
      <w:bookmarkStart w:id="162" w:name="_Toc184308065"/>
      <w:bookmarkEnd w:id="162"/>
      <w:bookmarkStart w:id="163" w:name="_Toc184310295"/>
      <w:bookmarkEnd w:id="163"/>
      <w:bookmarkStart w:id="164" w:name="_Toc184313240"/>
      <w:bookmarkEnd w:id="164"/>
      <w:bookmarkStart w:id="165" w:name="_Toc184313255"/>
      <w:bookmarkEnd w:id="165"/>
      <w:bookmarkStart w:id="166" w:name="_Toc184313248"/>
      <w:bookmarkEnd w:id="166"/>
      <w:bookmarkStart w:id="167" w:name="_Toc184312084"/>
      <w:bookmarkEnd w:id="167"/>
      <w:bookmarkStart w:id="168" w:name="_Toc184310290"/>
      <w:bookmarkEnd w:id="168"/>
      <w:bookmarkStart w:id="169" w:name="_Toc184312132"/>
      <w:bookmarkEnd w:id="169"/>
      <w:bookmarkStart w:id="170" w:name="_Toc184314480"/>
      <w:bookmarkEnd w:id="170"/>
      <w:bookmarkStart w:id="171" w:name="_Toc184310275"/>
      <w:bookmarkEnd w:id="171"/>
      <w:bookmarkStart w:id="172" w:name="_Toc184310278"/>
      <w:bookmarkEnd w:id="172"/>
      <w:bookmarkStart w:id="173" w:name="_Toc184314475"/>
      <w:bookmarkEnd w:id="173"/>
      <w:bookmarkStart w:id="174" w:name="_Toc184312108"/>
      <w:bookmarkEnd w:id="174"/>
      <w:bookmarkStart w:id="175" w:name="_Toc184314469"/>
      <w:bookmarkEnd w:id="175"/>
      <w:bookmarkStart w:id="176" w:name="_Toc184312068"/>
      <w:bookmarkEnd w:id="176"/>
      <w:bookmarkStart w:id="177" w:name="_Toc184308075"/>
      <w:bookmarkEnd w:id="177"/>
      <w:bookmarkStart w:id="178" w:name="_Toc184308070"/>
      <w:bookmarkEnd w:id="178"/>
      <w:bookmarkStart w:id="179" w:name="_Toc184310305"/>
      <w:bookmarkEnd w:id="179"/>
      <w:bookmarkStart w:id="180" w:name="_Toc184314442"/>
      <w:bookmarkEnd w:id="180"/>
      <w:bookmarkStart w:id="181" w:name="_Toc184312113"/>
      <w:bookmarkEnd w:id="181"/>
      <w:bookmarkStart w:id="182" w:name="_Toc184314443"/>
      <w:bookmarkEnd w:id="182"/>
      <w:bookmarkStart w:id="183" w:name="_Toc184308060"/>
      <w:bookmarkEnd w:id="183"/>
      <w:bookmarkStart w:id="184" w:name="_Toc184314458"/>
      <w:bookmarkEnd w:id="184"/>
      <w:bookmarkStart w:id="185" w:name="_Toc184308084"/>
      <w:bookmarkEnd w:id="185"/>
      <w:bookmarkStart w:id="186" w:name="_Toc184308074"/>
      <w:bookmarkEnd w:id="186"/>
      <w:bookmarkStart w:id="187" w:name="_Toc184312136"/>
      <w:bookmarkEnd w:id="187"/>
      <w:bookmarkStart w:id="188" w:name="_Toc184314457"/>
      <w:bookmarkEnd w:id="188"/>
      <w:bookmarkStart w:id="189" w:name="_Toc184312118"/>
      <w:bookmarkEnd w:id="189"/>
      <w:bookmarkStart w:id="190" w:name="_Toc184312091"/>
      <w:bookmarkEnd w:id="190"/>
      <w:bookmarkStart w:id="191" w:name="_Toc184308054"/>
      <w:bookmarkEnd w:id="191"/>
      <w:bookmarkStart w:id="192" w:name="_Toc184314420"/>
      <w:bookmarkEnd w:id="192"/>
      <w:bookmarkStart w:id="193" w:name="_Toc184314410"/>
      <w:bookmarkEnd w:id="193"/>
      <w:bookmarkStart w:id="194" w:name="_Toc184314412"/>
      <w:bookmarkEnd w:id="194"/>
      <w:bookmarkStart w:id="195" w:name="_Toc184312119"/>
      <w:bookmarkEnd w:id="195"/>
      <w:bookmarkStart w:id="196" w:name="_Toc184312134"/>
      <w:bookmarkEnd w:id="196"/>
      <w:bookmarkStart w:id="197" w:name="_Toc184314463"/>
      <w:bookmarkEnd w:id="197"/>
      <w:bookmarkStart w:id="198" w:name="_Toc184310326"/>
      <w:bookmarkEnd w:id="198"/>
      <w:bookmarkStart w:id="199" w:name="_Toc184313266"/>
      <w:bookmarkEnd w:id="199"/>
      <w:bookmarkStart w:id="200" w:name="_Toc184308068"/>
      <w:bookmarkEnd w:id="200"/>
      <w:bookmarkStart w:id="201" w:name="_Toc184308038"/>
      <w:bookmarkEnd w:id="201"/>
      <w:bookmarkStart w:id="202" w:name="_Toc184312092"/>
      <w:bookmarkEnd w:id="202"/>
      <w:bookmarkStart w:id="203" w:name="_Toc184313298"/>
      <w:bookmarkEnd w:id="203"/>
      <w:bookmarkStart w:id="204" w:name="_Toc184308099"/>
      <w:bookmarkEnd w:id="204"/>
      <w:bookmarkStart w:id="205" w:name="_Toc184308058"/>
      <w:bookmarkEnd w:id="205"/>
      <w:bookmarkStart w:id="206" w:name="_Toc184308044"/>
      <w:bookmarkEnd w:id="206"/>
      <w:bookmarkStart w:id="207" w:name="_Toc184312125"/>
      <w:bookmarkEnd w:id="207"/>
      <w:bookmarkStart w:id="208" w:name="_Toc184313257"/>
      <w:bookmarkEnd w:id="208"/>
      <w:bookmarkStart w:id="209" w:name="_Toc184313243"/>
      <w:bookmarkEnd w:id="209"/>
      <w:bookmarkStart w:id="210" w:name="_Toc184308055"/>
      <w:bookmarkEnd w:id="210"/>
      <w:bookmarkStart w:id="211" w:name="_Toc184314460"/>
      <w:bookmarkEnd w:id="211"/>
      <w:bookmarkStart w:id="212" w:name="_Toc184310303"/>
      <w:bookmarkEnd w:id="212"/>
      <w:bookmarkStart w:id="213" w:name="_Toc184314465"/>
      <w:bookmarkEnd w:id="213"/>
      <w:bookmarkStart w:id="214" w:name="_Toc184310316"/>
      <w:bookmarkEnd w:id="214"/>
      <w:bookmarkStart w:id="215" w:name="_Toc184308076"/>
      <w:bookmarkEnd w:id="215"/>
      <w:bookmarkStart w:id="216" w:name="_Toc184314423"/>
      <w:bookmarkEnd w:id="216"/>
      <w:bookmarkStart w:id="217" w:name="_Toc184312138"/>
      <w:bookmarkEnd w:id="217"/>
      <w:bookmarkStart w:id="218" w:name="_Toc184314425"/>
      <w:bookmarkEnd w:id="218"/>
      <w:bookmarkStart w:id="219" w:name="_Toc184313294"/>
      <w:bookmarkEnd w:id="219"/>
      <w:bookmarkStart w:id="220" w:name="_Toc184312102"/>
      <w:bookmarkEnd w:id="220"/>
      <w:bookmarkStart w:id="221" w:name="_Toc184310304"/>
      <w:bookmarkEnd w:id="221"/>
      <w:bookmarkStart w:id="222" w:name="_Toc184314438"/>
      <w:bookmarkEnd w:id="222"/>
      <w:bookmarkStart w:id="223" w:name="_Toc184312103"/>
      <w:bookmarkEnd w:id="223"/>
      <w:bookmarkStart w:id="224" w:name="_Toc184312112"/>
      <w:bookmarkEnd w:id="224"/>
      <w:bookmarkStart w:id="225" w:name="_Toc184313265"/>
      <w:bookmarkEnd w:id="225"/>
      <w:bookmarkStart w:id="226" w:name="_Toc184313261"/>
      <w:bookmarkEnd w:id="226"/>
      <w:bookmarkStart w:id="227" w:name="_Toc184314459"/>
      <w:bookmarkEnd w:id="227"/>
      <w:bookmarkStart w:id="228" w:name="_Toc184312094"/>
      <w:bookmarkEnd w:id="228"/>
      <w:bookmarkStart w:id="229" w:name="_Toc184313253"/>
      <w:bookmarkEnd w:id="229"/>
      <w:bookmarkStart w:id="230" w:name="_Toc184308080"/>
      <w:bookmarkEnd w:id="230"/>
      <w:bookmarkStart w:id="231" w:name="_Toc184313289"/>
      <w:bookmarkEnd w:id="231"/>
      <w:bookmarkStart w:id="232" w:name="_Toc184312130"/>
      <w:bookmarkEnd w:id="232"/>
      <w:bookmarkStart w:id="233" w:name="_Toc184313272"/>
      <w:bookmarkEnd w:id="233"/>
      <w:bookmarkStart w:id="234" w:name="_Toc184310332"/>
      <w:bookmarkEnd w:id="234"/>
      <w:bookmarkStart w:id="235" w:name="_Toc184313295"/>
      <w:bookmarkEnd w:id="235"/>
      <w:bookmarkStart w:id="236" w:name="_Toc184313285"/>
      <w:bookmarkEnd w:id="236"/>
      <w:bookmarkStart w:id="237" w:name="_Toc184312137"/>
      <w:bookmarkEnd w:id="237"/>
      <w:bookmarkStart w:id="238" w:name="_Toc184313286"/>
      <w:bookmarkEnd w:id="238"/>
      <w:bookmarkStart w:id="239" w:name="_Toc184312076"/>
      <w:bookmarkEnd w:id="239"/>
      <w:bookmarkStart w:id="240" w:name="_Toc184310283"/>
      <w:bookmarkEnd w:id="240"/>
      <w:bookmarkStart w:id="241" w:name="_Toc184310291"/>
      <w:bookmarkEnd w:id="241"/>
      <w:bookmarkStart w:id="242" w:name="_Toc184312090"/>
      <w:bookmarkEnd w:id="242"/>
      <w:bookmarkStart w:id="243" w:name="_Toc184313256"/>
      <w:bookmarkEnd w:id="243"/>
      <w:bookmarkStart w:id="244" w:name="_Toc184314441"/>
      <w:bookmarkEnd w:id="244"/>
      <w:bookmarkStart w:id="245" w:name="_Toc184308043"/>
      <w:bookmarkEnd w:id="245"/>
      <w:bookmarkStart w:id="246" w:name="_Toc184313238"/>
      <w:bookmarkEnd w:id="246"/>
      <w:bookmarkStart w:id="247" w:name="_Toc184310302"/>
      <w:bookmarkEnd w:id="247"/>
      <w:bookmarkStart w:id="248" w:name="_Toc184308083"/>
      <w:bookmarkEnd w:id="248"/>
      <w:bookmarkStart w:id="249" w:name="_Toc184312122"/>
      <w:bookmarkEnd w:id="249"/>
      <w:bookmarkStart w:id="250" w:name="_Toc184314421"/>
      <w:bookmarkEnd w:id="250"/>
      <w:bookmarkStart w:id="251" w:name="_Toc184308082"/>
      <w:bookmarkEnd w:id="251"/>
      <w:bookmarkStart w:id="252" w:name="_Toc184312104"/>
      <w:bookmarkEnd w:id="252"/>
      <w:bookmarkStart w:id="253" w:name="_Toc184308066"/>
      <w:bookmarkEnd w:id="253"/>
      <w:bookmarkStart w:id="254" w:name="_Toc184313281"/>
      <w:bookmarkEnd w:id="254"/>
      <w:bookmarkStart w:id="255" w:name="_Toc184312088"/>
      <w:bookmarkEnd w:id="255"/>
      <w:bookmarkStart w:id="256" w:name="_Toc184308100"/>
      <w:bookmarkEnd w:id="256"/>
      <w:bookmarkStart w:id="257" w:name="_Toc184310325"/>
      <w:bookmarkEnd w:id="257"/>
      <w:bookmarkStart w:id="258" w:name="_Toc184312099"/>
      <w:bookmarkEnd w:id="258"/>
      <w:bookmarkStart w:id="259" w:name="_Toc184314415"/>
      <w:bookmarkEnd w:id="259"/>
      <w:bookmarkStart w:id="260" w:name="_Toc184308049"/>
      <w:bookmarkEnd w:id="260"/>
      <w:bookmarkStart w:id="261" w:name="_Toc184313242"/>
      <w:bookmarkEnd w:id="261"/>
      <w:bookmarkStart w:id="262" w:name="_Toc184308069"/>
      <w:bookmarkEnd w:id="262"/>
      <w:bookmarkStart w:id="263" w:name="_Toc184312107"/>
      <w:bookmarkEnd w:id="263"/>
      <w:bookmarkStart w:id="264" w:name="_Toc184308050"/>
      <w:bookmarkEnd w:id="264"/>
      <w:bookmarkStart w:id="265" w:name="_Toc184308092"/>
      <w:bookmarkEnd w:id="265"/>
      <w:bookmarkStart w:id="266" w:name="_Toc184313250"/>
      <w:bookmarkEnd w:id="266"/>
      <w:bookmarkStart w:id="267" w:name="_Toc184312129"/>
      <w:bookmarkEnd w:id="267"/>
      <w:bookmarkStart w:id="268" w:name="_Toc184308042"/>
      <w:bookmarkEnd w:id="268"/>
      <w:bookmarkStart w:id="269" w:name="_Toc184312120"/>
      <w:bookmarkEnd w:id="269"/>
      <w:bookmarkStart w:id="270" w:name="_Toc184308041"/>
      <w:bookmarkEnd w:id="270"/>
      <w:bookmarkStart w:id="271" w:name="_Toc184308105"/>
      <w:bookmarkEnd w:id="271"/>
      <w:bookmarkStart w:id="272" w:name="_Toc184312083"/>
      <w:bookmarkEnd w:id="272"/>
      <w:bookmarkStart w:id="273" w:name="_Toc184308097"/>
      <w:bookmarkEnd w:id="273"/>
      <w:bookmarkStart w:id="274" w:name="_Toc184308081"/>
      <w:bookmarkEnd w:id="274"/>
      <w:bookmarkStart w:id="275" w:name="_Toc184310309"/>
      <w:bookmarkEnd w:id="275"/>
      <w:bookmarkStart w:id="276" w:name="_Toc184313278"/>
      <w:bookmarkEnd w:id="276"/>
      <w:bookmarkStart w:id="277" w:name="_Toc184310311"/>
      <w:bookmarkEnd w:id="277"/>
      <w:bookmarkStart w:id="278" w:name="_Toc184310329"/>
      <w:bookmarkEnd w:id="278"/>
      <w:bookmarkStart w:id="279" w:name="_Toc184308091"/>
      <w:bookmarkEnd w:id="279"/>
      <w:bookmarkStart w:id="280" w:name="_Toc184314476"/>
      <w:bookmarkEnd w:id="280"/>
      <w:bookmarkStart w:id="281" w:name="_Toc184312073"/>
      <w:bookmarkEnd w:id="281"/>
      <w:bookmarkStart w:id="282" w:name="_Toc184313263"/>
      <w:bookmarkEnd w:id="282"/>
      <w:bookmarkStart w:id="283" w:name="_Toc184314419"/>
      <w:bookmarkEnd w:id="283"/>
      <w:bookmarkStart w:id="284" w:name="_Toc184313268"/>
      <w:bookmarkEnd w:id="284"/>
      <w:bookmarkStart w:id="285" w:name="_Toc184308096"/>
      <w:bookmarkEnd w:id="285"/>
      <w:bookmarkStart w:id="286" w:name="_Toc184313247"/>
      <w:bookmarkEnd w:id="286"/>
      <w:bookmarkStart w:id="287" w:name="_Toc184310287"/>
      <w:bookmarkEnd w:id="287"/>
      <w:bookmarkStart w:id="288" w:name="_Toc184313279"/>
      <w:bookmarkEnd w:id="288"/>
      <w:bookmarkStart w:id="289" w:name="_Toc184310318"/>
      <w:bookmarkEnd w:id="289"/>
      <w:bookmarkStart w:id="290" w:name="_Toc184314482"/>
      <w:bookmarkEnd w:id="290"/>
      <w:bookmarkStart w:id="291" w:name="_Toc184313306"/>
      <w:bookmarkEnd w:id="291"/>
      <w:bookmarkStart w:id="292" w:name="_Toc184314446"/>
      <w:bookmarkEnd w:id="292"/>
      <w:bookmarkStart w:id="293" w:name="_Toc184313246"/>
      <w:bookmarkEnd w:id="293"/>
      <w:bookmarkStart w:id="294" w:name="_Toc184312131"/>
      <w:bookmarkEnd w:id="294"/>
      <w:bookmarkStart w:id="295" w:name="_Toc184308107"/>
      <w:bookmarkEnd w:id="295"/>
      <w:bookmarkStart w:id="296" w:name="_Toc184312086"/>
      <w:bookmarkEnd w:id="296"/>
      <w:bookmarkStart w:id="297" w:name="_Toc184310298"/>
      <w:bookmarkEnd w:id="297"/>
      <w:bookmarkStart w:id="298" w:name="_Toc184308072"/>
      <w:bookmarkEnd w:id="298"/>
      <w:bookmarkStart w:id="299" w:name="_Toc184310319"/>
      <w:bookmarkEnd w:id="299"/>
      <w:bookmarkStart w:id="300" w:name="_Toc184310343"/>
      <w:bookmarkEnd w:id="300"/>
      <w:bookmarkStart w:id="301" w:name="_Toc184313239"/>
      <w:bookmarkEnd w:id="301"/>
      <w:bookmarkStart w:id="302" w:name="_Toc184312072"/>
      <w:bookmarkEnd w:id="302"/>
      <w:bookmarkStart w:id="303" w:name="_Toc184312127"/>
      <w:bookmarkEnd w:id="303"/>
      <w:bookmarkStart w:id="304" w:name="_Toc184308073"/>
      <w:bookmarkEnd w:id="304"/>
      <w:bookmarkStart w:id="305" w:name="_Toc184314414"/>
      <w:bookmarkEnd w:id="305"/>
      <w:bookmarkStart w:id="306" w:name="_Toc184314435"/>
      <w:bookmarkEnd w:id="306"/>
      <w:bookmarkStart w:id="307" w:name="_Toc184313271"/>
      <w:bookmarkEnd w:id="307"/>
      <w:bookmarkStart w:id="308" w:name="_Toc184310335"/>
      <w:bookmarkEnd w:id="308"/>
      <w:bookmarkStart w:id="309" w:name="_Toc184313309"/>
      <w:bookmarkEnd w:id="309"/>
      <w:bookmarkStart w:id="310" w:name="_Toc184313258"/>
      <w:bookmarkEnd w:id="310"/>
      <w:bookmarkStart w:id="311" w:name="_Toc184314436"/>
      <w:bookmarkEnd w:id="311"/>
      <w:bookmarkStart w:id="312" w:name="_Toc184310301"/>
      <w:bookmarkEnd w:id="312"/>
      <w:bookmarkStart w:id="313" w:name="_Toc184312089"/>
      <w:bookmarkEnd w:id="313"/>
      <w:bookmarkStart w:id="314" w:name="_Toc184308093"/>
      <w:bookmarkEnd w:id="314"/>
      <w:bookmarkStart w:id="315" w:name="_Toc184314448"/>
      <w:bookmarkEnd w:id="315"/>
      <w:bookmarkStart w:id="316" w:name="_Toc184312128"/>
      <w:bookmarkEnd w:id="316"/>
      <w:bookmarkStart w:id="317" w:name="_Toc184308106"/>
      <w:bookmarkEnd w:id="317"/>
      <w:bookmarkStart w:id="318" w:name="_Toc184312110"/>
      <w:bookmarkEnd w:id="318"/>
      <w:bookmarkStart w:id="319" w:name="_Toc184314449"/>
      <w:bookmarkEnd w:id="319"/>
      <w:bookmarkStart w:id="320" w:name="_Toc184313276"/>
      <w:bookmarkEnd w:id="320"/>
      <w:bookmarkStart w:id="321" w:name="_Toc184314429"/>
      <w:bookmarkEnd w:id="321"/>
      <w:bookmarkStart w:id="322" w:name="_Toc184310274"/>
      <w:bookmarkEnd w:id="322"/>
      <w:bookmarkStart w:id="323" w:name="_Toc184310328"/>
      <w:bookmarkEnd w:id="323"/>
      <w:bookmarkStart w:id="324" w:name="_Toc184310281"/>
      <w:bookmarkEnd w:id="324"/>
      <w:bookmarkStart w:id="325" w:name="_Toc184313277"/>
      <w:bookmarkEnd w:id="325"/>
      <w:bookmarkStart w:id="326" w:name="_Toc184310334"/>
      <w:bookmarkEnd w:id="326"/>
      <w:bookmarkStart w:id="327" w:name="_Toc184313283"/>
      <w:bookmarkEnd w:id="327"/>
      <w:bookmarkStart w:id="328" w:name="_Toc184313307"/>
      <w:bookmarkEnd w:id="328"/>
      <w:bookmarkStart w:id="329" w:name="_Toc184312075"/>
      <w:bookmarkEnd w:id="329"/>
      <w:bookmarkStart w:id="330" w:name="_Toc184313303"/>
      <w:bookmarkEnd w:id="330"/>
      <w:bookmarkStart w:id="331" w:name="_Toc184310288"/>
      <w:bookmarkEnd w:id="331"/>
      <w:bookmarkStart w:id="332" w:name="_Toc184310321"/>
      <w:bookmarkEnd w:id="332"/>
      <w:bookmarkStart w:id="333" w:name="_Toc184310286"/>
      <w:bookmarkEnd w:id="333"/>
      <w:bookmarkStart w:id="334" w:name="_Toc184310296"/>
      <w:bookmarkEnd w:id="334"/>
      <w:bookmarkStart w:id="335" w:name="_Toc184313292"/>
      <w:bookmarkEnd w:id="335"/>
      <w:bookmarkStart w:id="336" w:name="_Toc184310323"/>
      <w:bookmarkEnd w:id="336"/>
      <w:bookmarkStart w:id="337" w:name="_Toc184314451"/>
      <w:bookmarkEnd w:id="337"/>
      <w:bookmarkStart w:id="338" w:name="_Toc184310344"/>
      <w:bookmarkEnd w:id="338"/>
      <w:bookmarkStart w:id="339" w:name="_Toc184313296"/>
      <w:bookmarkEnd w:id="339"/>
      <w:bookmarkStart w:id="340" w:name="_Toc184312115"/>
      <w:bookmarkEnd w:id="340"/>
      <w:bookmarkStart w:id="341" w:name="_Toc184312067"/>
      <w:bookmarkEnd w:id="341"/>
      <w:bookmarkStart w:id="342" w:name="_Toc184308095"/>
      <w:bookmarkEnd w:id="342"/>
      <w:bookmarkStart w:id="343" w:name="_Toc184308056"/>
      <w:bookmarkEnd w:id="343"/>
      <w:bookmarkStart w:id="344" w:name="_Toc184308067"/>
      <w:bookmarkEnd w:id="344"/>
      <w:bookmarkStart w:id="345" w:name="_Toc184312070"/>
      <w:bookmarkEnd w:id="345"/>
      <w:bookmarkStart w:id="346" w:name="_Toc184314440"/>
      <w:bookmarkEnd w:id="346"/>
      <w:bookmarkStart w:id="347" w:name="_Toc184308036"/>
      <w:bookmarkEnd w:id="347"/>
      <w:bookmarkStart w:id="348" w:name="_Toc184314478"/>
      <w:bookmarkEnd w:id="348"/>
      <w:bookmarkStart w:id="349" w:name="_Toc184310340"/>
      <w:bookmarkEnd w:id="349"/>
      <w:bookmarkStart w:id="350" w:name="_Toc184310299"/>
      <w:bookmarkEnd w:id="350"/>
      <w:bookmarkStart w:id="351" w:name="_Toc184313291"/>
      <w:bookmarkEnd w:id="351"/>
      <w:bookmarkStart w:id="352" w:name="_Toc184308046"/>
      <w:bookmarkEnd w:id="352"/>
      <w:bookmarkStart w:id="353" w:name="_Toc184308102"/>
      <w:bookmarkEnd w:id="353"/>
      <w:bookmarkStart w:id="354" w:name="_Toc184308045"/>
      <w:bookmarkEnd w:id="354"/>
      <w:bookmarkStart w:id="355" w:name="_Toc184314471"/>
      <w:bookmarkEnd w:id="355"/>
      <w:bookmarkStart w:id="356" w:name="_Toc184308037"/>
      <w:bookmarkEnd w:id="356"/>
      <w:bookmarkStart w:id="357" w:name="_Toc184314452"/>
      <w:bookmarkEnd w:id="357"/>
      <w:bookmarkStart w:id="358" w:name="_Toc184313302"/>
      <w:bookmarkEnd w:id="358"/>
      <w:bookmarkStart w:id="359" w:name="_Toc184310331"/>
      <w:bookmarkEnd w:id="359"/>
      <w:bookmarkStart w:id="360" w:name="_Toc184313287"/>
      <w:bookmarkEnd w:id="360"/>
      <w:bookmarkStart w:id="361" w:name="_Toc184310273"/>
      <w:bookmarkEnd w:id="361"/>
      <w:bookmarkStart w:id="362" w:name="_Toc184314418"/>
      <w:bookmarkEnd w:id="362"/>
      <w:bookmarkStart w:id="363" w:name="_Toc184310293"/>
      <w:bookmarkEnd w:id="363"/>
      <w:bookmarkStart w:id="364" w:name="_Toc184312087"/>
      <w:bookmarkEnd w:id="364"/>
      <w:bookmarkStart w:id="365" w:name="_Toc184312117"/>
      <w:bookmarkEnd w:id="365"/>
      <w:bookmarkStart w:id="366" w:name="_Toc184314445"/>
      <w:bookmarkEnd w:id="366"/>
      <w:bookmarkStart w:id="367" w:name="_Toc184310279"/>
      <w:bookmarkEnd w:id="367"/>
      <w:bookmarkStart w:id="368" w:name="_Toc184313284"/>
      <w:bookmarkEnd w:id="368"/>
      <w:bookmarkStart w:id="369" w:name="_Toc184313301"/>
      <w:bookmarkEnd w:id="369"/>
      <w:bookmarkStart w:id="370" w:name="_Toc184313280"/>
      <w:bookmarkEnd w:id="370"/>
      <w:bookmarkStart w:id="371" w:name="_Toc184314427"/>
      <w:bookmarkEnd w:id="371"/>
      <w:bookmarkStart w:id="372" w:name="_Toc184313264"/>
      <w:bookmarkEnd w:id="372"/>
      <w:bookmarkStart w:id="373" w:name="_Toc184308057"/>
      <w:bookmarkEnd w:id="373"/>
      <w:bookmarkStart w:id="374" w:name="_Toc184308088"/>
      <w:bookmarkEnd w:id="374"/>
      <w:bookmarkStart w:id="375" w:name="_Toc184314481"/>
      <w:bookmarkEnd w:id="375"/>
      <w:bookmarkStart w:id="376" w:name="_Toc184314411"/>
      <w:bookmarkEnd w:id="376"/>
      <w:bookmarkStart w:id="377" w:name="_Toc184310336"/>
      <w:bookmarkEnd w:id="377"/>
      <w:bookmarkStart w:id="378" w:name="_Toc184314479"/>
      <w:bookmarkEnd w:id="378"/>
      <w:bookmarkStart w:id="379" w:name="_Toc184308063"/>
      <w:bookmarkEnd w:id="379"/>
      <w:bookmarkStart w:id="380" w:name="_Toc184308101"/>
      <w:bookmarkEnd w:id="380"/>
      <w:bookmarkStart w:id="381" w:name="_Toc184314432"/>
      <w:bookmarkEnd w:id="381"/>
      <w:bookmarkStart w:id="382" w:name="_Toc184314431"/>
      <w:bookmarkEnd w:id="382"/>
      <w:bookmarkStart w:id="383" w:name="_Toc184310312"/>
      <w:bookmarkEnd w:id="383"/>
      <w:bookmarkStart w:id="384" w:name="_Toc184310324"/>
      <w:bookmarkEnd w:id="384"/>
      <w:bookmarkStart w:id="385" w:name="_Toc184308039"/>
      <w:bookmarkEnd w:id="385"/>
      <w:bookmarkStart w:id="386" w:name="_Toc184313304"/>
      <w:bookmarkEnd w:id="386"/>
      <w:bookmarkStart w:id="387" w:name="_Toc184310341"/>
      <w:bookmarkEnd w:id="387"/>
      <w:bookmarkStart w:id="388" w:name="_Toc184314424"/>
      <w:bookmarkEnd w:id="388"/>
      <w:bookmarkStart w:id="389" w:name="_Toc184310339"/>
      <w:bookmarkEnd w:id="389"/>
      <w:bookmarkStart w:id="390" w:name="_Toc184312093"/>
      <w:bookmarkEnd w:id="390"/>
      <w:bookmarkStart w:id="391" w:name="_Toc184312095"/>
      <w:bookmarkEnd w:id="391"/>
      <w:bookmarkStart w:id="392" w:name="_Toc184312100"/>
      <w:bookmarkEnd w:id="392"/>
      <w:bookmarkStart w:id="393" w:name="_Toc184313308"/>
      <w:bookmarkEnd w:id="393"/>
      <w:bookmarkStart w:id="394" w:name="_Toc184310333"/>
      <w:bookmarkEnd w:id="394"/>
      <w:bookmarkStart w:id="395" w:name="_Toc184313254"/>
      <w:bookmarkEnd w:id="395"/>
      <w:bookmarkStart w:id="396" w:name="_Toc184314464"/>
      <w:bookmarkEnd w:id="396"/>
      <w:bookmarkStart w:id="397" w:name="_Toc184312074"/>
      <w:bookmarkEnd w:id="397"/>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W w:w="4996" w:type="pct"/>
        <w:tblInd w:w="0" w:type="dxa"/>
        <w:tblLayout w:type="autofit"/>
        <w:tblCellMar>
          <w:top w:w="0" w:type="dxa"/>
          <w:left w:w="108" w:type="dxa"/>
          <w:bottom w:w="0" w:type="dxa"/>
          <w:right w:w="108" w:type="dxa"/>
        </w:tblCellMar>
      </w:tblPr>
      <w:tblGrid>
        <w:gridCol w:w="955"/>
        <w:gridCol w:w="4848"/>
        <w:gridCol w:w="1322"/>
        <w:gridCol w:w="2154"/>
      </w:tblGrid>
      <w:tr>
        <w:tblPrEx>
          <w:tblCellMar>
            <w:top w:w="0" w:type="dxa"/>
            <w:left w:w="108" w:type="dxa"/>
            <w:bottom w:w="0" w:type="dxa"/>
            <w:right w:w="108" w:type="dxa"/>
          </w:tblCellMar>
        </w:tblPrEx>
        <w:trPr>
          <w:trHeight w:val="57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评标标准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权重</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投标文件中评标标准相应的商务技术资料目录*</w:t>
            </w:r>
          </w:p>
        </w:tc>
      </w:tr>
      <w:tr>
        <w:tblPrEx>
          <w:tblCellMar>
            <w:top w:w="0" w:type="dxa"/>
            <w:left w:w="108" w:type="dxa"/>
            <w:bottom w:w="0" w:type="dxa"/>
            <w:right w:w="108" w:type="dxa"/>
          </w:tblCellMar>
        </w:tblPrEx>
        <w:trPr>
          <w:trHeight w:val="660"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sz w:val="24"/>
                <w:lang w:val="en-US"/>
              </w:rPr>
            </w:pPr>
            <w:r>
              <w:rPr>
                <w:rFonts w:hint="default" w:ascii="宋体" w:hAnsi="宋体" w:cs="宋体"/>
                <w:color w:val="000000"/>
                <w:sz w:val="24"/>
                <w:lang w:val="en-US"/>
              </w:rPr>
              <w:t>1</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lang w:bidi="ar"/>
              </w:rPr>
              <w:t>投标人对项目建设目标准确的理解和阐述，包括对西湖区民呼我为·西湖码综合应用一期运行现状和需求的理解分析程度。</w:t>
            </w:r>
            <w:r>
              <w:rPr>
                <w:rFonts w:hint="eastAsia" w:ascii="宋体" w:hAnsi="宋体" w:cs="宋体"/>
                <w:color w:val="auto"/>
                <w:kern w:val="0"/>
                <w:sz w:val="24"/>
                <w:highlight w:val="none"/>
                <w:lang w:bidi="ar"/>
              </w:rPr>
              <w:t>符合采购需求的得</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bidi="ar"/>
              </w:rPr>
              <w:t>分，部分符合的得</w:t>
            </w:r>
            <w:r>
              <w:rPr>
                <w:rFonts w:hint="default" w:ascii="宋体" w:hAnsi="宋体" w:cs="宋体"/>
                <w:color w:val="auto"/>
                <w:kern w:val="0"/>
                <w:sz w:val="24"/>
                <w:highlight w:val="none"/>
                <w:lang w:val="en-US" w:bidi="ar"/>
              </w:rPr>
              <w:t>2</w:t>
            </w:r>
            <w:r>
              <w:rPr>
                <w:rFonts w:hint="eastAsia" w:ascii="宋体" w:hAnsi="宋体" w:cs="宋体"/>
                <w:color w:val="auto"/>
                <w:kern w:val="0"/>
                <w:sz w:val="24"/>
                <w:highlight w:val="none"/>
                <w:lang w:bidi="ar"/>
              </w:rPr>
              <w:t>分，不符合不得分。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r>
              <w:rPr>
                <w:rFonts w:hint="eastAsia" w:ascii="宋体" w:hAnsi="宋体" w:cs="宋体"/>
                <w:b/>
                <w:bCs/>
                <w:kern w:val="0"/>
                <w:sz w:val="24"/>
                <w:lang w:bidi="ar"/>
              </w:rPr>
              <w:t>（一）投标总体方案的科学性和完整性</w:t>
            </w: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default" w:ascii="宋体" w:hAnsi="宋体" w:eastAsia="宋体" w:cs="宋体"/>
                <w:sz w:val="24"/>
                <w:lang w:val="en-US" w:eastAsia="zh-CN"/>
              </w:rPr>
            </w:pPr>
            <w:r>
              <w:rPr>
                <w:rFonts w:hint="eastAsia" w:ascii="宋体" w:hAnsi="宋体" w:cs="宋体"/>
                <w:kern w:val="0"/>
                <w:sz w:val="24"/>
                <w:lang w:bidi="ar"/>
              </w:rPr>
              <w:t>投标人针对民呼我为·西湖码的定位及核心业务的理解是否充分、合理，</w:t>
            </w:r>
            <w:r>
              <w:rPr>
                <w:rFonts w:hint="eastAsia" w:ascii="宋体" w:hAnsi="宋体" w:cs="宋体"/>
                <w:kern w:val="0"/>
                <w:sz w:val="24"/>
                <w:lang w:eastAsia="zh-CN" w:bidi="ar"/>
              </w:rPr>
              <w:t>完全理解得</w:t>
            </w:r>
            <w:r>
              <w:rPr>
                <w:rFonts w:hint="default" w:ascii="宋体" w:hAnsi="宋体" w:cs="宋体"/>
                <w:kern w:val="0"/>
                <w:sz w:val="24"/>
                <w:lang w:val="en-US" w:eastAsia="zh-CN" w:bidi="ar"/>
              </w:rPr>
              <w:t>4</w:t>
            </w:r>
            <w:r>
              <w:rPr>
                <w:rFonts w:hint="eastAsia" w:ascii="宋体" w:hAnsi="宋体" w:cs="宋体"/>
                <w:kern w:val="0"/>
                <w:sz w:val="24"/>
                <w:lang w:val="en-US" w:eastAsia="zh-CN" w:bidi="ar"/>
              </w:rPr>
              <w:t>分，基本理解得</w:t>
            </w:r>
            <w:r>
              <w:rPr>
                <w:rFonts w:hint="default" w:ascii="宋体" w:hAnsi="宋体" w:cs="宋体"/>
                <w:kern w:val="0"/>
                <w:sz w:val="24"/>
                <w:lang w:val="en-US" w:eastAsia="zh-CN" w:bidi="ar"/>
              </w:rPr>
              <w:t>2</w:t>
            </w:r>
            <w:r>
              <w:rPr>
                <w:rFonts w:hint="eastAsia" w:ascii="宋体" w:hAnsi="宋体" w:cs="宋体"/>
                <w:kern w:val="0"/>
                <w:sz w:val="24"/>
                <w:lang w:val="en-US" w:eastAsia="zh-CN" w:bidi="ar"/>
              </w:rPr>
              <w:t>分，不合理不得分。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lang w:bidi="ar"/>
              </w:rPr>
              <w:t>建设方案的系统架构设计和功能实现的合理性等方面是否满足项目对应的需求。</w:t>
            </w:r>
            <w:r>
              <w:rPr>
                <w:rFonts w:hint="eastAsia" w:ascii="宋体" w:hAnsi="宋体" w:cs="宋体"/>
                <w:color w:val="auto"/>
                <w:kern w:val="0"/>
                <w:sz w:val="24"/>
                <w:highlight w:val="none"/>
                <w:lang w:bidi="ar"/>
              </w:rPr>
              <w:t>符合采购需求的得</w:t>
            </w:r>
            <w:r>
              <w:rPr>
                <w:rFonts w:hint="default" w:ascii="宋体" w:hAnsi="宋体" w:cs="宋体"/>
                <w:color w:val="auto"/>
                <w:kern w:val="0"/>
                <w:sz w:val="24"/>
                <w:highlight w:val="none"/>
                <w:lang w:val="en-US" w:eastAsia="zh-CN" w:bidi="ar"/>
              </w:rPr>
              <w:t>4</w:t>
            </w:r>
            <w:r>
              <w:rPr>
                <w:rFonts w:hint="eastAsia" w:ascii="宋体" w:hAnsi="宋体" w:cs="宋体"/>
                <w:color w:val="auto"/>
                <w:kern w:val="0"/>
                <w:sz w:val="24"/>
                <w:highlight w:val="none"/>
                <w:lang w:bidi="ar"/>
              </w:rPr>
              <w:t>分，部分符合的得</w:t>
            </w:r>
            <w:r>
              <w:rPr>
                <w:rFonts w:hint="default" w:ascii="宋体" w:hAnsi="宋体" w:cs="宋体"/>
                <w:color w:val="auto"/>
                <w:kern w:val="0"/>
                <w:sz w:val="24"/>
                <w:highlight w:val="none"/>
                <w:lang w:val="en-US" w:bidi="ar"/>
              </w:rPr>
              <w:t>2</w:t>
            </w:r>
            <w:r>
              <w:rPr>
                <w:rFonts w:hint="eastAsia" w:ascii="宋体" w:hAnsi="宋体" w:cs="宋体"/>
                <w:color w:val="auto"/>
                <w:kern w:val="0"/>
                <w:sz w:val="24"/>
                <w:highlight w:val="none"/>
                <w:lang w:bidi="ar"/>
              </w:rPr>
              <w:t>分，不符合不得分。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sz w:val="24"/>
                <w:highlight w:val="none"/>
              </w:rPr>
              <w:t>投标产品软件技术指标与西湖码综合信息系统（PC端）中西湖码门户模块建设需求的吻合程度，包括①今日概览②实时西湖码指数（升级）③上报事件趋势④总体概览⑤关注事件预警⑥待办事件概况⑦通知通报栏的功能需求，投标产品软件相关功能是否设计合理并与需求吻合，以上内容完整合理、阐述详细视为满足采购需求，满足的每项得0.5分，不满足的每项不得分，共3.5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sz w:val="24"/>
                <w:lang w:val="en-US"/>
              </w:rPr>
              <w:t>3.5</w:t>
            </w:r>
          </w:p>
        </w:tc>
        <w:tc>
          <w:tcPr>
            <w:tcW w:w="11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（二）投标产品与需求的吻合程度</w:t>
            </w: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highlight w:val="none"/>
              </w:rPr>
            </w:pPr>
            <w:r>
              <w:rPr>
                <w:rFonts w:hint="eastAsia" w:ascii="宋体" w:hAnsi="宋体" w:cs="宋体"/>
                <w:sz w:val="24"/>
                <w:highlight w:val="none"/>
              </w:rPr>
              <w:t>投标产品软件技术指标与西湖码综合信息系统（PC端）中分析研判预测预警模块中重点指标分析建设需求的吻合程度，包括①一图一指数数据模型②信访指数趋势分析③负面清单的功能需求，投标产品软件相关功能是否设计合理并与需求吻合，以上内容完整合理、阐述详细视为满足采购需求，满足的每项得0.5分，不满足的每项不得分，共1.5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1.5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highlight w:val="none"/>
              </w:rPr>
            </w:pPr>
            <w:r>
              <w:rPr>
                <w:rFonts w:hint="eastAsia" w:ascii="宋体" w:hAnsi="宋体" w:cs="宋体"/>
                <w:sz w:val="24"/>
                <w:highlight w:val="none"/>
              </w:rPr>
              <w:t>投标产品软件技术指标与西湖码综合信息系统（PC端）中分析研判预测预警模块中访源治理分析建设需求的吻合程度，包括①不稳定因素事件分析②不满意件分析③重复信访事项分析的功能需求，投标产品软件相关功能是否设计合理并与需求吻合，以上内容完整合理、阐述详细视为满足采购需求，满足的每项得0.5分，不满足的每项不得分，共1.5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1.5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highlight w:val="none"/>
              </w:rPr>
            </w:pPr>
            <w:r>
              <w:rPr>
                <w:rFonts w:hint="eastAsia" w:ascii="宋体" w:hAnsi="宋体" w:cs="宋体"/>
                <w:sz w:val="24"/>
                <w:highlight w:val="none"/>
              </w:rPr>
              <w:t>投标产品软件技术指标与西湖码综合信息系统（PC端）中分析研判预测预警模块中重点人员分析建设需求的吻合程度，包括①稳控人员预警模型②关注人员名单管理③重点人员分析的功能需求，投标产品软件相关功能是否设计合理并与需求吻合，以上内容完整合理、阐述详细视为满足采购需求，满足的每项得0.5分，不满足的每项不得分，共1.5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1.5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highlight w:val="none"/>
              </w:rPr>
            </w:pPr>
            <w:r>
              <w:rPr>
                <w:rFonts w:hint="eastAsia" w:ascii="宋体" w:hAnsi="宋体" w:cs="宋体"/>
                <w:sz w:val="24"/>
                <w:highlight w:val="none"/>
              </w:rPr>
              <w:t>投标产品软件技术指标与西湖码公众入口升级（移动端）中支付宝版本新增中旧版功能开发建设需求的吻合程度，包括①我要报②我要帮③助企业④助基层的功能需求，投标产品软件相关功能是否设计合理并与需求吻合。以上内容完整合理、阐述详细视为满足采购需求，满足的每项得0.5分，不满足的每项不得分，共2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2</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highlight w:val="none"/>
              </w:rPr>
            </w:pPr>
            <w:r>
              <w:rPr>
                <w:rFonts w:hint="eastAsia" w:ascii="宋体" w:hAnsi="宋体" w:cs="宋体"/>
                <w:sz w:val="24"/>
              </w:rPr>
              <w:t>投标产品软件技术指标与西湖码驾驶舱（PC端）中的分析研判专题展示建设需求的吻合程度，包括</w:t>
            </w:r>
            <w:r>
              <w:rPr>
                <w:rFonts w:hint="eastAsia" w:ascii="宋体" w:hAnsi="宋体" w:cs="宋体"/>
                <w:sz w:val="24"/>
                <w:highlight w:val="none"/>
              </w:rPr>
              <w:t>①</w:t>
            </w:r>
            <w:r>
              <w:rPr>
                <w:rFonts w:hint="eastAsia"/>
                <w:sz w:val="24"/>
                <w:highlight w:val="none"/>
              </w:rPr>
              <w:t>分析研判主页②</w:t>
            </w:r>
            <w:r>
              <w:rPr>
                <w:rFonts w:hint="eastAsia" w:ascii="宋体" w:hAnsi="宋体" w:cs="宋体"/>
                <w:sz w:val="24"/>
                <w:highlight w:val="none"/>
              </w:rPr>
              <w:t>信访工作五色图专题③重点领域专题④访源治理专题⑤重点人员画像⑥民意形势专题⑦共同富裕专题的功能需求，投标产品软件相关功能是否设计合理并与需求吻合。以上内容完整合理、阐述详细视为满足采购需求，满足的每项得0.5分，不满足的每项不得分，共3.5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3.5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rPr>
            </w:pPr>
            <w:r>
              <w:rPr>
                <w:rFonts w:hint="eastAsia" w:ascii="宋体" w:hAnsi="宋体" w:cs="宋体"/>
                <w:sz w:val="24"/>
              </w:rPr>
              <w:t>投标产品软件技术指标与七张问题清单应用建设场景中</w:t>
            </w:r>
            <w:r>
              <w:rPr>
                <w:rFonts w:hint="eastAsia" w:ascii="宋体" w:hAnsi="宋体" w:cs="宋体"/>
                <w:color w:val="000000"/>
                <w:kern w:val="0"/>
                <w:sz w:val="24"/>
                <w:lang w:bidi="ar"/>
              </w:rPr>
              <w:t>西湖区“七张问题清单”总览模块建设需求的吻合程度，包括①量化评价场景建设②月度晾晒场景建设③问题总览场景建设④“双榜”展示场景建设⑤问题发现场景建设⑥过程管控场景建设⑦督查通报场景建设的功能需求，</w:t>
            </w:r>
            <w:r>
              <w:rPr>
                <w:rFonts w:hint="eastAsia" w:ascii="宋体" w:hAnsi="宋体" w:cs="宋体"/>
                <w:sz w:val="24"/>
              </w:rPr>
              <w:t>投标产品软件相关功能是否设计合理并与需求吻合。以上内容完整合理、阐述详细视为满足采购需求，满足的每项得</w:t>
            </w:r>
            <w:r>
              <w:rPr>
                <w:rFonts w:hint="eastAsia" w:ascii="宋体" w:hAnsi="宋体" w:cs="宋体"/>
                <w:sz w:val="24"/>
                <w:highlight w:val="none"/>
              </w:rPr>
              <w:t>0.5</w:t>
            </w:r>
            <w:r>
              <w:rPr>
                <w:rFonts w:hint="eastAsia" w:ascii="宋体" w:hAnsi="宋体" w:cs="宋体"/>
                <w:sz w:val="24"/>
              </w:rPr>
              <w:t>分，不满足的每项不得分，共3.5分。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3.5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lang w:bidi="ar"/>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sz w:val="24"/>
                <w:lang w:val="en-US"/>
              </w:rPr>
            </w:pPr>
            <w:r>
              <w:rPr>
                <w:rFonts w:hint="eastAsia" w:ascii="宋体" w:hAnsi="宋体" w:cs="宋体"/>
                <w:sz w:val="24"/>
                <w:lang w:val="en-US"/>
              </w:rPr>
              <w:t>投标产品软件技术指标与七张问题清单应用场景中智能</w:t>
            </w:r>
            <w:r>
              <w:rPr>
                <w:rFonts w:hint="eastAsia" w:ascii="宋体" w:hAnsi="宋体" w:cs="宋体"/>
                <w:sz w:val="24"/>
                <w:lang w:val="en-US" w:eastAsia="zh-CN"/>
              </w:rPr>
              <w:t>分析</w:t>
            </w:r>
            <w:r>
              <w:rPr>
                <w:rFonts w:hint="eastAsia" w:ascii="宋体" w:hAnsi="宋体" w:cs="宋体"/>
                <w:sz w:val="24"/>
                <w:lang w:val="en-US"/>
              </w:rPr>
              <w:t>辅助打标模块</w:t>
            </w:r>
            <w:r>
              <w:rPr>
                <w:rFonts w:hint="eastAsia" w:ascii="宋体" w:hAnsi="宋体" w:cs="宋体"/>
                <w:sz w:val="24"/>
                <w:lang w:val="en-US" w:eastAsia="zh-CN"/>
              </w:rPr>
              <w:t>的</w:t>
            </w:r>
            <w:r>
              <w:rPr>
                <w:rFonts w:hint="eastAsia" w:ascii="宋体" w:hAnsi="宋体" w:cs="宋体"/>
                <w:b/>
                <w:bCs/>
                <w:sz w:val="24"/>
                <w:highlight w:val="none"/>
              </w:rPr>
              <w:t>模型</w:t>
            </w:r>
            <w:r>
              <w:rPr>
                <w:rFonts w:hint="eastAsia" w:ascii="宋体" w:hAnsi="宋体" w:cs="宋体"/>
                <w:b/>
                <w:bCs/>
                <w:sz w:val="24"/>
                <w:highlight w:val="none"/>
                <w:lang w:eastAsia="zh-CN"/>
              </w:rPr>
              <w:t>和智能</w:t>
            </w:r>
            <w:r>
              <w:rPr>
                <w:rFonts w:hint="eastAsia" w:ascii="宋体" w:hAnsi="宋体" w:cs="宋体"/>
                <w:b/>
                <w:bCs/>
                <w:sz w:val="24"/>
                <w:highlight w:val="none"/>
              </w:rPr>
              <w:t>分析相关</w:t>
            </w:r>
            <w:r>
              <w:rPr>
                <w:rFonts w:hint="eastAsia" w:ascii="宋体" w:hAnsi="宋体" w:cs="宋体"/>
                <w:sz w:val="24"/>
                <w:lang w:val="en-US"/>
              </w:rPr>
              <w:t>建设需求吻合程度，包括①巡察业务标签模型②督查业务标签模型③生态业务标签模型④审计业务标签模型⑤安全生产业务标签模型⑥舆情业务标签模型⑦智能分析词库功能⑧智能分析在线打标⑨智能分析模型训练⑩智能分析热词分析的功能需求，投标产品软件相关功能是否设计合理并与需求吻合。以上内容完整合理、阐述详细视为满足采购需求，满足的每项得</w:t>
            </w:r>
            <w:r>
              <w:rPr>
                <w:rFonts w:hint="default" w:ascii="宋体" w:hAnsi="宋体" w:cs="宋体"/>
                <w:sz w:val="24"/>
                <w:lang w:val="en-US"/>
              </w:rPr>
              <w:t>0.5</w:t>
            </w:r>
            <w:r>
              <w:rPr>
                <w:rFonts w:hint="eastAsia" w:ascii="宋体" w:hAnsi="宋体" w:cs="宋体"/>
                <w:sz w:val="24"/>
                <w:lang w:val="en-US"/>
              </w:rPr>
              <w:t>分，不满足的每项不得分，共</w:t>
            </w:r>
            <w:r>
              <w:rPr>
                <w:rFonts w:hint="default" w:ascii="宋体" w:hAnsi="宋体" w:cs="宋体"/>
                <w:sz w:val="24"/>
                <w:lang w:val="en-US"/>
              </w:rPr>
              <w:t>5</w:t>
            </w:r>
            <w:r>
              <w:rPr>
                <w:rFonts w:hint="eastAsia" w:ascii="宋体" w:hAnsi="宋体" w:cs="宋体"/>
                <w:sz w:val="24"/>
                <w:lang w:val="en-US"/>
              </w:rPr>
              <w:t>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5</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b/>
                <w:bCs/>
                <w:color w:val="000000"/>
                <w:kern w:val="0"/>
                <w:sz w:val="24"/>
                <w:lang w:bidi="ar"/>
              </w:rPr>
            </w:pPr>
          </w:p>
        </w:tc>
      </w:tr>
      <w:tr>
        <w:tblPrEx>
          <w:tblCellMar>
            <w:top w:w="0" w:type="dxa"/>
            <w:left w:w="108" w:type="dxa"/>
            <w:bottom w:w="0" w:type="dxa"/>
            <w:right w:w="108" w:type="dxa"/>
          </w:tblCellMar>
        </w:tblPrEx>
        <w:trPr>
          <w:trHeight w:val="45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color w:val="000000"/>
                <w:kern w:val="0"/>
                <w:sz w:val="24"/>
                <w:lang w:bidi="ar"/>
              </w:rPr>
              <w:t>投标人项目组织实施方案的科学性、合理性、规范性和可操作性，包括①软件开发、②系统设计、③调试调优、④组织机构、⑤工作时间进度表、⑥工作程序和步骤、⑦管理和协调方法、⑧关键步骤的思路和要点等。</w:t>
            </w:r>
            <w:r>
              <w:rPr>
                <w:rFonts w:hint="eastAsia" w:ascii="宋体" w:hAnsi="宋体" w:cs="宋体"/>
                <w:color w:val="auto"/>
                <w:kern w:val="0"/>
                <w:sz w:val="24"/>
                <w:highlight w:val="none"/>
                <w:lang w:bidi="ar"/>
              </w:rPr>
              <w:t>每一项内容完整、措施有效、符合</w:t>
            </w:r>
            <w:r>
              <w:rPr>
                <w:rFonts w:hint="eastAsia" w:ascii="宋体" w:hAnsi="宋体" w:cs="宋体"/>
                <w:color w:val="auto"/>
                <w:kern w:val="0"/>
                <w:sz w:val="24"/>
                <w:highlight w:val="none"/>
                <w:lang w:eastAsia="zh-CN" w:bidi="ar"/>
              </w:rPr>
              <w:t>采购需求</w:t>
            </w:r>
            <w:r>
              <w:rPr>
                <w:rFonts w:hint="eastAsia" w:ascii="宋体" w:hAnsi="宋体" w:cs="宋体"/>
                <w:color w:val="auto"/>
                <w:kern w:val="0"/>
                <w:sz w:val="24"/>
                <w:highlight w:val="none"/>
                <w:lang w:bidi="ar"/>
              </w:rPr>
              <w:t>视为合理，合理得1分，否则不得分，</w:t>
            </w:r>
            <w:r>
              <w:rPr>
                <w:rFonts w:hint="eastAsia" w:ascii="宋体" w:hAnsi="宋体" w:cs="宋体"/>
                <w:color w:val="auto"/>
                <w:kern w:val="0"/>
                <w:sz w:val="24"/>
                <w:highlight w:val="none"/>
                <w:lang w:eastAsia="zh-CN" w:bidi="ar"/>
              </w:rPr>
              <w:t>共</w:t>
            </w:r>
            <w:r>
              <w:rPr>
                <w:rFonts w:hint="eastAsia" w:ascii="宋体" w:hAnsi="宋体" w:cs="宋体"/>
                <w:color w:val="auto"/>
                <w:kern w:val="0"/>
                <w:sz w:val="24"/>
                <w:highlight w:val="none"/>
                <w:lang w:bidi="ar"/>
              </w:rPr>
              <w:t>8分。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（三）实施组织方案</w:t>
            </w:r>
          </w:p>
        </w:tc>
      </w:tr>
      <w:tr>
        <w:tblPrEx>
          <w:tblCellMar>
            <w:top w:w="0" w:type="dxa"/>
            <w:left w:w="108" w:type="dxa"/>
            <w:bottom w:w="0" w:type="dxa"/>
            <w:right w:w="108" w:type="dxa"/>
          </w:tblCellMar>
        </w:tblPrEx>
        <w:trPr>
          <w:trHeight w:val="9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auto"/>
                <w:sz w:val="24"/>
                <w:highlight w:val="none"/>
              </w:rPr>
              <w:t>项目验收完成后，投标人承诺①须提供至少一年的质保期，②项目验收后提供7*24小时售后技术服务，③0.5小时内做出明确响应和安排，④现场响应时间要求是接到用户需求电话后2小时内到达</w:t>
            </w:r>
            <w:r>
              <w:rPr>
                <w:rFonts w:hint="eastAsia" w:ascii="宋体" w:hAnsi="宋体" w:cs="宋体"/>
                <w:color w:val="auto"/>
                <w:sz w:val="24"/>
                <w:highlight w:val="none"/>
                <w:lang w:eastAsia="zh-CN"/>
              </w:rPr>
              <w:t>，</w:t>
            </w:r>
            <w:r>
              <w:rPr>
                <w:rFonts w:hint="eastAsia" w:ascii="宋体" w:hAnsi="宋体" w:cs="宋体"/>
                <w:color w:val="auto"/>
                <w:sz w:val="24"/>
                <w:highlight w:val="none"/>
              </w:rPr>
              <w:t>⑤用户对系统的适应性功能的修改、已有数据交换接口调整。满足一项得1分，不满足不得分</w:t>
            </w:r>
            <w:r>
              <w:rPr>
                <w:rFonts w:hint="eastAsia" w:ascii="宋体" w:hAnsi="宋体" w:cs="宋体"/>
                <w:color w:val="auto"/>
                <w:sz w:val="24"/>
                <w:highlight w:val="none"/>
                <w:lang w:eastAsia="zh-CN"/>
              </w:rPr>
              <w:t>，共</w:t>
            </w:r>
            <w:r>
              <w:rPr>
                <w:rFonts w:hint="eastAsia" w:ascii="宋体" w:hAnsi="宋体" w:cs="宋体"/>
                <w:color w:val="auto"/>
                <w:sz w:val="24"/>
                <w:highlight w:val="none"/>
              </w:rPr>
              <w:t>5分。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sz w:val="24"/>
                <w:lang w:val="en-US"/>
              </w:rPr>
            </w:pPr>
            <w:r>
              <w:rPr>
                <w:rFonts w:hint="default" w:ascii="宋体" w:hAnsi="宋体" w:cs="宋体"/>
                <w:color w:val="000000"/>
                <w:sz w:val="24"/>
                <w:lang w:val="en-US"/>
              </w:rPr>
              <w:t>5</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（四）售后服务组织方案情况</w:t>
            </w:r>
          </w:p>
        </w:tc>
      </w:tr>
      <w:tr>
        <w:tblPrEx>
          <w:tblCellMar>
            <w:top w:w="0" w:type="dxa"/>
            <w:left w:w="108" w:type="dxa"/>
            <w:bottom w:w="0" w:type="dxa"/>
            <w:right w:w="108" w:type="dxa"/>
          </w:tblCellMar>
        </w:tblPrEx>
        <w:trPr>
          <w:trHeight w:val="66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auto"/>
                <w:kern w:val="0"/>
                <w:sz w:val="24"/>
                <w:highlight w:val="none"/>
                <w:lang w:bidi="ar"/>
              </w:rPr>
              <w:t>从</w:t>
            </w:r>
            <w:r>
              <w:rPr>
                <w:rFonts w:hint="eastAsia" w:ascii="宋体" w:hAnsi="宋体" w:cs="宋体"/>
                <w:color w:val="auto"/>
                <w:sz w:val="24"/>
                <w:highlight w:val="none"/>
              </w:rPr>
              <w:t>①</w:t>
            </w:r>
            <w:r>
              <w:rPr>
                <w:rFonts w:hint="eastAsia" w:ascii="宋体" w:hAnsi="宋体" w:cs="宋体"/>
                <w:color w:val="auto"/>
                <w:kern w:val="0"/>
                <w:sz w:val="24"/>
                <w:highlight w:val="none"/>
                <w:lang w:bidi="ar"/>
              </w:rPr>
              <w:t>安全策略、</w:t>
            </w:r>
            <w:r>
              <w:rPr>
                <w:rFonts w:hint="eastAsia" w:ascii="宋体" w:hAnsi="宋体" w:cs="宋体"/>
                <w:color w:val="auto"/>
                <w:sz w:val="24"/>
                <w:highlight w:val="none"/>
              </w:rPr>
              <w:t>②</w:t>
            </w:r>
            <w:r>
              <w:rPr>
                <w:rFonts w:hint="eastAsia" w:ascii="宋体" w:hAnsi="宋体" w:cs="宋体"/>
                <w:color w:val="auto"/>
                <w:kern w:val="0"/>
                <w:sz w:val="24"/>
                <w:highlight w:val="none"/>
                <w:lang w:bidi="ar"/>
              </w:rPr>
              <w:t>系统安全风险分析、</w:t>
            </w:r>
            <w:r>
              <w:rPr>
                <w:rFonts w:hint="eastAsia" w:ascii="宋体" w:hAnsi="宋体" w:cs="宋体"/>
                <w:color w:val="auto"/>
                <w:sz w:val="24"/>
                <w:highlight w:val="none"/>
              </w:rPr>
              <w:t>③</w:t>
            </w:r>
            <w:r>
              <w:rPr>
                <w:rFonts w:hint="eastAsia" w:ascii="宋体" w:hAnsi="宋体" w:cs="宋体"/>
                <w:color w:val="auto"/>
                <w:kern w:val="0"/>
                <w:sz w:val="24"/>
                <w:highlight w:val="none"/>
                <w:lang w:bidi="ar"/>
              </w:rPr>
              <w:t>系统安全防护设计、</w:t>
            </w:r>
            <w:r>
              <w:rPr>
                <w:rFonts w:hint="eastAsia" w:ascii="宋体" w:hAnsi="宋体" w:cs="宋体"/>
                <w:color w:val="auto"/>
                <w:sz w:val="24"/>
                <w:highlight w:val="none"/>
              </w:rPr>
              <w:t>④</w:t>
            </w:r>
            <w:r>
              <w:rPr>
                <w:rFonts w:hint="eastAsia" w:ascii="宋体" w:hAnsi="宋体" w:cs="宋体"/>
                <w:color w:val="auto"/>
                <w:kern w:val="0"/>
                <w:sz w:val="24"/>
                <w:highlight w:val="none"/>
                <w:lang w:bidi="ar"/>
              </w:rPr>
              <w:t>软件系统安全策略、</w:t>
            </w:r>
            <w:r>
              <w:rPr>
                <w:rFonts w:hint="eastAsia" w:ascii="宋体" w:hAnsi="宋体" w:cs="宋体"/>
                <w:color w:val="auto"/>
                <w:sz w:val="24"/>
                <w:highlight w:val="none"/>
              </w:rPr>
              <w:t>⑤</w:t>
            </w:r>
            <w:r>
              <w:rPr>
                <w:rFonts w:hint="eastAsia" w:ascii="宋体" w:hAnsi="宋体" w:cs="宋体"/>
                <w:color w:val="auto"/>
                <w:kern w:val="0"/>
                <w:sz w:val="24"/>
                <w:highlight w:val="none"/>
                <w:lang w:bidi="ar"/>
              </w:rPr>
              <w:t>业务终端安全防护及</w:t>
            </w:r>
            <w:r>
              <w:rPr>
                <w:rFonts w:hint="eastAsia" w:ascii="宋体" w:hAnsi="宋体" w:cs="宋体"/>
                <w:color w:val="auto"/>
                <w:kern w:val="0"/>
                <w:sz w:val="24"/>
                <w:highlight w:val="none"/>
                <w:lang w:val="en-US" w:eastAsia="zh-CN" w:bidi="ar"/>
              </w:rPr>
              <w:t>⑥</w:t>
            </w:r>
            <w:r>
              <w:rPr>
                <w:rFonts w:hint="eastAsia" w:ascii="宋体" w:hAnsi="宋体" w:cs="宋体"/>
                <w:color w:val="auto"/>
                <w:kern w:val="0"/>
                <w:sz w:val="24"/>
                <w:highlight w:val="none"/>
                <w:lang w:bidi="ar"/>
              </w:rPr>
              <w:t>安全管理制度等方面阐述系统运行信息安全策略。</w:t>
            </w:r>
            <w:r>
              <w:rPr>
                <w:rFonts w:hint="eastAsia" w:ascii="宋体" w:hAnsi="宋体" w:cs="宋体"/>
                <w:color w:val="auto"/>
                <w:sz w:val="24"/>
                <w:highlight w:val="none"/>
              </w:rPr>
              <w:t>满足一项得1分，不满足不得分</w:t>
            </w:r>
            <w:r>
              <w:rPr>
                <w:rFonts w:hint="eastAsia" w:ascii="宋体" w:hAnsi="宋体" w:cs="宋体"/>
                <w:color w:val="auto"/>
                <w:sz w:val="24"/>
                <w:highlight w:val="none"/>
                <w:lang w:eastAsia="zh-CN"/>
              </w:rPr>
              <w:t>，共</w:t>
            </w:r>
            <w:r>
              <w:rPr>
                <w:rFonts w:hint="default" w:ascii="宋体" w:hAnsi="宋体" w:cs="宋体"/>
                <w:color w:val="auto"/>
                <w:sz w:val="24"/>
                <w:highlight w:val="none"/>
                <w:lang w:val="en-US"/>
              </w:rPr>
              <w:t>6</w:t>
            </w:r>
            <w:r>
              <w:rPr>
                <w:rFonts w:hint="eastAsia" w:ascii="宋体" w:hAnsi="宋体" w:cs="宋体"/>
                <w:color w:val="auto"/>
                <w:sz w:val="24"/>
                <w:highlight w:val="none"/>
              </w:rPr>
              <w:t>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（五）信息安全保障能力</w:t>
            </w:r>
          </w:p>
        </w:tc>
      </w:tr>
      <w:tr>
        <w:tblPrEx>
          <w:tblCellMar>
            <w:top w:w="0" w:type="dxa"/>
            <w:left w:w="108" w:type="dxa"/>
            <w:bottom w:w="0" w:type="dxa"/>
            <w:right w:w="108" w:type="dxa"/>
          </w:tblCellMar>
        </w:tblPrEx>
        <w:trPr>
          <w:trHeight w:val="660"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拟担任项目经理同时具有高级信息系统项目管理师证书和高级工程师职称（</w:t>
            </w:r>
            <w:r>
              <w:rPr>
                <w:rFonts w:hint="eastAsia" w:ascii="宋体" w:hAnsi="宋体" w:cs="宋体"/>
                <w:color w:val="000000"/>
                <w:kern w:val="0"/>
                <w:sz w:val="24"/>
                <w:lang w:eastAsia="zh-CN" w:bidi="ar"/>
              </w:rPr>
              <w:t>全部</w:t>
            </w:r>
            <w:r>
              <w:rPr>
                <w:rFonts w:hint="eastAsia" w:ascii="宋体" w:hAnsi="宋体" w:cs="宋体"/>
                <w:color w:val="000000"/>
                <w:kern w:val="0"/>
                <w:sz w:val="24"/>
                <w:lang w:bidi="ar"/>
              </w:rPr>
              <w:t>符合得2分，</w:t>
            </w:r>
            <w:r>
              <w:rPr>
                <w:rFonts w:hint="eastAsia" w:ascii="宋体" w:hAnsi="宋体" w:cs="宋体"/>
                <w:color w:val="000000"/>
                <w:kern w:val="0"/>
                <w:sz w:val="24"/>
                <w:lang w:eastAsia="zh-CN" w:bidi="ar"/>
              </w:rPr>
              <w:t>缺漏或</w:t>
            </w:r>
            <w:r>
              <w:rPr>
                <w:rFonts w:hint="eastAsia" w:ascii="宋体" w:hAnsi="宋体" w:cs="宋体"/>
                <w:color w:val="000000"/>
                <w:kern w:val="0"/>
                <w:sz w:val="24"/>
                <w:lang w:bidi="ar"/>
              </w:rPr>
              <w:t>不符合不得分）。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（六）项目组人员情况</w:t>
            </w: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拟担任本项目技术负责人同时具备高级工程师职称（</w:t>
            </w:r>
            <w:r>
              <w:rPr>
                <w:rFonts w:hint="eastAsia" w:ascii="宋体" w:hAnsi="宋体" w:cs="宋体"/>
                <w:kern w:val="0"/>
                <w:sz w:val="24"/>
                <w:lang w:bidi="ar"/>
              </w:rPr>
              <w:t>注：证书上的名字须与担任项目技术负责人相一致，</w:t>
            </w:r>
            <w:r>
              <w:rPr>
                <w:rFonts w:hint="eastAsia" w:ascii="宋体" w:hAnsi="宋体" w:cs="宋体"/>
                <w:color w:val="000000"/>
                <w:kern w:val="0"/>
                <w:sz w:val="24"/>
                <w:lang w:bidi="ar"/>
              </w:rPr>
              <w:t>符合得1分，不符合不得分）。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担任项目组技术人员（除项目经理和技术负责人外）情况：技术人员是否具有高级工程师职称或信息系统项目管理师证书，每人提供1本有效证书得1分，共4分（注：证书上的名字须与担任项目组技术人员相一致，否则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24"/>
                <w:lang w:val="en-US" w:bidi="ar"/>
              </w:rPr>
            </w:pPr>
            <w:r>
              <w:rPr>
                <w:rFonts w:hint="default" w:ascii="宋体" w:hAnsi="宋体" w:cs="宋体"/>
                <w:color w:val="000000"/>
                <w:kern w:val="0"/>
                <w:sz w:val="24"/>
                <w:lang w:val="en-US" w:bidi="ar"/>
              </w:rPr>
              <w:t>4</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777"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highlight w:val="yellow"/>
              </w:rPr>
            </w:pPr>
            <w:r>
              <w:rPr>
                <w:rFonts w:hint="eastAsia" w:ascii="宋体" w:hAnsi="宋体" w:cs="宋体"/>
                <w:sz w:val="24"/>
                <w:szCs w:val="22"/>
              </w:rPr>
              <w:t>项目建设工期内是否能派出1名经验丰富的运维技术人员驻场服务，满足得</w:t>
            </w:r>
            <w:r>
              <w:rPr>
                <w:rFonts w:ascii="宋体" w:hAnsi="宋体" w:cs="宋体"/>
                <w:sz w:val="24"/>
                <w:szCs w:val="22"/>
              </w:rPr>
              <w:t>1</w:t>
            </w:r>
            <w:r>
              <w:rPr>
                <w:rFonts w:hint="eastAsia" w:ascii="宋体" w:hAnsi="宋体" w:cs="宋体"/>
                <w:sz w:val="24"/>
                <w:szCs w:val="22"/>
              </w:rPr>
              <w:t>分，不满足不得分。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kern w:val="0"/>
                <w:sz w:val="24"/>
                <w:lang w:val="en-US" w:bidi="ar"/>
              </w:rPr>
              <w:t>1</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eastAsia="宋体" w:cs="宋体"/>
                <w:color w:val="000000"/>
                <w:sz w:val="24"/>
              </w:rPr>
              <w:t>投标人提出的技术培训方案（①</w:t>
            </w:r>
            <w:r>
              <w:rPr>
                <w:rFonts w:hint="eastAsia" w:ascii="宋体" w:hAnsi="宋体" w:eastAsia="宋体" w:cs="宋体"/>
                <w:color w:val="000000"/>
                <w:sz w:val="24"/>
                <w:lang w:eastAsia="zh-CN"/>
              </w:rPr>
              <w:t>对系统管理员的培训</w:t>
            </w:r>
            <w:r>
              <w:rPr>
                <w:rFonts w:hint="eastAsia" w:ascii="宋体" w:hAnsi="宋体" w:eastAsia="宋体" w:cs="宋体"/>
                <w:color w:val="000000"/>
                <w:sz w:val="24"/>
              </w:rPr>
              <w:t>②</w:t>
            </w:r>
            <w:r>
              <w:rPr>
                <w:rFonts w:hint="eastAsia" w:ascii="宋体" w:hAnsi="宋体" w:eastAsia="宋体" w:cs="宋体"/>
                <w:color w:val="000000"/>
                <w:sz w:val="24"/>
                <w:lang w:eastAsia="zh-CN"/>
              </w:rPr>
              <w:t>对使用人员的</w:t>
            </w:r>
            <w:r>
              <w:rPr>
                <w:rFonts w:hint="eastAsia" w:ascii="宋体" w:hAnsi="宋体" w:eastAsia="宋体" w:cs="宋体"/>
                <w:color w:val="000000"/>
                <w:sz w:val="24"/>
              </w:rPr>
              <w:t>培训③</w:t>
            </w:r>
            <w:r>
              <w:rPr>
                <w:rFonts w:hint="eastAsia" w:ascii="宋体" w:hAnsi="宋体" w:eastAsia="宋体" w:cs="宋体"/>
                <w:color w:val="000000"/>
                <w:sz w:val="24"/>
                <w:lang w:eastAsia="zh-CN"/>
              </w:rPr>
              <w:t>安全保密培训</w:t>
            </w:r>
            <w:r>
              <w:rPr>
                <w:rFonts w:hint="eastAsia" w:ascii="宋体" w:hAnsi="宋体" w:eastAsia="宋体" w:cs="宋体"/>
                <w:color w:val="000000"/>
                <w:sz w:val="24"/>
              </w:rPr>
              <w:t>）是否符合采购</w:t>
            </w:r>
            <w:r>
              <w:rPr>
                <w:rFonts w:hint="eastAsia" w:ascii="宋体" w:hAnsi="宋体" w:cs="宋体"/>
                <w:color w:val="000000"/>
                <w:sz w:val="24"/>
                <w:lang w:eastAsia="zh-CN"/>
              </w:rPr>
              <w:t>需求</w:t>
            </w:r>
            <w:r>
              <w:rPr>
                <w:rFonts w:hint="eastAsia" w:ascii="宋体" w:hAnsi="宋体" w:eastAsia="宋体" w:cs="宋体"/>
                <w:color w:val="000000"/>
                <w:sz w:val="24"/>
              </w:rPr>
              <w:t>。</w:t>
            </w:r>
            <w:r>
              <w:rPr>
                <w:rFonts w:hint="eastAsia" w:ascii="宋体" w:hAnsi="宋体" w:cs="宋体"/>
                <w:color w:val="auto"/>
                <w:kern w:val="0"/>
                <w:sz w:val="24"/>
                <w:highlight w:val="none"/>
                <w:lang w:bidi="ar"/>
              </w:rPr>
              <w:t>每一项内容完整、措施有效、合理得1分，不合理得0分</w:t>
            </w:r>
            <w:r>
              <w:rPr>
                <w:rFonts w:hint="eastAsia" w:ascii="宋体" w:hAnsi="宋体" w:cs="宋体"/>
                <w:color w:val="auto"/>
                <w:kern w:val="0"/>
                <w:sz w:val="24"/>
                <w:highlight w:val="none"/>
                <w:lang w:eastAsia="zh-CN" w:bidi="ar"/>
              </w:rPr>
              <w:t>，共</w:t>
            </w:r>
            <w:r>
              <w:rPr>
                <w:rFonts w:hint="default" w:ascii="宋体" w:hAnsi="宋体" w:cs="宋体"/>
                <w:color w:val="auto"/>
                <w:kern w:val="0"/>
                <w:sz w:val="24"/>
                <w:highlight w:val="none"/>
                <w:lang w:val="en-US" w:eastAsia="zh-CN" w:bidi="ar"/>
              </w:rPr>
              <w:t>3</w:t>
            </w:r>
            <w:r>
              <w:rPr>
                <w:rFonts w:hint="eastAsia" w:ascii="宋体" w:hAnsi="宋体" w:cs="宋体"/>
                <w:color w:val="auto"/>
                <w:kern w:val="0"/>
                <w:sz w:val="24"/>
                <w:highlight w:val="none"/>
                <w:lang w:val="en-US" w:eastAsia="zh-CN" w:bidi="ar"/>
              </w:rPr>
              <w:t>分</w:t>
            </w:r>
            <w:r>
              <w:rPr>
                <w:rFonts w:hint="eastAsia" w:ascii="宋体" w:hAnsi="宋体" w:cs="宋体"/>
                <w:color w:val="auto"/>
                <w:kern w:val="0"/>
                <w:sz w:val="24"/>
                <w:highlight w:val="none"/>
                <w:lang w:bidi="ar"/>
              </w:rPr>
              <w:t>。</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kern w:val="0"/>
                <w:sz w:val="24"/>
                <w:lang w:val="en-US" w:bidi="ar"/>
              </w:rPr>
              <w:t>3</w:t>
            </w:r>
          </w:p>
        </w:tc>
        <w:tc>
          <w:tcPr>
            <w:tcW w:w="11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（七）培训、测试、试运行、验收方案</w:t>
            </w: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auto"/>
                <w:kern w:val="0"/>
                <w:sz w:val="24"/>
                <w:highlight w:val="none"/>
                <w:lang w:bidi="ar"/>
              </w:rPr>
              <w:t>投标人提出合理、可行的测试、试运行方案，包括①软件测试方案与②试运行方案</w:t>
            </w:r>
            <w:r>
              <w:rPr>
                <w:rFonts w:hint="eastAsia" w:ascii="宋体" w:hAnsi="宋体" w:cs="宋体"/>
                <w:color w:val="auto"/>
                <w:kern w:val="0"/>
                <w:sz w:val="24"/>
                <w:highlight w:val="none"/>
                <w:lang w:eastAsia="zh-CN" w:bidi="ar"/>
              </w:rPr>
              <w:t>。</w:t>
            </w:r>
            <w:r>
              <w:rPr>
                <w:rFonts w:hint="eastAsia" w:ascii="宋体" w:hAnsi="宋体" w:cs="宋体"/>
                <w:color w:val="auto"/>
                <w:kern w:val="0"/>
                <w:sz w:val="24"/>
                <w:highlight w:val="none"/>
                <w:lang w:bidi="ar"/>
              </w:rPr>
              <w:t>每一项内容完整、措施有效、符合</w:t>
            </w:r>
            <w:r>
              <w:rPr>
                <w:rFonts w:hint="eastAsia" w:ascii="宋体" w:hAnsi="宋体" w:cs="宋体"/>
                <w:color w:val="auto"/>
                <w:kern w:val="0"/>
                <w:sz w:val="24"/>
                <w:highlight w:val="none"/>
                <w:lang w:eastAsia="zh-CN" w:bidi="ar"/>
              </w:rPr>
              <w:t>采购需求</w:t>
            </w:r>
            <w:r>
              <w:rPr>
                <w:rFonts w:hint="eastAsia" w:ascii="宋体" w:hAnsi="宋体" w:cs="宋体"/>
                <w:color w:val="auto"/>
                <w:kern w:val="0"/>
                <w:sz w:val="24"/>
                <w:highlight w:val="none"/>
                <w:lang w:bidi="ar"/>
              </w:rPr>
              <w:t>视为合理，合理得1分，不合理得0分</w:t>
            </w:r>
            <w:r>
              <w:rPr>
                <w:rFonts w:hint="eastAsia" w:ascii="宋体" w:hAnsi="宋体" w:cs="宋体"/>
                <w:color w:val="auto"/>
                <w:kern w:val="0"/>
                <w:sz w:val="24"/>
                <w:highlight w:val="none"/>
                <w:lang w:eastAsia="zh-CN" w:bidi="ar"/>
              </w:rPr>
              <w:t>，共</w:t>
            </w:r>
            <w:r>
              <w:rPr>
                <w:rFonts w:hint="default" w:ascii="宋体" w:hAnsi="宋体" w:cs="宋体"/>
                <w:color w:val="auto"/>
                <w:kern w:val="0"/>
                <w:sz w:val="24"/>
                <w:highlight w:val="none"/>
                <w:lang w:val="en-US" w:eastAsia="zh-CN" w:bidi="ar"/>
              </w:rPr>
              <w:t>2</w:t>
            </w:r>
            <w:r>
              <w:rPr>
                <w:rFonts w:hint="eastAsia" w:ascii="宋体" w:hAnsi="宋体" w:cs="宋体"/>
                <w:color w:val="auto"/>
                <w:kern w:val="0"/>
                <w:sz w:val="24"/>
                <w:highlight w:val="none"/>
                <w:lang w:val="en-US" w:eastAsia="zh-CN" w:bidi="ar"/>
              </w:rPr>
              <w:t>分</w:t>
            </w:r>
            <w:r>
              <w:rPr>
                <w:rFonts w:hint="eastAsia" w:ascii="宋体" w:hAnsi="宋体" w:cs="宋体"/>
                <w:color w:val="auto"/>
                <w:kern w:val="0"/>
                <w:sz w:val="24"/>
                <w:highlight w:val="none"/>
                <w:lang w:bidi="ar"/>
              </w:rPr>
              <w:t>。</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auto"/>
                <w:kern w:val="0"/>
                <w:sz w:val="24"/>
                <w:highlight w:val="none"/>
                <w:lang w:bidi="ar"/>
              </w:rPr>
              <w:t>投标人提出科学的验收方案</w:t>
            </w:r>
            <w:r>
              <w:rPr>
                <w:rFonts w:hint="eastAsia" w:ascii="宋体" w:hAnsi="宋体" w:cs="宋体"/>
                <w:color w:val="auto"/>
                <w:sz w:val="24"/>
                <w:szCs w:val="20"/>
                <w:highlight w:val="none"/>
                <w:lang w:eastAsia="zh-CN"/>
              </w:rPr>
              <w:t>并在</w:t>
            </w:r>
            <w:r>
              <w:rPr>
                <w:rFonts w:hint="eastAsia" w:ascii="宋体" w:hAnsi="宋体" w:cs="宋体"/>
                <w:color w:val="auto"/>
                <w:sz w:val="24"/>
                <w:szCs w:val="20"/>
                <w:highlight w:val="none"/>
              </w:rPr>
              <w:t>验收时提供相应的文档。</w:t>
            </w:r>
            <w:r>
              <w:rPr>
                <w:rFonts w:hint="eastAsia" w:ascii="宋体" w:hAnsi="宋体" w:cs="宋体"/>
                <w:color w:val="auto"/>
                <w:sz w:val="24"/>
                <w:szCs w:val="20"/>
                <w:highlight w:val="none"/>
                <w:lang w:eastAsia="zh-CN"/>
              </w:rPr>
              <w:t>方案合理得</w:t>
            </w:r>
            <w:r>
              <w:rPr>
                <w:rFonts w:hint="default" w:ascii="宋体" w:hAnsi="宋体" w:cs="宋体"/>
                <w:color w:val="auto"/>
                <w:sz w:val="24"/>
                <w:szCs w:val="20"/>
                <w:highlight w:val="none"/>
                <w:lang w:val="en-US" w:eastAsia="zh-CN"/>
              </w:rPr>
              <w:t>1</w:t>
            </w:r>
            <w:r>
              <w:rPr>
                <w:rFonts w:hint="eastAsia" w:ascii="宋体" w:hAnsi="宋体" w:cs="宋体"/>
                <w:color w:val="auto"/>
                <w:sz w:val="24"/>
                <w:szCs w:val="20"/>
                <w:highlight w:val="none"/>
                <w:lang w:val="en-US" w:eastAsia="zh-CN"/>
              </w:rPr>
              <w:t>分，不合理不得分。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kern w:val="0"/>
                <w:sz w:val="24"/>
                <w:lang w:val="en-US" w:bidi="ar"/>
              </w:rPr>
              <w:t>1</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投标人按采购人要求：①是否明确建设质量目标，②是否有质量保证措施，③是否具有详细可行的实施内容，④是否明确工期保证措施。根据提供的方案内容进行评分，每一项内容完整、措施有效、符合</w:t>
            </w:r>
            <w:r>
              <w:rPr>
                <w:rFonts w:hint="eastAsia" w:ascii="宋体" w:hAnsi="宋体" w:cs="宋体"/>
                <w:color w:val="000000"/>
                <w:kern w:val="0"/>
                <w:sz w:val="24"/>
                <w:lang w:eastAsia="zh-CN" w:bidi="ar"/>
              </w:rPr>
              <w:t>采购需求</w:t>
            </w:r>
            <w:r>
              <w:rPr>
                <w:rFonts w:hint="eastAsia" w:ascii="宋体" w:hAnsi="宋体" w:cs="宋体"/>
                <w:color w:val="000000"/>
                <w:kern w:val="0"/>
                <w:sz w:val="24"/>
                <w:lang w:bidi="ar"/>
              </w:rPr>
              <w:t>视为合理，合理得1分，不合理得0分</w:t>
            </w:r>
            <w:r>
              <w:rPr>
                <w:rFonts w:hint="eastAsia" w:ascii="宋体" w:hAnsi="宋体" w:cs="宋体"/>
                <w:color w:val="000000"/>
                <w:kern w:val="0"/>
                <w:sz w:val="24"/>
                <w:lang w:eastAsia="zh-CN" w:bidi="ar"/>
              </w:rPr>
              <w:t>，共</w:t>
            </w:r>
            <w:r>
              <w:rPr>
                <w:rFonts w:hint="default" w:ascii="宋体" w:hAnsi="宋体" w:cs="宋体"/>
                <w:color w:val="000000"/>
                <w:kern w:val="0"/>
                <w:sz w:val="24"/>
                <w:lang w:val="en-US" w:eastAsia="zh-CN" w:bidi="ar"/>
              </w:rPr>
              <w:t>4</w:t>
            </w:r>
            <w:r>
              <w:rPr>
                <w:rFonts w:hint="eastAsia" w:ascii="宋体" w:hAnsi="宋体" w:cs="宋体"/>
                <w:color w:val="000000"/>
                <w:kern w:val="0"/>
                <w:sz w:val="24"/>
                <w:lang w:val="en-US" w:eastAsia="zh-CN" w:bidi="ar"/>
              </w:rPr>
              <w:t>分</w:t>
            </w:r>
            <w:r>
              <w:rPr>
                <w:rFonts w:hint="eastAsia" w:ascii="宋体" w:hAnsi="宋体" w:cs="宋体"/>
                <w:color w:val="000000"/>
                <w:kern w:val="0"/>
                <w:sz w:val="24"/>
                <w:lang w:bidi="ar"/>
              </w:rPr>
              <w:t>。</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（八）质量保证措施和建设工期组织方案</w:t>
            </w:r>
          </w:p>
        </w:tc>
      </w:tr>
      <w:tr>
        <w:tblPrEx>
          <w:tblCellMar>
            <w:top w:w="0" w:type="dxa"/>
            <w:left w:w="108" w:type="dxa"/>
            <w:bottom w:w="0" w:type="dxa"/>
            <w:right w:w="108" w:type="dxa"/>
          </w:tblCellMar>
        </w:tblPrEx>
        <w:trPr>
          <w:trHeight w:val="66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lang w:bidi="ar"/>
              </w:rPr>
              <w:t>投标人提出的优惠条件和承诺情况，及其可实现程度等</w:t>
            </w:r>
            <w:r>
              <w:rPr>
                <w:rFonts w:hint="eastAsia" w:ascii="宋体" w:hAnsi="宋体" w:cs="宋体"/>
                <w:kern w:val="0"/>
                <w:sz w:val="24"/>
                <w:lang w:eastAsia="zh-CN" w:bidi="ar"/>
              </w:rPr>
              <w:t>，根据提供的方案情况酌情给分</w:t>
            </w:r>
            <w:r>
              <w:rPr>
                <w:rFonts w:hint="eastAsia" w:ascii="宋体" w:hAnsi="宋体" w:cs="宋体"/>
                <w:kern w:val="0"/>
                <w:sz w:val="24"/>
                <w:lang w:bidi="ar"/>
              </w:rPr>
              <w:t>。</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（九）优惠和承诺情况</w:t>
            </w:r>
          </w:p>
        </w:tc>
      </w:tr>
      <w:tr>
        <w:tblPrEx>
          <w:tblCellMar>
            <w:top w:w="0" w:type="dxa"/>
            <w:left w:w="108" w:type="dxa"/>
            <w:bottom w:w="0" w:type="dxa"/>
            <w:right w:w="108" w:type="dxa"/>
          </w:tblCellMar>
        </w:tblPrEx>
        <w:trPr>
          <w:trHeight w:val="531"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lang w:bidi="ar"/>
              </w:rPr>
              <w:t>西湖码综合信息系统</w:t>
            </w:r>
            <w:r>
              <w:rPr>
                <w:rFonts w:hint="eastAsia" w:ascii="宋体" w:hAnsi="宋体" w:cs="宋体"/>
                <w:kern w:val="0"/>
                <w:sz w:val="24"/>
                <w:lang w:eastAsia="zh-CN" w:bidi="ar"/>
              </w:rPr>
              <w:t>中控制管理台的</w:t>
            </w:r>
            <w:r>
              <w:rPr>
                <w:rFonts w:hint="eastAsia" w:ascii="宋体" w:hAnsi="宋体" w:cs="宋体"/>
                <w:kern w:val="0"/>
                <w:sz w:val="24"/>
                <w:lang w:bidi="ar"/>
              </w:rPr>
              <w:t>核减原则设置功能演示：</w:t>
            </w:r>
            <w:r>
              <w:rPr>
                <w:rFonts w:hint="eastAsia" w:ascii="宋体" w:hAnsi="宋体" w:cs="宋体"/>
                <w:color w:val="000000"/>
                <w:kern w:val="0"/>
                <w:sz w:val="24"/>
                <w:lang w:bidi="ar"/>
              </w:rPr>
              <w:t>①</w:t>
            </w:r>
            <w:r>
              <w:rPr>
                <w:rFonts w:hint="eastAsia" w:ascii="宋体" w:hAnsi="宋体" w:cs="宋体"/>
                <w:kern w:val="0"/>
                <w:sz w:val="24"/>
                <w:lang w:bidi="ar"/>
              </w:rPr>
              <w:t>可对核减（项）原则进行配置和管理，并对核减项状态进行禁用/启用。</w:t>
            </w:r>
            <w:r>
              <w:rPr>
                <w:rFonts w:hint="eastAsia" w:ascii="宋体" w:hAnsi="宋体" w:cs="宋体"/>
                <w:color w:val="000000"/>
                <w:kern w:val="0"/>
                <w:sz w:val="24"/>
                <w:lang w:bidi="ar"/>
              </w:rPr>
              <w:t>②</w:t>
            </w:r>
            <w:r>
              <w:rPr>
                <w:rFonts w:hint="eastAsia" w:ascii="宋体" w:hAnsi="宋体" w:cs="宋体"/>
                <w:kern w:val="0"/>
                <w:sz w:val="24"/>
                <w:lang w:bidi="ar"/>
              </w:rPr>
              <w:t>同时可查看已设置的核减项清单，可根据核减项简称或原则内容等对核减项进行搜索，查看核减项详情和最后修改时间。</w:t>
            </w:r>
            <w:r>
              <w:rPr>
                <w:rFonts w:hint="eastAsia" w:ascii="宋体" w:hAnsi="宋体" w:cs="宋体"/>
                <w:color w:val="000000"/>
                <w:kern w:val="0"/>
                <w:sz w:val="24"/>
                <w:lang w:bidi="ar"/>
              </w:rPr>
              <w:t>每演示一个功能得3分，最高得6分。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（十）</w:t>
            </w:r>
            <w:r>
              <w:rPr>
                <w:rFonts w:hint="eastAsia" w:ascii="宋体" w:hAnsi="宋体" w:cs="宋体"/>
                <w:b/>
                <w:bCs/>
                <w:color w:val="000000"/>
                <w:kern w:val="0"/>
                <w:sz w:val="24"/>
                <w:lang w:eastAsia="zh-CN" w:bidi="ar"/>
              </w:rPr>
              <w:t>功能</w:t>
            </w:r>
            <w:r>
              <w:rPr>
                <w:rFonts w:hint="eastAsia" w:ascii="宋体" w:hAnsi="宋体" w:cs="宋体"/>
                <w:b/>
                <w:bCs/>
                <w:color w:val="000000"/>
                <w:kern w:val="0"/>
                <w:sz w:val="24"/>
                <w:lang w:bidi="ar"/>
              </w:rPr>
              <w:t>演示及讲解（不提供</w:t>
            </w:r>
            <w:r>
              <w:rPr>
                <w:rFonts w:hint="eastAsia" w:ascii="宋体" w:hAnsi="宋体" w:cs="宋体"/>
                <w:b/>
                <w:bCs/>
                <w:color w:val="000000"/>
                <w:kern w:val="0"/>
                <w:sz w:val="24"/>
                <w:lang w:eastAsia="zh-CN" w:bidi="ar"/>
              </w:rPr>
              <w:t>功能</w:t>
            </w:r>
            <w:r>
              <w:rPr>
                <w:rFonts w:hint="eastAsia" w:ascii="宋体" w:hAnsi="宋体" w:cs="宋体"/>
                <w:b/>
                <w:bCs/>
                <w:color w:val="000000"/>
                <w:kern w:val="0"/>
                <w:sz w:val="24"/>
                <w:lang w:bidi="ar"/>
              </w:rPr>
              <w:t>演示此项不得分）</w:t>
            </w: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kern w:val="0"/>
                <w:sz w:val="24"/>
                <w:lang w:bidi="ar"/>
              </w:rPr>
              <w:t>西湖码综合信息系统</w:t>
            </w:r>
            <w:r>
              <w:rPr>
                <w:rFonts w:hint="eastAsia" w:ascii="宋体" w:hAnsi="宋体" w:cs="宋体"/>
                <w:kern w:val="0"/>
                <w:sz w:val="24"/>
                <w:lang w:eastAsia="zh-CN" w:bidi="ar"/>
              </w:rPr>
              <w:t>中</w:t>
            </w:r>
            <w:r>
              <w:rPr>
                <w:rFonts w:hint="eastAsia" w:ascii="宋体" w:hAnsi="宋体" w:cs="宋体"/>
                <w:kern w:val="0"/>
                <w:sz w:val="24"/>
                <w:lang w:bidi="ar"/>
              </w:rPr>
              <w:t>事件管理</w:t>
            </w:r>
            <w:r>
              <w:rPr>
                <w:rFonts w:hint="eastAsia" w:ascii="宋体" w:hAnsi="宋体" w:cs="宋体"/>
                <w:kern w:val="0"/>
                <w:sz w:val="24"/>
                <w:lang w:eastAsia="zh-CN" w:bidi="ar"/>
              </w:rPr>
              <w:t>的</w:t>
            </w:r>
            <w:r>
              <w:rPr>
                <w:rFonts w:hint="eastAsia" w:ascii="宋体" w:hAnsi="宋体" w:cs="宋体"/>
                <w:kern w:val="0"/>
                <w:sz w:val="24"/>
                <w:lang w:bidi="ar"/>
              </w:rPr>
              <w:t>一键快捷筛选功能演示：提供对事件个性化条件筛选方案的配置功能，</w:t>
            </w:r>
            <w:r>
              <w:rPr>
                <w:rFonts w:hint="eastAsia" w:ascii="宋体" w:hAnsi="宋体" w:cs="宋体"/>
                <w:color w:val="000000"/>
                <w:kern w:val="0"/>
                <w:sz w:val="24"/>
                <w:lang w:bidi="ar"/>
              </w:rPr>
              <w:t>①</w:t>
            </w:r>
            <w:r>
              <w:rPr>
                <w:rFonts w:hint="eastAsia" w:ascii="宋体" w:hAnsi="宋体" w:cs="宋体"/>
                <w:kern w:val="0"/>
                <w:sz w:val="24"/>
                <w:lang w:bidi="ar"/>
              </w:rPr>
              <w:t>可根据来源平台、事件状态、事件描述等条件综合筛选所需事件；</w:t>
            </w:r>
            <w:r>
              <w:rPr>
                <w:rFonts w:hint="eastAsia" w:ascii="宋体" w:hAnsi="宋体" w:cs="宋体"/>
                <w:color w:val="000000"/>
                <w:kern w:val="0"/>
                <w:sz w:val="24"/>
                <w:lang w:bidi="ar"/>
              </w:rPr>
              <w:t>②</w:t>
            </w:r>
            <w:r>
              <w:rPr>
                <w:rFonts w:hint="eastAsia" w:ascii="宋体" w:hAnsi="宋体" w:cs="宋体"/>
                <w:kern w:val="0"/>
                <w:sz w:val="24"/>
                <w:lang w:bidi="ar"/>
              </w:rPr>
              <w:t>并保存筛选条件设置，设置后形成快捷筛选标签，</w:t>
            </w:r>
            <w:r>
              <w:rPr>
                <w:rFonts w:hint="eastAsia" w:ascii="宋体" w:hAnsi="宋体" w:cs="宋体"/>
                <w:color w:val="000000"/>
                <w:kern w:val="0"/>
                <w:sz w:val="24"/>
                <w:lang w:bidi="ar"/>
              </w:rPr>
              <w:t>③</w:t>
            </w:r>
            <w:r>
              <w:rPr>
                <w:rFonts w:hint="eastAsia" w:ascii="宋体" w:hAnsi="宋体" w:cs="宋体"/>
                <w:kern w:val="0"/>
                <w:sz w:val="24"/>
                <w:lang w:bidi="ar"/>
              </w:rPr>
              <w:t>可进行事件的一键快捷筛选，</w:t>
            </w:r>
            <w:r>
              <w:rPr>
                <w:rFonts w:hint="eastAsia" w:ascii="宋体" w:hAnsi="宋体" w:cs="宋体"/>
                <w:color w:val="000000"/>
                <w:kern w:val="0"/>
                <w:sz w:val="24"/>
                <w:lang w:bidi="ar"/>
              </w:rPr>
              <w:t>每演示一个功能得1分，最高得3分。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sz w:val="24"/>
              </w:rPr>
            </w:pPr>
            <w:r>
              <w:rPr>
                <w:rFonts w:hint="eastAsia" w:ascii="宋体" w:hAnsi="宋体" w:cs="宋体"/>
                <w:color w:val="000000"/>
                <w:kern w:val="0"/>
                <w:sz w:val="24"/>
                <w:highlight w:val="none"/>
                <w:lang w:bidi="ar"/>
              </w:rPr>
              <w:t>西湖码专题大屏演示：①可查看今日事件概况、西湖码应用对外展示、事件类型top5、关注事件预警、上报事件趋势、市区贯通的指标展示；②可查看全区地图动效，并通过西湖地区查看镇街数据</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highlight w:val="none"/>
                <w:lang w:bidi="ar"/>
              </w:rPr>
              <w:t>③同时可针对事件类指标下钻查看对应事件列表和事件详情；④可以查看事件评价情况及评价标签；</w:t>
            </w:r>
            <w:r>
              <w:rPr>
                <w:rFonts w:hint="eastAsia" w:ascii="宋体" w:hAnsi="宋体" w:cs="宋体"/>
                <w:color w:val="000000"/>
                <w:kern w:val="0"/>
                <w:sz w:val="24"/>
                <w:lang w:bidi="ar"/>
              </w:rPr>
              <w:t>每演示一个功能得1分，最高得</w:t>
            </w:r>
            <w:r>
              <w:rPr>
                <w:rFonts w:hint="default" w:ascii="宋体" w:hAnsi="宋体" w:cs="宋体"/>
                <w:color w:val="000000"/>
                <w:kern w:val="0"/>
                <w:sz w:val="24"/>
                <w:lang w:val="en-US" w:bidi="ar"/>
              </w:rPr>
              <w:t>4</w:t>
            </w:r>
            <w:r>
              <w:rPr>
                <w:rFonts w:hint="eastAsia" w:ascii="宋体" w:hAnsi="宋体" w:cs="宋体"/>
                <w:color w:val="000000"/>
                <w:kern w:val="0"/>
                <w:sz w:val="24"/>
                <w:lang w:bidi="ar"/>
              </w:rPr>
              <w:t>分</w:t>
            </w:r>
            <w:r>
              <w:rPr>
                <w:rFonts w:hint="eastAsia" w:ascii="宋体" w:hAnsi="宋体" w:cs="宋体"/>
                <w:color w:val="000000"/>
                <w:kern w:val="0"/>
                <w:sz w:val="24"/>
                <w:highlight w:val="none"/>
                <w:lang w:bidi="ar"/>
              </w:rPr>
              <w:t>。</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sz w:val="24"/>
                <w:lang w:val="en-US"/>
              </w:rPr>
              <w:t>4</w:t>
            </w:r>
          </w:p>
        </w:tc>
        <w:tc>
          <w:tcPr>
            <w:tcW w:w="11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highlight w:val="none"/>
                <w:lang w:bidi="ar"/>
              </w:rPr>
              <w:t>投标人具有</w:t>
            </w:r>
            <w:r>
              <w:rPr>
                <w:rFonts w:hint="eastAsia" w:ascii="宋体" w:hAnsi="宋体" w:cs="宋体"/>
                <w:color w:val="000000"/>
                <w:kern w:val="0"/>
                <w:sz w:val="24"/>
                <w:lang w:bidi="ar"/>
              </w:rPr>
              <w:t>ISO9001质量管理体系认证证书、ISO20000信息技术服务管理体系认证和ISO27001信息安全管理体系认证。</w:t>
            </w:r>
            <w:r>
              <w:rPr>
                <w:rFonts w:hint="eastAsia" w:ascii="宋体" w:hAnsi="宋体" w:cs="宋体"/>
                <w:color w:val="000000"/>
                <w:kern w:val="0"/>
                <w:sz w:val="24"/>
                <w:lang w:eastAsia="zh-CN" w:bidi="ar"/>
              </w:rPr>
              <w:t>每符合一项得</w:t>
            </w:r>
            <w:r>
              <w:rPr>
                <w:rFonts w:hint="default" w:ascii="宋体" w:hAnsi="宋体" w:cs="宋体"/>
                <w:color w:val="000000"/>
                <w:kern w:val="0"/>
                <w:sz w:val="24"/>
                <w:lang w:val="en-US" w:eastAsia="zh-CN" w:bidi="ar"/>
              </w:rPr>
              <w:t>1</w:t>
            </w:r>
            <w:r>
              <w:rPr>
                <w:rFonts w:hint="eastAsia" w:ascii="宋体" w:hAnsi="宋体" w:cs="宋体"/>
                <w:color w:val="000000"/>
                <w:kern w:val="0"/>
                <w:sz w:val="24"/>
                <w:lang w:val="en-US" w:eastAsia="zh-CN" w:bidi="ar"/>
              </w:rPr>
              <w:t>分，共</w:t>
            </w:r>
            <w:r>
              <w:rPr>
                <w:rFonts w:hint="default" w:ascii="宋体" w:hAnsi="宋体" w:cs="宋体"/>
                <w:color w:val="000000"/>
                <w:kern w:val="0"/>
                <w:sz w:val="24"/>
                <w:lang w:val="en-US" w:eastAsia="zh-CN" w:bidi="ar"/>
              </w:rPr>
              <w:t>3</w:t>
            </w:r>
            <w:r>
              <w:rPr>
                <w:rFonts w:hint="eastAsia" w:ascii="宋体" w:hAnsi="宋体" w:cs="宋体"/>
                <w:color w:val="000000"/>
                <w:kern w:val="0"/>
                <w:sz w:val="24"/>
                <w:lang w:val="en-US" w:eastAsia="zh-CN" w:bidi="ar"/>
              </w:rPr>
              <w:t>分</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default" w:ascii="宋体" w:hAnsi="宋体" w:cs="宋体"/>
                <w:color w:val="000000"/>
                <w:kern w:val="0"/>
                <w:sz w:val="24"/>
                <w:lang w:val="en-US" w:bidi="ar"/>
              </w:rPr>
              <w:t>3</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（十一）投标人资信</w:t>
            </w:r>
          </w:p>
        </w:tc>
      </w:tr>
      <w:tr>
        <w:tblPrEx>
          <w:tblCellMar>
            <w:top w:w="0" w:type="dxa"/>
            <w:left w:w="108" w:type="dxa"/>
            <w:bottom w:w="0" w:type="dxa"/>
            <w:right w:w="108" w:type="dxa"/>
          </w:tblCellMar>
        </w:tblPrEx>
        <w:trPr>
          <w:trHeight w:val="660"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截止投标时间近三年以来投标人承担类似软件建设项目情况，结合已完工的案例和用户反映情况，需提供</w:t>
            </w:r>
            <w:r>
              <w:rPr>
                <w:rFonts w:hint="eastAsia" w:ascii="宋体" w:hAnsi="宋体" w:cs="宋体"/>
                <w:b/>
                <w:bCs/>
                <w:color w:val="000000"/>
                <w:kern w:val="0"/>
                <w:sz w:val="24"/>
                <w:lang w:bidi="ar"/>
              </w:rPr>
              <w:t>合同复印件、付款凭证</w:t>
            </w:r>
            <w:r>
              <w:rPr>
                <w:rFonts w:hint="eastAsia" w:ascii="宋体" w:hAnsi="宋体" w:cs="宋体"/>
                <w:b/>
                <w:bCs/>
                <w:color w:val="000000"/>
                <w:kern w:val="0"/>
                <w:sz w:val="24"/>
                <w:lang w:eastAsia="zh-CN" w:bidi="ar"/>
              </w:rPr>
              <w:t>或</w:t>
            </w:r>
            <w:r>
              <w:rPr>
                <w:rFonts w:hint="eastAsia" w:ascii="宋体" w:hAnsi="宋体" w:cs="宋体"/>
                <w:b/>
                <w:bCs/>
                <w:color w:val="000000"/>
                <w:kern w:val="0"/>
                <w:sz w:val="24"/>
                <w:lang w:bidi="ar"/>
              </w:rPr>
              <w:t>采购单位出具的验收报告</w:t>
            </w:r>
            <w:r>
              <w:rPr>
                <w:rFonts w:hint="eastAsia" w:ascii="宋体" w:hAnsi="宋体" w:cs="宋体"/>
                <w:color w:val="000000"/>
                <w:kern w:val="0"/>
                <w:sz w:val="24"/>
                <w:lang w:bidi="ar"/>
              </w:rPr>
              <w:t>（一个案例得0.5分，总分1分）。</w:t>
            </w:r>
            <w:r>
              <w:rPr>
                <w:rFonts w:hint="eastAsia" w:ascii="宋体" w:hAnsi="宋体" w:cs="宋体"/>
                <w:color w:val="000000"/>
                <w:kern w:val="0"/>
                <w:sz w:val="24"/>
                <w:lang w:bidi="ar"/>
              </w:rPr>
              <w:br w:type="textWrapping"/>
            </w:r>
            <w:r>
              <w:rPr>
                <w:rFonts w:hint="eastAsia" w:cs="仿宋_GB2312" w:asciiTheme="minorEastAsia" w:hAnsiTheme="minorEastAsia" w:eastAsiaTheme="minorEastAsia"/>
                <w:sz w:val="24"/>
                <w:highlight w:val="none"/>
              </w:rPr>
              <w:t>未按要求提供完整材料的，不得分；</w:t>
            </w:r>
            <w:r>
              <w:rPr>
                <w:rFonts w:hint="eastAsia" w:cs="仿宋_GB2312" w:asciiTheme="minorEastAsia" w:hAnsiTheme="minorEastAsia" w:eastAsiaTheme="minorEastAsia"/>
                <w:b/>
                <w:bCs/>
                <w:sz w:val="24"/>
                <w:highlight w:val="none"/>
              </w:rPr>
              <w:t>一个单位分年度多次签订的案例，计入1个案例；同一个项目，分两期或以上建设完成的，计入1个案例。</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color w:val="000000"/>
                <w:sz w:val="24"/>
              </w:rPr>
            </w:pPr>
            <w:r>
              <w:rPr>
                <w:rFonts w:hint="eastAsia" w:ascii="宋体" w:hAnsi="宋体" w:cs="宋体"/>
                <w:b/>
                <w:bCs/>
                <w:color w:val="000000"/>
                <w:kern w:val="0"/>
                <w:sz w:val="24"/>
                <w:lang w:bidi="ar"/>
              </w:rPr>
              <w:t>（十二）投标人类似项目建设的成功经验</w:t>
            </w:r>
          </w:p>
        </w:tc>
      </w:tr>
      <w:tr>
        <w:tblPrEx>
          <w:tblCellMar>
            <w:top w:w="0" w:type="dxa"/>
            <w:left w:w="108" w:type="dxa"/>
            <w:bottom w:w="0" w:type="dxa"/>
            <w:right w:w="108" w:type="dxa"/>
          </w:tblCellMar>
        </w:tblPrEx>
        <w:trPr>
          <w:trHeight w:val="913" w:hRule="atLeast"/>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26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textAlignment w:val="center"/>
              <w:rPr>
                <w:rFonts w:ascii="宋体" w:hAnsi="宋体" w:cs="宋体"/>
                <w:color w:val="000000"/>
                <w:kern w:val="0"/>
                <w:sz w:val="24"/>
                <w:lang w:bidi="ar"/>
              </w:rPr>
            </w:pPr>
            <w:r>
              <w:rPr>
                <w:rFonts w:hint="eastAsia" w:ascii="宋体" w:hAnsi="宋体" w:cs="宋体"/>
                <w:color w:val="000000"/>
                <w:kern w:val="0"/>
                <w:sz w:val="24"/>
                <w:lang w:bidi="ar"/>
              </w:rPr>
              <w:t>有效投标报价的最低价作为评标基准价，其最低报价为满分；按［投标报价得分=（评标基准价/投标报价）*权重］的计算公式计算。</w:t>
            </w:r>
          </w:p>
          <w:p>
            <w:pPr>
              <w:widowControl/>
              <w:ind w:firstLine="480" w:firstLineChars="200"/>
              <w:textAlignment w:val="center"/>
              <w:rPr>
                <w:rFonts w:ascii="宋体" w:hAnsi="宋体" w:cs="宋体"/>
                <w:color w:val="000000"/>
                <w:sz w:val="24"/>
              </w:rPr>
            </w:pPr>
            <w:r>
              <w:rPr>
                <w:rFonts w:hint="eastAsia" w:ascii="宋体" w:hAnsi="宋体" w:cs="宋体"/>
                <w:color w:val="000000"/>
                <w:kern w:val="0"/>
                <w:sz w:val="24"/>
                <w:lang w:bidi="ar"/>
              </w:rPr>
              <w:t>评标过程中，不得去掉报价中的最高报价和最低报价。</w:t>
            </w:r>
          </w:p>
          <w:p>
            <w:pPr>
              <w:widowControl/>
              <w:ind w:firstLine="480" w:firstLineChars="200"/>
              <w:textAlignment w:val="center"/>
              <w:rPr>
                <w:rFonts w:ascii="宋体" w:hAnsi="宋体" w:cs="宋体"/>
                <w:color w:val="000000"/>
                <w:sz w:val="24"/>
              </w:rPr>
            </w:pPr>
            <w:r>
              <w:rPr>
                <w:rFonts w:hint="eastAsia" w:ascii="宋体" w:hAnsi="宋体" w:cs="宋体"/>
                <w:color w:val="000000"/>
                <w:kern w:val="0"/>
                <w:sz w:val="24"/>
                <w:lang w:bidi="ar"/>
              </w:rPr>
              <w:t>因落实政府采购政策需要进行价格调整的，以调整后的价格计算评标基准价和投标报价。</w:t>
            </w:r>
          </w:p>
        </w:tc>
        <w:tc>
          <w:tcPr>
            <w:tcW w:w="7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1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cs="宋体"/>
                <w:b/>
                <w:bCs/>
                <w:color w:val="000000"/>
                <w:sz w:val="24"/>
              </w:rPr>
            </w:pPr>
            <w:r>
              <w:rPr>
                <w:rFonts w:hint="default" w:ascii="宋体" w:hAnsi="宋体" w:cs="宋体"/>
                <w:b/>
                <w:bCs/>
                <w:color w:val="000000"/>
                <w:kern w:val="0"/>
                <w:sz w:val="24"/>
                <w:lang w:val="en-US" w:bidi="ar"/>
              </w:rPr>
              <w:t>/</w:t>
            </w:r>
          </w:p>
        </w:tc>
      </w:tr>
    </w:tbl>
    <w:p>
      <w:pPr>
        <w:snapToGrid w:val="0"/>
        <w:spacing w:line="360" w:lineRule="auto"/>
        <w:rPr>
          <w:rFonts w:ascii="宋体" w:hAnsi="宋体" w:cs="宋体"/>
          <w:b/>
          <w:sz w:val="24"/>
        </w:rPr>
      </w:pPr>
      <w:r>
        <w:rPr>
          <w:rFonts w:hint="eastAsia" w:ascii="宋体" w:hAnsi="宋体" w:cs="宋体"/>
          <w:sz w:val="24"/>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4"/>
        </w:rPr>
      </w:pPr>
      <w:r>
        <w:rPr>
          <w:rFonts w:hint="eastAsia" w:ascii="宋体" w:hAnsi="宋体" w:cs="宋体"/>
          <w:b/>
          <w:sz w:val="28"/>
          <w:szCs w:val="2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2"/>
          <w:szCs w:val="22"/>
        </w:rPr>
      </w:pPr>
      <w:r>
        <w:rPr>
          <w:rFonts w:hint="eastAsia" w:ascii="宋体" w:hAnsi="宋体" w:cs="宋体"/>
          <w:b/>
          <w:sz w:val="28"/>
          <w:szCs w:val="2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w:t>
      </w:r>
      <w:r>
        <w:rPr>
          <w:rFonts w:hint="eastAsia" w:ascii="宋体" w:hAnsi="宋体" w:cs="宋体"/>
          <w:kern w:val="0"/>
          <w:szCs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28"/>
          <w:szCs w:val="22"/>
        </w:rPr>
      </w:pPr>
      <w:r>
        <w:rPr>
          <w:rFonts w:hint="eastAsia" w:ascii="宋体" w:hAnsi="宋体" w:cs="宋体"/>
          <w:b/>
          <w:sz w:val="28"/>
          <w:szCs w:val="2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14</w:t>
      </w:r>
      <w:r>
        <w:rPr>
          <w:rFonts w:hint="eastAsia" w:ascii="宋体" w:hAnsi="宋体" w:cs="宋体"/>
          <w:color w:val="auto"/>
          <w:kern w:val="0"/>
          <w:sz w:val="24"/>
        </w:rPr>
        <w:t xml:space="preserve">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15</w:t>
      </w:r>
      <w:r>
        <w:rPr>
          <w:rFonts w:hint="eastAsia" w:ascii="宋体" w:hAnsi="宋体" w:cs="宋体"/>
          <w:color w:val="auto"/>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b/>
          <w:color w:val="000000" w:themeColor="text1"/>
          <w:sz w:val="36"/>
          <w14:textFill>
            <w14:solidFill>
              <w14:schemeClr w14:val="tx1"/>
            </w14:solidFill>
          </w14:textFill>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8" w:name="第五部分"/>
      <w:bookmarkStart w:id="399" w:name="_Toc86217003"/>
    </w:p>
    <w:p>
      <w:pPr>
        <w:rPr>
          <w:rFonts w:ascii="宋体" w:hAnsi="宋体" w:cs="宋体"/>
          <w:b/>
          <w:color w:val="000000" w:themeColor="text1"/>
          <w:sz w:val="36"/>
          <w14:textFill>
            <w14:solidFill>
              <w14:schemeClr w14:val="tx1"/>
            </w14:solidFill>
          </w14:textFill>
        </w:rPr>
      </w:pPr>
      <w:r>
        <w:rPr>
          <w:rFonts w:hint="eastAsia" w:ascii="宋体" w:hAnsi="宋体" w:cs="宋体"/>
          <w:b/>
          <w:color w:val="000000" w:themeColor="text1"/>
          <w:sz w:val="36"/>
          <w14:textFill>
            <w14:solidFill>
              <w14:schemeClr w14:val="tx1"/>
            </w14:solidFill>
          </w14:textFill>
        </w:rPr>
        <w:br w:type="page"/>
      </w:r>
    </w:p>
    <w:p>
      <w:pPr>
        <w:pStyle w:val="394"/>
        <w:spacing w:after="120" w:afterLines="0" w:line="360" w:lineRule="auto"/>
        <w:ind w:firstLine="1446" w:firstLineChars="400"/>
        <w:rPr>
          <w:rFonts w:ascii="宋体" w:hAnsi="宋体" w:cs="宋体"/>
          <w:b/>
          <w:color w:val="000000" w:themeColor="text1"/>
          <w:sz w:val="36"/>
          <w:highlight w:val="yellow"/>
          <w14:textFill>
            <w14:solidFill>
              <w14:schemeClr w14:val="tx1"/>
            </w14:solidFill>
          </w14:textFill>
        </w:rPr>
      </w:pPr>
      <w:r>
        <w:rPr>
          <w:rFonts w:hint="eastAsia" w:ascii="宋体" w:hAnsi="宋体" w:cs="宋体"/>
          <w:b/>
          <w:color w:val="000000" w:themeColor="text1"/>
          <w:sz w:val="36"/>
          <w14:textFill>
            <w14:solidFill>
              <w14:schemeClr w14:val="tx1"/>
            </w14:solidFill>
          </w14:textFill>
        </w:rPr>
        <w:t>第五部分 采购合同的一般和特殊条款</w:t>
      </w:r>
    </w:p>
    <w:p>
      <w:pPr>
        <w:spacing w:line="360" w:lineRule="auto"/>
        <w:ind w:firstLine="480" w:firstLineChars="200"/>
        <w:rPr>
          <w:rFonts w:ascii="宋体" w:hAnsi="宋体" w:cs="宋体"/>
          <w:b/>
          <w:color w:val="000000"/>
          <w:sz w:val="24"/>
        </w:rPr>
      </w:pPr>
      <w:r>
        <w:rPr>
          <w:rFonts w:hint="eastAsia" w:ascii="宋体" w:hAnsi="宋体" w:cs="宋体"/>
          <w:color w:val="000000"/>
          <w:sz w:val="24"/>
        </w:rPr>
        <w:t>根据《中华人民共和国政府采购法》和《中华人民共和国</w:t>
      </w:r>
      <w:r>
        <w:rPr>
          <w:rFonts w:hint="eastAsia" w:ascii="宋体" w:hAnsi="宋体" w:cs="宋体"/>
          <w:color w:val="000000"/>
          <w:sz w:val="24"/>
          <w:lang w:eastAsia="zh-CN"/>
        </w:rPr>
        <w:t>民法典</w:t>
      </w:r>
      <w:r>
        <w:rPr>
          <w:rFonts w:hint="eastAsia" w:ascii="宋体" w:hAnsi="宋体" w:cs="宋体"/>
          <w:color w:val="000000"/>
          <w:sz w:val="24"/>
        </w:rPr>
        <w:t>》、地方有关法律、法规和政策，在平等、自愿、协商一致的基础上，就甲方（</w:t>
      </w:r>
      <w:r>
        <w:rPr>
          <w:rFonts w:hint="eastAsia" w:ascii="宋体" w:hAnsi="宋体" w:cs="宋体"/>
          <w:sz w:val="24"/>
        </w:rPr>
        <w:t>中共杭州市西湖区委杭州市西湖区人民政府信访局</w:t>
      </w:r>
      <w:r>
        <w:rPr>
          <w:rFonts w:hint="eastAsia" w:ascii="宋体" w:hAnsi="宋体" w:cs="宋体"/>
          <w:color w:val="000000"/>
          <w:sz w:val="24"/>
        </w:rPr>
        <w:t>）委托乙方（</w:t>
      </w:r>
      <w:r>
        <w:rPr>
          <w:rFonts w:hint="eastAsia" w:ascii="宋体" w:hAnsi="宋体" w:cs="宋体"/>
          <w:color w:val="000000"/>
          <w:kern w:val="0"/>
          <w:sz w:val="24"/>
          <w:lang w:val="zh-CN"/>
        </w:rPr>
        <w:t>经评审最终确定的</w:t>
      </w:r>
      <w:r>
        <w:rPr>
          <w:rFonts w:hint="eastAsia" w:ascii="宋体" w:hAnsi="宋体" w:cs="宋体"/>
          <w:color w:val="000000"/>
          <w:sz w:val="24"/>
        </w:rPr>
        <w:t>成交供应商）对</w:t>
      </w:r>
      <w:r>
        <w:rPr>
          <w:rFonts w:hint="eastAsia" w:ascii="宋体" w:hAnsi="宋体" w:cs="宋体"/>
          <w:sz w:val="24"/>
        </w:rPr>
        <w:t>中共杭州市西湖区委杭州市西湖区人民政府信访局</w:t>
      </w:r>
      <w:r>
        <w:rPr>
          <w:rFonts w:hint="eastAsia" w:ascii="宋体" w:hAnsi="宋体" w:cs="宋体"/>
          <w:color w:val="000000"/>
          <w:sz w:val="24"/>
        </w:rPr>
        <w:t>实行专业化的信息化项目订立本合同。</w:t>
      </w:r>
    </w:p>
    <w:p>
      <w:pPr>
        <w:spacing w:line="360" w:lineRule="auto"/>
        <w:ind w:firstLine="482" w:firstLineChars="200"/>
        <w:outlineLvl w:val="0"/>
        <w:rPr>
          <w:rFonts w:ascii="宋体" w:hAnsi="宋体"/>
          <w:b/>
          <w:sz w:val="24"/>
        </w:rPr>
      </w:pPr>
      <w:r>
        <w:rPr>
          <w:rFonts w:ascii="宋体" w:hAnsi="宋体"/>
          <w:b/>
          <w:sz w:val="24"/>
        </w:rPr>
        <w:t>1. 定义</w:t>
      </w:r>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ascii="宋体" w:hAnsi="宋体"/>
          <w:sz w:val="24"/>
        </w:rPr>
        <w:t>1.1 “合同”系指采购人和中标供应商签订的载明双方当事人所达成的协议，并包括所有的附件、附录和构成合同的其他文件。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ascii="宋体" w:hAnsi="宋体"/>
          <w:sz w:val="24"/>
        </w:rPr>
        <w:t>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360" w:lineRule="auto"/>
        <w:ind w:firstLine="480" w:firstLineChars="200"/>
        <w:rPr>
          <w:rFonts w:ascii="宋体" w:hAnsi="宋体"/>
          <w:sz w:val="24"/>
        </w:rPr>
      </w:pPr>
      <w:r>
        <w:rPr>
          <w:rFonts w:ascii="宋体" w:hAnsi="宋体"/>
          <w:sz w:val="24"/>
        </w:rPr>
        <w:t>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360" w:lineRule="auto"/>
        <w:ind w:firstLine="480" w:firstLineChars="200"/>
        <w:rPr>
          <w:rFonts w:ascii="宋体" w:hAnsi="宋体"/>
          <w:sz w:val="24"/>
        </w:rPr>
      </w:pPr>
      <w:r>
        <w:rPr>
          <w:rFonts w:ascii="宋体" w:hAnsi="宋体"/>
          <w:sz w:val="24"/>
        </w:rPr>
        <w:t>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ascii="宋体" w:hAnsi="宋体"/>
          <w:sz w:val="24"/>
        </w:rPr>
        <w:t>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ascii="宋体" w:hAnsi="宋体"/>
          <w:sz w:val="24"/>
        </w:rPr>
        <w:t>1.6 “现场”系指合同约定提供服务的地点。</w:t>
      </w:r>
    </w:p>
    <w:p>
      <w:pPr>
        <w:spacing w:line="360" w:lineRule="auto"/>
        <w:ind w:firstLine="482" w:firstLineChars="200"/>
        <w:outlineLvl w:val="0"/>
        <w:rPr>
          <w:rFonts w:ascii="宋体" w:hAnsi="宋体"/>
          <w:b/>
          <w:sz w:val="24"/>
        </w:rPr>
      </w:pPr>
      <w:bookmarkStart w:id="400" w:name="_Toc31402"/>
      <w:bookmarkStart w:id="401" w:name="_Toc16752"/>
      <w:bookmarkStart w:id="402" w:name="_Toc3769"/>
      <w:bookmarkStart w:id="403" w:name="_Toc19539"/>
      <w:bookmarkStart w:id="404" w:name="_Toc23289"/>
      <w:r>
        <w:rPr>
          <w:rFonts w:ascii="宋体" w:hAnsi="宋体"/>
          <w:b/>
          <w:sz w:val="24"/>
        </w:rPr>
        <w:t>2.技术规范</w:t>
      </w:r>
      <w:bookmarkEnd w:id="400"/>
      <w:bookmarkEnd w:id="401"/>
      <w:bookmarkEnd w:id="402"/>
      <w:bookmarkEnd w:id="403"/>
      <w:bookmarkEnd w:id="404"/>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所应遵守的技术规范应与采购文件规定的技术规范和技术规范附件(如果有)及其技术规范偏差表(如果被甲方接受)相一致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05" w:name="_Toc4133"/>
      <w:bookmarkStart w:id="406" w:name="_Toc27945"/>
      <w:bookmarkStart w:id="407" w:name="_Toc12412"/>
      <w:bookmarkStart w:id="408" w:name="_Toc13673"/>
      <w:bookmarkStart w:id="409" w:name="_Toc9161"/>
      <w:r>
        <w:rPr>
          <w:rFonts w:ascii="宋体" w:hAnsi="宋体"/>
          <w:b/>
          <w:sz w:val="24"/>
        </w:rPr>
        <w:t>2.1 知识产权</w:t>
      </w:r>
      <w:bookmarkEnd w:id="405"/>
      <w:bookmarkEnd w:id="406"/>
      <w:bookmarkEnd w:id="407"/>
      <w:bookmarkEnd w:id="408"/>
      <w:bookmarkEnd w:id="409"/>
    </w:p>
    <w:p>
      <w:pPr>
        <w:spacing w:line="360" w:lineRule="auto"/>
        <w:ind w:firstLine="480" w:firstLineChars="200"/>
        <w:rPr>
          <w:rFonts w:ascii="宋体" w:hAnsi="宋体"/>
          <w:sz w:val="24"/>
        </w:rPr>
      </w:pPr>
      <w:r>
        <w:rPr>
          <w:rFonts w:ascii="宋体" w:hAnsi="宋体"/>
          <w:sz w:val="24"/>
        </w:rPr>
        <w:t xml:space="preserve">2.1.1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360" w:lineRule="auto"/>
        <w:ind w:firstLine="482" w:firstLineChars="200"/>
        <w:rPr>
          <w:rFonts w:ascii="宋体" w:hAnsi="宋体"/>
          <w:b/>
          <w:sz w:val="24"/>
        </w:rPr>
      </w:pPr>
      <w:r>
        <w:rPr>
          <w:rFonts w:ascii="宋体" w:hAnsi="宋体"/>
          <w:b/>
          <w:sz w:val="24"/>
        </w:rPr>
        <w:t xml:space="preserve">2.2 </w:t>
      </w:r>
      <w:r>
        <w:rPr>
          <w:rFonts w:hint="eastAsia" w:ascii="宋体" w:hAnsi="宋体"/>
          <w:b/>
          <w:sz w:val="24"/>
        </w:rPr>
        <w:t>履约检查和问题反馈</w:t>
      </w:r>
    </w:p>
    <w:p>
      <w:pPr>
        <w:spacing w:line="360" w:lineRule="auto"/>
        <w:ind w:firstLine="480" w:firstLineChars="200"/>
        <w:rPr>
          <w:rFonts w:ascii="宋体" w:hAnsi="宋体"/>
          <w:sz w:val="24"/>
        </w:rPr>
      </w:pPr>
      <w:r>
        <w:rPr>
          <w:rFonts w:ascii="宋体" w:hAnsi="宋体"/>
          <w:sz w:val="24"/>
        </w:rPr>
        <w:t>2.2.1甲方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ascii="宋体" w:hAnsi="宋体"/>
          <w:sz w:val="24"/>
        </w:rPr>
        <w:t xml:space="preserve">2.2.2 </w:t>
      </w:r>
      <w:r>
        <w:rPr>
          <w:rFonts w:hint="eastAsia" w:ascii="宋体" w:hAnsi="宋体"/>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10" w:name="_Toc26555"/>
      <w:bookmarkStart w:id="411" w:name="_Toc31233"/>
      <w:bookmarkStart w:id="412" w:name="_Toc15447"/>
      <w:bookmarkStart w:id="413" w:name="_Toc22011"/>
      <w:bookmarkStart w:id="414" w:name="_Toc32670"/>
      <w:r>
        <w:rPr>
          <w:rFonts w:ascii="宋体" w:hAnsi="宋体"/>
          <w:b/>
          <w:sz w:val="24"/>
        </w:rPr>
        <w:t xml:space="preserve">2.3 </w:t>
      </w:r>
      <w:bookmarkEnd w:id="410"/>
      <w:bookmarkEnd w:id="411"/>
      <w:bookmarkEnd w:id="412"/>
      <w:bookmarkEnd w:id="413"/>
      <w:bookmarkEnd w:id="414"/>
      <w:r>
        <w:rPr>
          <w:rFonts w:hint="eastAsia" w:ascii="宋体" w:hAnsi="宋体"/>
          <w:b/>
          <w:sz w:val="24"/>
        </w:rPr>
        <w:t>支付</w:t>
      </w:r>
    </w:p>
    <w:p>
      <w:pPr>
        <w:autoSpaceDE w:val="0"/>
        <w:autoSpaceDN w:val="0"/>
        <w:spacing w:line="360" w:lineRule="auto"/>
        <w:ind w:firstLine="480" w:firstLineChars="200"/>
        <w:rPr>
          <w:rFonts w:ascii="宋体" w:hAnsi="宋体" w:cs="宋体"/>
          <w:color w:val="000000"/>
          <w:kern w:val="0"/>
          <w:sz w:val="24"/>
          <w:lang w:val="zh-CN"/>
        </w:rPr>
      </w:pPr>
      <w:bookmarkStart w:id="415" w:name="_Toc18990"/>
      <w:bookmarkStart w:id="416" w:name="_Toc13467"/>
      <w:bookmarkStart w:id="417" w:name="_Toc30507"/>
      <w:bookmarkStart w:id="418" w:name="_Toc16163"/>
      <w:bookmarkStart w:id="419" w:name="_Toc13154"/>
      <w:r>
        <w:rPr>
          <w:rFonts w:hint="eastAsia" w:ascii="宋体" w:hAnsi="宋体" w:cs="宋体"/>
          <w:color w:val="000000"/>
          <w:kern w:val="0"/>
          <w:sz w:val="24"/>
          <w:lang w:val="zh-CN"/>
        </w:rPr>
        <w:t>本次项目合同总价为人民币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元），采用分期付款的方式：</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13"/>
        <w:gridCol w:w="1032"/>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付款期数</w:t>
            </w:r>
          </w:p>
        </w:tc>
        <w:tc>
          <w:tcPr>
            <w:tcW w:w="1213"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付款大写金额（元）</w:t>
            </w:r>
          </w:p>
        </w:tc>
        <w:tc>
          <w:tcPr>
            <w:tcW w:w="1032"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付款小写金额（元）</w:t>
            </w:r>
          </w:p>
        </w:tc>
        <w:tc>
          <w:tcPr>
            <w:tcW w:w="5999"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一</w:t>
            </w:r>
          </w:p>
        </w:tc>
        <w:tc>
          <w:tcPr>
            <w:tcW w:w="1213" w:type="dxa"/>
            <w:vAlign w:val="center"/>
          </w:tcPr>
          <w:p>
            <w:pPr>
              <w:autoSpaceDE w:val="0"/>
              <w:autoSpaceDN w:val="0"/>
              <w:spacing w:line="360" w:lineRule="auto"/>
              <w:jc w:val="center"/>
              <w:rPr>
                <w:rFonts w:ascii="宋体" w:hAnsi="宋体" w:cs="宋体"/>
                <w:kern w:val="0"/>
                <w:sz w:val="24"/>
                <w:lang w:val="zh-CN"/>
              </w:rPr>
            </w:pPr>
          </w:p>
        </w:tc>
        <w:tc>
          <w:tcPr>
            <w:tcW w:w="1032" w:type="dxa"/>
            <w:vAlign w:val="center"/>
          </w:tcPr>
          <w:p>
            <w:pPr>
              <w:autoSpaceDE w:val="0"/>
              <w:autoSpaceDN w:val="0"/>
              <w:spacing w:line="360" w:lineRule="auto"/>
              <w:jc w:val="center"/>
              <w:rPr>
                <w:rFonts w:ascii="宋体" w:hAnsi="宋体" w:cs="宋体"/>
                <w:kern w:val="0"/>
                <w:sz w:val="24"/>
                <w:lang w:val="zh-CN"/>
              </w:rPr>
            </w:pPr>
          </w:p>
        </w:tc>
        <w:tc>
          <w:tcPr>
            <w:tcW w:w="5999" w:type="dxa"/>
            <w:vAlign w:val="center"/>
          </w:tcPr>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合同签订后</w:t>
            </w:r>
            <w:r>
              <w:rPr>
                <w:rFonts w:hint="eastAsia" w:ascii="宋体" w:hAnsi="宋体" w:cs="宋体"/>
                <w:sz w:val="24"/>
              </w:rPr>
              <w:t>7</w:t>
            </w:r>
            <w:r>
              <w:rPr>
                <w:rFonts w:hint="eastAsia" w:ascii="宋体" w:hAnsi="宋体" w:cs="宋体"/>
                <w:sz w:val="24"/>
                <w:lang w:val="zh-CN"/>
              </w:rPr>
              <w:t>个工作日内，进行详细的需求调研，进一步优化概要设计、详细设计，并细化系统建设计划、目标任务书和测试验收方案，向甲方提供上述文档并需经甲方审查通过。</w:t>
            </w:r>
            <w:r>
              <w:rPr>
                <w:rFonts w:hint="eastAsia" w:ascii="宋体" w:hAnsi="宋体" w:cs="宋体"/>
                <w:sz w:val="24"/>
              </w:rPr>
              <w:t>乙方凭甲方签字盖章的支付通知书向甲方办理合同总价40%的款项支付手续。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二</w:t>
            </w:r>
          </w:p>
        </w:tc>
        <w:tc>
          <w:tcPr>
            <w:tcW w:w="1213" w:type="dxa"/>
            <w:vAlign w:val="center"/>
          </w:tcPr>
          <w:p>
            <w:pPr>
              <w:autoSpaceDE w:val="0"/>
              <w:autoSpaceDN w:val="0"/>
              <w:spacing w:line="360" w:lineRule="auto"/>
              <w:jc w:val="center"/>
              <w:rPr>
                <w:rFonts w:ascii="宋体" w:hAnsi="宋体" w:cs="宋体"/>
                <w:kern w:val="0"/>
                <w:sz w:val="24"/>
                <w:lang w:val="zh-CN"/>
              </w:rPr>
            </w:pPr>
          </w:p>
        </w:tc>
        <w:tc>
          <w:tcPr>
            <w:tcW w:w="1032" w:type="dxa"/>
            <w:vAlign w:val="center"/>
          </w:tcPr>
          <w:p>
            <w:pPr>
              <w:autoSpaceDE w:val="0"/>
              <w:autoSpaceDN w:val="0"/>
              <w:spacing w:line="360" w:lineRule="auto"/>
              <w:jc w:val="center"/>
              <w:rPr>
                <w:rFonts w:ascii="宋体" w:hAnsi="宋体" w:cs="宋体"/>
                <w:kern w:val="0"/>
                <w:sz w:val="24"/>
                <w:lang w:val="zh-CN"/>
              </w:rPr>
            </w:pPr>
          </w:p>
        </w:tc>
        <w:tc>
          <w:tcPr>
            <w:tcW w:w="5999" w:type="dxa"/>
            <w:vAlign w:val="center"/>
          </w:tcPr>
          <w:p>
            <w:pPr>
              <w:autoSpaceDE w:val="0"/>
              <w:autoSpaceDN w:val="0"/>
              <w:spacing w:line="360" w:lineRule="auto"/>
              <w:jc w:val="left"/>
              <w:rPr>
                <w:rFonts w:ascii="宋体" w:hAnsi="宋体" w:cs="宋体"/>
                <w:kern w:val="0"/>
                <w:sz w:val="24"/>
                <w:lang w:val="zh-CN"/>
              </w:rPr>
            </w:pPr>
            <w:r>
              <w:rPr>
                <w:rFonts w:hint="eastAsia" w:ascii="宋体" w:hAnsi="宋体" w:cs="宋体"/>
                <w:sz w:val="24"/>
              </w:rPr>
              <w:t>合同签订后</w:t>
            </w:r>
            <w:r>
              <w:rPr>
                <w:rFonts w:hint="default" w:ascii="宋体" w:hAnsi="宋体" w:cs="宋体"/>
                <w:b/>
                <w:bCs/>
                <w:sz w:val="24"/>
                <w:lang w:val="en-US"/>
              </w:rPr>
              <w:t>2</w:t>
            </w:r>
            <w:r>
              <w:rPr>
                <w:rFonts w:hint="eastAsia" w:ascii="宋体" w:hAnsi="宋体" w:cs="宋体"/>
                <w:b/>
                <w:bCs/>
                <w:sz w:val="24"/>
              </w:rPr>
              <w:t>个月</w:t>
            </w:r>
            <w:r>
              <w:rPr>
                <w:rFonts w:hint="eastAsia" w:ascii="宋体" w:hAnsi="宋体" w:cs="宋体"/>
                <w:sz w:val="24"/>
                <w:lang w:val="zh-CN"/>
              </w:rPr>
              <w:t>内完成软件系统开发建设、开发、上线并通过初步验收之后，</w:t>
            </w:r>
            <w:r>
              <w:rPr>
                <w:rFonts w:hint="eastAsia" w:ascii="宋体" w:hAnsi="宋体" w:cs="宋体"/>
                <w:sz w:val="24"/>
              </w:rPr>
              <w:t>10</w:t>
            </w:r>
            <w:r>
              <w:rPr>
                <w:rFonts w:hint="eastAsia" w:ascii="宋体" w:hAnsi="宋体" w:cs="宋体"/>
                <w:sz w:val="24"/>
                <w:lang w:val="zh-CN"/>
              </w:rPr>
              <w:t>个工作日内</w:t>
            </w:r>
            <w:r>
              <w:rPr>
                <w:rFonts w:hint="eastAsia" w:ascii="宋体" w:hAnsi="宋体" w:cs="宋体"/>
                <w:sz w:val="24"/>
              </w:rPr>
              <w:t>，乙方凭甲方签字盖章的支付通知书、初验报告向甲方办理合同总价30%的款项支付手续。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ascii="宋体" w:hAnsi="宋体" w:cs="宋体"/>
                <w:kern w:val="0"/>
                <w:sz w:val="24"/>
                <w:lang w:val="zh-CN"/>
              </w:rPr>
            </w:pPr>
            <w:r>
              <w:rPr>
                <w:rFonts w:hint="eastAsia" w:ascii="宋体" w:hAnsi="宋体" w:cs="宋体"/>
                <w:kern w:val="0"/>
                <w:sz w:val="24"/>
                <w:lang w:val="zh-CN"/>
              </w:rPr>
              <w:t>三</w:t>
            </w:r>
          </w:p>
        </w:tc>
        <w:tc>
          <w:tcPr>
            <w:tcW w:w="1213" w:type="dxa"/>
            <w:vAlign w:val="center"/>
          </w:tcPr>
          <w:p>
            <w:pPr>
              <w:autoSpaceDE w:val="0"/>
              <w:autoSpaceDN w:val="0"/>
              <w:spacing w:line="360" w:lineRule="auto"/>
              <w:jc w:val="center"/>
              <w:rPr>
                <w:rFonts w:ascii="宋体" w:hAnsi="宋体" w:cs="宋体"/>
                <w:kern w:val="0"/>
                <w:sz w:val="24"/>
                <w:lang w:val="zh-CN"/>
              </w:rPr>
            </w:pPr>
          </w:p>
        </w:tc>
        <w:tc>
          <w:tcPr>
            <w:tcW w:w="1032" w:type="dxa"/>
            <w:vAlign w:val="center"/>
          </w:tcPr>
          <w:p>
            <w:pPr>
              <w:autoSpaceDE w:val="0"/>
              <w:autoSpaceDN w:val="0"/>
              <w:spacing w:line="360" w:lineRule="auto"/>
              <w:jc w:val="center"/>
              <w:rPr>
                <w:rFonts w:ascii="宋体" w:hAnsi="宋体" w:cs="宋体"/>
                <w:kern w:val="0"/>
                <w:sz w:val="24"/>
                <w:lang w:val="zh-CN"/>
              </w:rPr>
            </w:pPr>
          </w:p>
        </w:tc>
        <w:tc>
          <w:tcPr>
            <w:tcW w:w="5999" w:type="dxa"/>
            <w:vAlign w:val="center"/>
          </w:tcPr>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系统正常运转</w:t>
            </w:r>
            <w:r>
              <w:rPr>
                <w:rFonts w:hint="eastAsia" w:ascii="宋体" w:hAnsi="宋体" w:cs="宋体"/>
                <w:b/>
                <w:bCs/>
                <w:kern w:val="0"/>
                <w:sz w:val="24"/>
              </w:rPr>
              <w:t>1</w:t>
            </w:r>
            <w:r>
              <w:rPr>
                <w:rFonts w:hint="eastAsia" w:ascii="宋体" w:hAnsi="宋体" w:cs="宋体"/>
                <w:b/>
                <w:bCs/>
                <w:kern w:val="0"/>
                <w:sz w:val="24"/>
                <w:lang w:val="zh-CN"/>
              </w:rPr>
              <w:t>个月</w:t>
            </w:r>
            <w:r>
              <w:rPr>
                <w:rFonts w:hint="eastAsia" w:ascii="宋体" w:hAnsi="宋体" w:cs="宋体"/>
                <w:kern w:val="0"/>
                <w:sz w:val="24"/>
                <w:lang w:val="zh-CN"/>
              </w:rPr>
              <w:t>后</w:t>
            </w:r>
            <w:r>
              <w:rPr>
                <w:rFonts w:hint="eastAsia" w:ascii="宋体" w:hAnsi="宋体" w:cs="宋体"/>
                <w:kern w:val="0"/>
                <w:sz w:val="24"/>
              </w:rPr>
              <w:t>（试运行1个月）</w:t>
            </w:r>
            <w:r>
              <w:rPr>
                <w:rFonts w:hint="eastAsia" w:ascii="宋体" w:hAnsi="宋体" w:cs="宋体"/>
                <w:kern w:val="0"/>
                <w:sz w:val="24"/>
                <w:lang w:val="zh-CN"/>
              </w:rPr>
              <w:t>，提交全部报告材料，并通过最终验收，出具项目终验报告。</w:t>
            </w:r>
            <w:r>
              <w:rPr>
                <w:rFonts w:hint="eastAsia" w:ascii="宋体" w:hAnsi="宋体" w:cs="宋体"/>
                <w:sz w:val="24"/>
              </w:rPr>
              <w:t>乙方凭甲方签字盖章的支付通知书、发票复印件、终验报告向甲方办理合同总价20%的货款结算手续。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autoSpaceDE w:val="0"/>
              <w:autoSpaceDN w:val="0"/>
              <w:spacing w:line="360" w:lineRule="auto"/>
              <w:jc w:val="center"/>
              <w:rPr>
                <w:rFonts w:hint="eastAsia" w:ascii="宋体" w:hAnsi="宋体" w:cs="宋体"/>
                <w:kern w:val="0"/>
                <w:sz w:val="24"/>
                <w:lang w:val="zh-CN"/>
              </w:rPr>
            </w:pPr>
            <w:r>
              <w:rPr>
                <w:rFonts w:hint="eastAsia" w:ascii="宋体" w:hAnsi="宋体" w:cs="宋体"/>
                <w:kern w:val="0"/>
                <w:sz w:val="24"/>
                <w:lang w:val="zh-CN"/>
              </w:rPr>
              <w:t>四</w:t>
            </w:r>
          </w:p>
        </w:tc>
        <w:tc>
          <w:tcPr>
            <w:tcW w:w="1213" w:type="dxa"/>
            <w:vAlign w:val="center"/>
          </w:tcPr>
          <w:p>
            <w:pPr>
              <w:autoSpaceDE w:val="0"/>
              <w:autoSpaceDN w:val="0"/>
              <w:spacing w:line="360" w:lineRule="auto"/>
              <w:jc w:val="center"/>
              <w:rPr>
                <w:rFonts w:ascii="宋体" w:hAnsi="宋体" w:cs="宋体"/>
                <w:kern w:val="0"/>
                <w:sz w:val="24"/>
                <w:lang w:val="zh-CN"/>
              </w:rPr>
            </w:pPr>
          </w:p>
        </w:tc>
        <w:tc>
          <w:tcPr>
            <w:tcW w:w="1032" w:type="dxa"/>
            <w:vAlign w:val="center"/>
          </w:tcPr>
          <w:p>
            <w:pPr>
              <w:autoSpaceDE w:val="0"/>
              <w:autoSpaceDN w:val="0"/>
              <w:spacing w:line="360" w:lineRule="auto"/>
              <w:jc w:val="center"/>
              <w:rPr>
                <w:rFonts w:ascii="宋体" w:hAnsi="宋体" w:cs="宋体"/>
                <w:kern w:val="0"/>
                <w:sz w:val="24"/>
                <w:lang w:val="zh-CN"/>
              </w:rPr>
            </w:pPr>
          </w:p>
        </w:tc>
        <w:tc>
          <w:tcPr>
            <w:tcW w:w="5999" w:type="dxa"/>
            <w:vAlign w:val="center"/>
          </w:tcPr>
          <w:p>
            <w:pPr>
              <w:autoSpaceDE w:val="0"/>
              <w:autoSpaceDN w:val="0"/>
              <w:spacing w:line="360" w:lineRule="auto"/>
              <w:jc w:val="left"/>
              <w:rPr>
                <w:rFonts w:hint="eastAsia" w:ascii="宋体" w:hAnsi="宋体" w:cs="宋体"/>
                <w:kern w:val="0"/>
                <w:sz w:val="24"/>
                <w:lang w:val="zh-CN"/>
              </w:rPr>
            </w:pPr>
            <w:r>
              <w:rPr>
                <w:rFonts w:hint="eastAsia" w:ascii="宋体" w:hAnsi="宋体" w:cs="宋体"/>
                <w:kern w:val="0"/>
                <w:sz w:val="24"/>
              </w:rPr>
              <w:t>项目运维期满后，</w:t>
            </w:r>
            <w:r>
              <w:rPr>
                <w:rFonts w:hint="eastAsia" w:ascii="宋体" w:hAnsi="宋体" w:cs="宋体"/>
                <w:sz w:val="24"/>
              </w:rPr>
              <w:t>乙方凭甲方签字盖章的支付通知书、发票复印件向甲方办理合同总价10%的货款结算手续。</w:t>
            </w:r>
          </w:p>
        </w:tc>
      </w:tr>
    </w:tbl>
    <w:p>
      <w:pPr>
        <w:spacing w:line="360" w:lineRule="auto"/>
        <w:ind w:firstLine="482" w:firstLineChars="200"/>
        <w:outlineLvl w:val="0"/>
        <w:rPr>
          <w:rFonts w:ascii="宋体" w:hAnsi="宋体"/>
          <w:b/>
          <w:sz w:val="24"/>
        </w:rPr>
      </w:pPr>
      <w:r>
        <w:rPr>
          <w:rFonts w:ascii="宋体" w:hAnsi="宋体"/>
          <w:b/>
          <w:sz w:val="24"/>
        </w:rPr>
        <w:t>2.4 技术资料和保密义务</w:t>
      </w:r>
      <w:bookmarkEnd w:id="415"/>
      <w:bookmarkEnd w:id="416"/>
      <w:bookmarkEnd w:id="417"/>
      <w:bookmarkEnd w:id="418"/>
      <w:bookmarkEnd w:id="419"/>
    </w:p>
    <w:p>
      <w:pPr>
        <w:spacing w:line="360" w:lineRule="auto"/>
        <w:ind w:firstLine="480" w:firstLineChars="200"/>
        <w:rPr>
          <w:rFonts w:ascii="宋体" w:hAnsi="宋体"/>
          <w:sz w:val="24"/>
        </w:rPr>
      </w:pPr>
      <w:r>
        <w:rPr>
          <w:rFonts w:ascii="宋体" w:hAnsi="宋体"/>
          <w:sz w:val="24"/>
        </w:rPr>
        <w:t>2.4.1 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ascii="宋体" w:hAnsi="宋体"/>
          <w:sz w:val="24"/>
        </w:rPr>
        <w:t xml:space="preserve">2.4.2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ascii="宋体" w:hAnsi="宋体"/>
          <w:sz w:val="24"/>
        </w:rPr>
        <w:t xml:space="preserve">2.4.3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20" w:name="_Toc19069"/>
      <w:r>
        <w:rPr>
          <w:rFonts w:ascii="宋体" w:hAnsi="宋体"/>
          <w:b/>
          <w:sz w:val="24"/>
        </w:rPr>
        <w:t xml:space="preserve">2.5 </w:t>
      </w:r>
      <w:r>
        <w:rPr>
          <w:rFonts w:hint="eastAsia" w:ascii="宋体" w:hAnsi="宋体"/>
          <w:b/>
          <w:sz w:val="24"/>
        </w:rPr>
        <w:t>质量保证</w:t>
      </w:r>
      <w:bookmarkEnd w:id="420"/>
    </w:p>
    <w:p>
      <w:pPr>
        <w:spacing w:line="360" w:lineRule="auto"/>
        <w:ind w:firstLine="480" w:firstLineChars="200"/>
        <w:rPr>
          <w:rFonts w:ascii="宋体" w:hAnsi="宋体"/>
          <w:sz w:val="24"/>
        </w:rPr>
      </w:pPr>
      <w:r>
        <w:rPr>
          <w:rFonts w:ascii="宋体" w:hAnsi="宋体"/>
          <w:sz w:val="24"/>
        </w:rPr>
        <w:t xml:space="preserve">2.5.1 </w:t>
      </w:r>
      <w:r>
        <w:rPr>
          <w:rFonts w:hint="eastAsia" w:ascii="宋体" w:hAnsi="宋体"/>
          <w:sz w:val="24"/>
        </w:rPr>
        <w:t>乙方应建立和完善履行合同的内部质量保证体系，并提供相关内部规章制度给甲方，以便甲方进行监督检查；</w:t>
      </w:r>
    </w:p>
    <w:p>
      <w:pPr>
        <w:spacing w:line="360" w:lineRule="auto"/>
        <w:ind w:firstLine="480" w:firstLineChars="200"/>
        <w:rPr>
          <w:rFonts w:ascii="宋体" w:hAnsi="宋体"/>
          <w:sz w:val="24"/>
        </w:rPr>
      </w:pPr>
      <w:r>
        <w:rPr>
          <w:rFonts w:ascii="宋体" w:hAnsi="宋体"/>
          <w:sz w:val="24"/>
        </w:rPr>
        <w:t xml:space="preserve">2.5.2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b/>
          <w:sz w:val="24"/>
        </w:rPr>
      </w:pPr>
      <w:bookmarkStart w:id="421" w:name="_Toc22267"/>
      <w:r>
        <w:rPr>
          <w:rFonts w:ascii="宋体" w:hAnsi="宋体"/>
          <w:b/>
          <w:sz w:val="24"/>
        </w:rPr>
        <w:t xml:space="preserve">2.6 </w:t>
      </w:r>
      <w:r>
        <w:rPr>
          <w:rFonts w:hint="eastAsia" w:ascii="宋体" w:hAnsi="宋体"/>
          <w:b/>
          <w:sz w:val="24"/>
        </w:rPr>
        <w:t>延迟履行</w:t>
      </w:r>
      <w:bookmarkEnd w:id="421"/>
    </w:p>
    <w:p>
      <w:pPr>
        <w:spacing w:line="360" w:lineRule="auto"/>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22" w:name="_Toc10611"/>
      <w:r>
        <w:rPr>
          <w:rFonts w:ascii="宋体" w:hAnsi="宋体"/>
          <w:b/>
          <w:sz w:val="24"/>
        </w:rPr>
        <w:t xml:space="preserve">2.7 </w:t>
      </w:r>
      <w:r>
        <w:rPr>
          <w:rFonts w:hint="eastAsia" w:ascii="宋体" w:hAnsi="宋体"/>
          <w:b/>
          <w:sz w:val="24"/>
        </w:rPr>
        <w:t>合同变更</w:t>
      </w:r>
      <w:bookmarkEnd w:id="422"/>
    </w:p>
    <w:p>
      <w:pPr>
        <w:spacing w:line="360" w:lineRule="auto"/>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宋体" w:hAnsi="宋体"/>
          <w:b/>
          <w:sz w:val="24"/>
        </w:rPr>
      </w:pPr>
      <w:bookmarkStart w:id="423" w:name="_Toc21830"/>
      <w:bookmarkStart w:id="424" w:name="_Toc10663"/>
      <w:bookmarkStart w:id="425" w:name="_Toc26689"/>
      <w:bookmarkStart w:id="426" w:name="_Toc23368"/>
      <w:bookmarkStart w:id="427" w:name="_Toc42"/>
      <w:r>
        <w:rPr>
          <w:rFonts w:ascii="宋体" w:hAnsi="宋体"/>
          <w:b/>
          <w:sz w:val="24"/>
        </w:rPr>
        <w:t>2.8合同转让和分包</w:t>
      </w:r>
      <w:bookmarkEnd w:id="423"/>
      <w:bookmarkEnd w:id="424"/>
      <w:bookmarkEnd w:id="425"/>
      <w:bookmarkEnd w:id="426"/>
      <w:bookmarkEnd w:id="427"/>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28" w:name="_Toc14371"/>
      <w:bookmarkStart w:id="429" w:name="_Toc26633"/>
      <w:bookmarkStart w:id="430" w:name="_Toc25571"/>
      <w:bookmarkStart w:id="431" w:name="_Toc32494"/>
      <w:bookmarkStart w:id="432" w:name="_Toc4720"/>
      <w:r>
        <w:rPr>
          <w:rFonts w:ascii="宋体" w:hAnsi="宋体"/>
          <w:b/>
          <w:sz w:val="24"/>
        </w:rPr>
        <w:t>2.9 不可抗力</w:t>
      </w:r>
      <w:bookmarkEnd w:id="428"/>
      <w:bookmarkEnd w:id="429"/>
      <w:bookmarkEnd w:id="430"/>
      <w:bookmarkEnd w:id="431"/>
      <w:bookmarkEnd w:id="432"/>
    </w:p>
    <w:p>
      <w:pPr>
        <w:spacing w:line="360" w:lineRule="auto"/>
        <w:ind w:firstLine="480" w:firstLineChars="200"/>
        <w:rPr>
          <w:rFonts w:ascii="宋体" w:hAnsi="宋体"/>
          <w:sz w:val="24"/>
        </w:rPr>
      </w:pPr>
      <w:r>
        <w:rPr>
          <w:rFonts w:ascii="宋体" w:hAnsi="宋体"/>
          <w:sz w:val="24"/>
        </w:rPr>
        <w:t>2.9.1如果任何一方遭遇法律规定的不可抗力，致使合同履行受阻时，履行合同的期限应予延长，延长的期限应相当于不可抗力所影响的时间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 xml:space="preserve">2.9.2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ascii="宋体" w:hAnsi="宋体"/>
          <w:sz w:val="24"/>
        </w:rPr>
        <w:t xml:space="preserve">2.9.3 </w:t>
      </w:r>
      <w:r>
        <w:rPr>
          <w:rFonts w:hint="eastAsia" w:ascii="宋体" w:hAnsi="宋体"/>
          <w:sz w:val="24"/>
        </w:rPr>
        <w:t>因</w:t>
      </w:r>
      <w:r>
        <w:rPr>
          <w:rFonts w:ascii="宋体" w:hAnsi="宋体"/>
          <w:sz w:val="24"/>
        </w:rPr>
        <w:t>不可抗力致使合同有变更必要的，双方当事人应在约定时间内以书面形式变更合同</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2.9.4受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应在约定时间内以书面形式通知</w:t>
      </w:r>
      <w:r>
        <w:rPr>
          <w:rFonts w:hint="eastAsia" w:ascii="宋体" w:hAnsi="宋体"/>
          <w:sz w:val="24"/>
        </w:rPr>
        <w:t>对</w:t>
      </w:r>
      <w:r>
        <w:rPr>
          <w:rFonts w:ascii="宋体" w:hAnsi="宋体"/>
          <w:sz w:val="24"/>
        </w:rPr>
        <w:t>方当事人，并在约定时间内，将有关部门出具的证明文件送达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33" w:name="_Toc14115"/>
      <w:bookmarkStart w:id="434" w:name="_Toc24465"/>
      <w:bookmarkStart w:id="435" w:name="_Toc23854"/>
      <w:bookmarkStart w:id="436" w:name="_Toc3638"/>
      <w:bookmarkStart w:id="437" w:name="_Toc25783"/>
      <w:r>
        <w:rPr>
          <w:rFonts w:ascii="宋体" w:hAnsi="宋体"/>
          <w:b/>
          <w:sz w:val="24"/>
        </w:rPr>
        <w:t>2.10 税费</w:t>
      </w:r>
      <w:bookmarkEnd w:id="433"/>
      <w:bookmarkEnd w:id="434"/>
      <w:bookmarkEnd w:id="435"/>
      <w:bookmarkEnd w:id="436"/>
      <w:bookmarkEnd w:id="437"/>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38" w:name="_Toc30105"/>
      <w:bookmarkStart w:id="439" w:name="_Toc14814"/>
      <w:bookmarkStart w:id="440" w:name="_Toc26883"/>
      <w:bookmarkStart w:id="441" w:name="_Toc25525"/>
      <w:bookmarkStart w:id="442" w:name="_Toc7315"/>
      <w:r>
        <w:rPr>
          <w:rFonts w:ascii="宋体" w:hAnsi="宋体"/>
          <w:b/>
          <w:sz w:val="24"/>
        </w:rPr>
        <w:t>2.11 乙方破产</w:t>
      </w:r>
      <w:bookmarkEnd w:id="438"/>
      <w:bookmarkEnd w:id="439"/>
      <w:bookmarkEnd w:id="440"/>
      <w:bookmarkEnd w:id="441"/>
      <w:bookmarkEnd w:id="442"/>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43" w:name="_Toc23323"/>
      <w:bookmarkStart w:id="444" w:name="_Toc1123"/>
      <w:bookmarkStart w:id="445" w:name="_Toc2016"/>
      <w:r>
        <w:rPr>
          <w:rFonts w:ascii="宋体" w:hAnsi="宋体"/>
          <w:b/>
          <w:sz w:val="24"/>
        </w:rPr>
        <w:t>2.12 合同中止、终止</w:t>
      </w:r>
      <w:bookmarkEnd w:id="443"/>
      <w:bookmarkEnd w:id="444"/>
      <w:bookmarkEnd w:id="445"/>
    </w:p>
    <w:p>
      <w:pPr>
        <w:spacing w:line="360" w:lineRule="auto"/>
        <w:ind w:firstLine="480" w:firstLineChars="200"/>
        <w:rPr>
          <w:rFonts w:ascii="宋体" w:hAnsi="宋体"/>
          <w:sz w:val="24"/>
        </w:rPr>
      </w:pPr>
      <w:r>
        <w:rPr>
          <w:rFonts w:ascii="宋体" w:hAnsi="宋体"/>
          <w:sz w:val="24"/>
        </w:rPr>
        <w:t xml:space="preserve">2.12.1 </w:t>
      </w:r>
      <w:r>
        <w:rPr>
          <w:rFonts w:hint="eastAsia" w:ascii="宋体" w:hAnsi="宋体"/>
          <w:sz w:val="24"/>
        </w:rPr>
        <w:t>双方当事人不得擅自中止或者终止合同；</w:t>
      </w:r>
    </w:p>
    <w:p>
      <w:pPr>
        <w:spacing w:line="360" w:lineRule="auto"/>
        <w:ind w:firstLine="480" w:firstLineChars="200"/>
        <w:rPr>
          <w:rFonts w:ascii="宋体" w:hAnsi="宋体"/>
          <w:sz w:val="24"/>
        </w:rPr>
      </w:pPr>
      <w:r>
        <w:rPr>
          <w:rFonts w:ascii="宋体" w:hAnsi="宋体"/>
          <w:sz w:val="24"/>
        </w:rPr>
        <w:t>2.12.2合同继续履行将损害国家利益和社会公共利益的，双方当事人应当中止或者终止合同。有过错的一方应当承担赔偿责任，双方当事人都有过错的，各自承担相应的责任。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b/>
          <w:sz w:val="24"/>
        </w:rPr>
      </w:pPr>
      <w:bookmarkStart w:id="446" w:name="_Toc17363"/>
      <w:bookmarkStart w:id="447" w:name="_Toc14525"/>
      <w:bookmarkStart w:id="448" w:name="_Toc1969"/>
      <w:r>
        <w:rPr>
          <w:rFonts w:ascii="宋体" w:hAnsi="宋体"/>
          <w:b/>
          <w:sz w:val="24"/>
        </w:rPr>
        <w:t>2.13 检验和验收</w:t>
      </w:r>
      <w:bookmarkEnd w:id="446"/>
      <w:bookmarkEnd w:id="447"/>
      <w:bookmarkEnd w:id="448"/>
    </w:p>
    <w:p>
      <w:pPr>
        <w:tabs>
          <w:tab w:val="left" w:pos="360"/>
          <w:tab w:val="left" w:pos="540"/>
          <w:tab w:val="left" w:pos="1080"/>
        </w:tabs>
        <w:spacing w:line="360" w:lineRule="auto"/>
        <w:ind w:firstLine="480" w:firstLineChars="200"/>
        <w:rPr>
          <w:rFonts w:ascii="宋体" w:hAnsi="宋体"/>
          <w:sz w:val="24"/>
        </w:rPr>
      </w:pPr>
      <w:r>
        <w:rPr>
          <w:rFonts w:ascii="宋体" w:hAnsi="宋体"/>
          <w:sz w:val="24"/>
        </w:rPr>
        <w:t xml:space="preserve">2.13.1 </w:t>
      </w:r>
      <w:r>
        <w:rPr>
          <w:rFonts w:hint="eastAsia" w:ascii="宋体" w:hAnsi="宋体"/>
          <w:sz w:val="24"/>
        </w:rPr>
        <w:t>乙方按照</w:t>
      </w:r>
      <w:r>
        <w:rPr>
          <w:rFonts w:hint="eastAsia" w:ascii="宋体" w:hAnsi="宋体"/>
          <w:bCs/>
          <w:iCs/>
          <w:sz w:val="24"/>
        </w:rPr>
        <w:t>相关</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hint="eastAsia" w:ascii="宋体" w:hAnsi="宋体"/>
          <w:bCs/>
          <w:iCs/>
          <w:sz w:val="24"/>
        </w:rPr>
        <w:t>相关</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360" w:lineRule="auto"/>
        <w:ind w:firstLine="480" w:firstLineChars="200"/>
        <w:rPr>
          <w:rFonts w:ascii="宋体" w:hAnsi="宋体"/>
          <w:sz w:val="24"/>
        </w:rPr>
      </w:pPr>
      <w:r>
        <w:rPr>
          <w:rFonts w:ascii="宋体" w:hAnsi="宋体"/>
          <w:sz w:val="24"/>
        </w:rPr>
        <w:t xml:space="preserve">2.13.2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82" w:firstLineChars="200"/>
        <w:outlineLvl w:val="0"/>
        <w:rPr>
          <w:rFonts w:ascii="宋体" w:hAnsi="宋体"/>
          <w:b/>
          <w:sz w:val="24"/>
        </w:rPr>
      </w:pPr>
      <w:bookmarkStart w:id="449" w:name="_Toc9808"/>
      <w:bookmarkStart w:id="450" w:name="_Toc25198"/>
      <w:bookmarkStart w:id="451" w:name="_Toc31892"/>
      <w:bookmarkStart w:id="452" w:name="_Toc2308"/>
      <w:bookmarkStart w:id="453" w:name="_Toc12666"/>
      <w:r>
        <w:rPr>
          <w:rFonts w:ascii="宋体" w:hAnsi="宋体"/>
          <w:b/>
          <w:sz w:val="24"/>
        </w:rPr>
        <w:t>2.14 通知和送达</w:t>
      </w:r>
      <w:bookmarkEnd w:id="449"/>
      <w:bookmarkEnd w:id="450"/>
      <w:bookmarkEnd w:id="451"/>
      <w:bookmarkEnd w:id="452"/>
      <w:bookmarkEnd w:id="453"/>
    </w:p>
    <w:p>
      <w:pPr>
        <w:spacing w:line="360" w:lineRule="auto"/>
        <w:ind w:firstLine="480" w:firstLineChars="200"/>
        <w:rPr>
          <w:rFonts w:ascii="宋体" w:hAnsi="宋体"/>
          <w:sz w:val="24"/>
        </w:rPr>
      </w:pPr>
      <w:bookmarkStart w:id="454" w:name="_Toc27674"/>
      <w:bookmarkStart w:id="455" w:name="_Toc18401"/>
      <w:r>
        <w:rPr>
          <w:rFonts w:ascii="宋体" w:hAnsi="宋体"/>
          <w:sz w:val="24"/>
        </w:rPr>
        <w:t>2.14.1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ascii="宋体" w:hAnsi="宋体"/>
          <w:sz w:val="24"/>
        </w:rPr>
        <w:t>2.14.2以当面交付方式送达的，交付之时视为送达；以电子邮件方式送达的，发出电子邮件之时视为送达；以传真方式送达的，发出传真之时视为送达；以邮寄方式送达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54"/>
      <w:bookmarkEnd w:id="455"/>
    </w:p>
    <w:p>
      <w:pPr>
        <w:spacing w:line="360" w:lineRule="auto"/>
        <w:ind w:firstLine="482" w:firstLineChars="200"/>
        <w:outlineLvl w:val="0"/>
        <w:rPr>
          <w:rFonts w:ascii="宋体" w:hAnsi="宋体"/>
          <w:b/>
          <w:sz w:val="24"/>
        </w:rPr>
      </w:pPr>
      <w:bookmarkStart w:id="456" w:name="_Toc12254"/>
      <w:bookmarkStart w:id="457" w:name="_Toc28906"/>
      <w:bookmarkStart w:id="458" w:name="_Toc27644"/>
      <w:bookmarkStart w:id="459" w:name="_Toc5063"/>
      <w:bookmarkStart w:id="460" w:name="_Toc20808"/>
      <w:r>
        <w:rPr>
          <w:rFonts w:ascii="宋体" w:hAnsi="宋体"/>
          <w:b/>
          <w:sz w:val="24"/>
        </w:rPr>
        <w:t xml:space="preserve">2.15 </w:t>
      </w:r>
      <w:r>
        <w:rPr>
          <w:rFonts w:hint="eastAsia" w:ascii="宋体" w:hAnsi="宋体"/>
          <w:b/>
          <w:sz w:val="24"/>
        </w:rPr>
        <w:t>合同使用的文字和</w:t>
      </w:r>
      <w:r>
        <w:rPr>
          <w:rFonts w:ascii="宋体" w:hAnsi="宋体"/>
          <w:b/>
          <w:sz w:val="24"/>
        </w:rPr>
        <w:t>适用的法律</w:t>
      </w:r>
      <w:bookmarkEnd w:id="456"/>
      <w:bookmarkEnd w:id="457"/>
      <w:bookmarkEnd w:id="458"/>
      <w:bookmarkEnd w:id="459"/>
      <w:bookmarkEnd w:id="460"/>
    </w:p>
    <w:p>
      <w:pPr>
        <w:spacing w:line="360" w:lineRule="auto"/>
        <w:ind w:firstLine="480" w:firstLineChars="200"/>
        <w:rPr>
          <w:rFonts w:ascii="宋体" w:hAnsi="宋体"/>
          <w:sz w:val="24"/>
        </w:rPr>
      </w:pPr>
      <w:r>
        <w:rPr>
          <w:rFonts w:ascii="宋体" w:hAnsi="宋体"/>
          <w:sz w:val="24"/>
        </w:rPr>
        <w:t>2.15.1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 xml:space="preserve">2.15.2 </w:t>
      </w:r>
      <w:r>
        <w:rPr>
          <w:rFonts w:hint="eastAsia" w:ascii="宋体" w:hAnsi="宋体"/>
          <w:sz w:val="24"/>
        </w:rPr>
        <w:t>合同适用</w:t>
      </w:r>
      <w:r>
        <w:rPr>
          <w:rFonts w:ascii="宋体" w:hAnsi="宋体"/>
          <w:sz w:val="24"/>
        </w:rPr>
        <w:t>中华人民共和国法律。</w:t>
      </w:r>
    </w:p>
    <w:p>
      <w:pPr>
        <w:spacing w:line="360" w:lineRule="auto"/>
        <w:ind w:firstLine="482" w:firstLineChars="200"/>
        <w:outlineLvl w:val="0"/>
        <w:rPr>
          <w:rFonts w:ascii="宋体" w:hAnsi="宋体"/>
          <w:b/>
          <w:sz w:val="24"/>
        </w:rPr>
      </w:pPr>
      <w:bookmarkStart w:id="461" w:name="_Toc30096"/>
      <w:bookmarkStart w:id="462" w:name="_Toc27403"/>
      <w:bookmarkStart w:id="463" w:name="_Toc22266"/>
      <w:bookmarkStart w:id="464" w:name="_Toc1492"/>
      <w:bookmarkStart w:id="465" w:name="_Toc27127"/>
      <w:r>
        <w:rPr>
          <w:rFonts w:ascii="宋体" w:hAnsi="宋体"/>
          <w:b/>
          <w:sz w:val="24"/>
        </w:rPr>
        <w:t>2.16 履约保证金</w:t>
      </w:r>
      <w:bookmarkEnd w:id="461"/>
      <w:bookmarkEnd w:id="462"/>
      <w:bookmarkEnd w:id="463"/>
      <w:bookmarkEnd w:id="464"/>
      <w:bookmarkEnd w:id="465"/>
    </w:p>
    <w:p>
      <w:pPr>
        <w:spacing w:line="360" w:lineRule="auto"/>
        <w:ind w:firstLine="440" w:firstLineChars="200"/>
        <w:rPr>
          <w:rFonts w:ascii="宋体" w:hAnsi="宋体"/>
          <w:bCs/>
          <w:sz w:val="28"/>
          <w:szCs w:val="28"/>
        </w:rPr>
      </w:pPr>
      <w:r>
        <w:rPr>
          <w:rFonts w:hint="eastAsia" w:ascii="宋体" w:hAnsi="宋体" w:cs="宋体"/>
          <w:bCs/>
          <w:color w:val="000000"/>
          <w:kern w:val="0"/>
          <w:sz w:val="22"/>
          <w:szCs w:val="28"/>
          <w:lang w:val="zh-CN"/>
        </w:rPr>
        <w:t>本项目免收履约保证金。</w:t>
      </w:r>
    </w:p>
    <w:p>
      <w:pPr>
        <w:spacing w:line="360" w:lineRule="auto"/>
        <w:ind w:firstLine="482" w:firstLineChars="200"/>
        <w:rPr>
          <w:rFonts w:ascii="宋体" w:hAnsi="宋体"/>
          <w:sz w:val="24"/>
        </w:rPr>
      </w:pPr>
      <w:r>
        <w:rPr>
          <w:rFonts w:ascii="宋体" w:hAnsi="宋体"/>
          <w:b/>
          <w:bCs/>
          <w:sz w:val="24"/>
        </w:rPr>
        <w:t>2.17</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autoSpaceDE w:val="0"/>
        <w:autoSpaceDN w:val="0"/>
        <w:spacing w:line="360" w:lineRule="auto"/>
        <w:ind w:firstLine="482" w:firstLineChars="200"/>
        <w:jc w:val="left"/>
        <w:rPr>
          <w:rFonts w:ascii="宋体" w:hAnsi="宋体" w:cs="宋体"/>
          <w:b/>
          <w:color w:val="000000"/>
          <w:kern w:val="0"/>
          <w:sz w:val="24"/>
          <w:lang w:val="zh-CN"/>
        </w:rPr>
      </w:pPr>
      <w:r>
        <w:rPr>
          <w:rFonts w:ascii="宋体" w:hAnsi="宋体" w:cs="宋体"/>
          <w:b/>
          <w:color w:val="000000"/>
          <w:kern w:val="0"/>
          <w:sz w:val="24"/>
        </w:rPr>
        <w:t>2.18</w:t>
      </w:r>
      <w:r>
        <w:rPr>
          <w:rFonts w:hint="eastAsia" w:ascii="宋体" w:hAnsi="宋体" w:cs="宋体"/>
          <w:b/>
          <w:color w:val="000000"/>
          <w:kern w:val="0"/>
          <w:sz w:val="24"/>
          <w:lang w:val="zh-CN"/>
        </w:rPr>
        <w:t xml:space="preserve"> 争议处理</w:t>
      </w:r>
    </w:p>
    <w:p>
      <w:pPr>
        <w:autoSpaceDE w:val="0"/>
        <w:autoSpaceDN w:val="0"/>
        <w:spacing w:line="360" w:lineRule="auto"/>
        <w:ind w:firstLine="480" w:firstLineChars="200"/>
        <w:jc w:val="left"/>
        <w:rPr>
          <w:rFonts w:ascii="宋体" w:hAnsi="宋体" w:cs="宋体"/>
          <w:bCs/>
          <w:color w:val="000000"/>
          <w:kern w:val="0"/>
          <w:sz w:val="24"/>
          <w:lang w:val="zh-CN"/>
        </w:rPr>
      </w:pPr>
      <w:r>
        <w:rPr>
          <w:rFonts w:ascii="宋体" w:hAnsi="宋体" w:cs="宋体"/>
          <w:bCs/>
          <w:color w:val="000000"/>
          <w:kern w:val="0"/>
          <w:sz w:val="24"/>
        </w:rPr>
        <w:t>2.18</w:t>
      </w:r>
      <w:r>
        <w:rPr>
          <w:rFonts w:hint="eastAsia" w:ascii="宋体" w:hAnsi="宋体" w:cs="宋体"/>
          <w:bCs/>
          <w:color w:val="000000"/>
          <w:kern w:val="0"/>
          <w:sz w:val="24"/>
          <w:lang w:val="zh-CN"/>
        </w:rPr>
        <w:t>.1 合同在履行过程中发生争议时，甲方与乙方及时协商解决。协商不成时，</w:t>
      </w:r>
      <w:r>
        <w:rPr>
          <w:rFonts w:hint="eastAsia" w:ascii="宋体" w:hAnsi="宋体" w:cs="宋体"/>
          <w:bCs/>
          <w:color w:val="000000"/>
          <w:sz w:val="24"/>
        </w:rPr>
        <w:t>依法向人民法院起诉。</w:t>
      </w:r>
    </w:p>
    <w:p>
      <w:pPr>
        <w:spacing w:line="360" w:lineRule="auto"/>
        <w:ind w:firstLine="480" w:firstLineChars="200"/>
        <w:jc w:val="left"/>
        <w:rPr>
          <w:rFonts w:ascii="宋体" w:hAnsi="宋体" w:cs="宋体"/>
          <w:b/>
          <w:color w:val="000000"/>
          <w:kern w:val="0"/>
          <w:sz w:val="24"/>
          <w:lang w:val="zh-CN"/>
        </w:rPr>
      </w:pPr>
      <w:r>
        <w:rPr>
          <w:rFonts w:ascii="宋体" w:hAnsi="宋体" w:cs="宋体"/>
          <w:bCs/>
          <w:color w:val="000000"/>
          <w:kern w:val="0"/>
          <w:sz w:val="24"/>
        </w:rPr>
        <w:t>2.18</w:t>
      </w:r>
      <w:r>
        <w:rPr>
          <w:rFonts w:hint="eastAsia" w:ascii="宋体" w:hAnsi="宋体" w:cs="宋体"/>
          <w:color w:val="000000"/>
          <w:kern w:val="0"/>
          <w:sz w:val="24"/>
          <w:lang w:val="zh-CN"/>
        </w:rPr>
        <w:t>.2 对于因违反或终止合同而引起的损失、损害的赔偿，由甲方与乙方友好商解决，经协商仍未能达成一致的，</w:t>
      </w:r>
      <w:r>
        <w:rPr>
          <w:rFonts w:hint="eastAsia" w:ascii="宋体" w:hAnsi="宋体" w:cs="宋体"/>
          <w:color w:val="000000"/>
          <w:sz w:val="24"/>
        </w:rPr>
        <w:t>依法向人民法院起诉。</w:t>
      </w:r>
    </w:p>
    <w:p>
      <w:pPr>
        <w:autoSpaceDE w:val="0"/>
        <w:autoSpaceDN w:val="0"/>
        <w:spacing w:line="360" w:lineRule="auto"/>
        <w:ind w:firstLine="482" w:firstLineChars="200"/>
        <w:jc w:val="left"/>
        <w:rPr>
          <w:rFonts w:ascii="宋体" w:hAnsi="宋体" w:cs="宋体"/>
          <w:b/>
          <w:color w:val="000000"/>
          <w:kern w:val="0"/>
          <w:sz w:val="24"/>
          <w:lang w:val="zh-CN"/>
        </w:rPr>
      </w:pPr>
      <w:r>
        <w:rPr>
          <w:rFonts w:ascii="宋体" w:hAnsi="宋体" w:cs="宋体"/>
          <w:b/>
          <w:color w:val="000000"/>
          <w:kern w:val="0"/>
          <w:sz w:val="24"/>
        </w:rPr>
        <w:t>2.19</w:t>
      </w:r>
      <w:r>
        <w:rPr>
          <w:rFonts w:hint="eastAsia" w:ascii="宋体" w:hAnsi="宋体" w:cs="宋体"/>
          <w:b/>
          <w:color w:val="000000"/>
          <w:kern w:val="0"/>
          <w:sz w:val="24"/>
          <w:lang w:val="zh-CN"/>
        </w:rPr>
        <w:t>. 其他</w:t>
      </w:r>
    </w:p>
    <w:p>
      <w:pPr>
        <w:autoSpaceDE w:val="0"/>
        <w:autoSpaceDN w:val="0"/>
        <w:spacing w:line="360" w:lineRule="auto"/>
        <w:jc w:val="left"/>
        <w:rPr>
          <w:rFonts w:ascii="宋体" w:hAnsi="宋体" w:cs="宋体"/>
          <w:color w:val="000000"/>
          <w:kern w:val="0"/>
          <w:sz w:val="24"/>
          <w:lang w:val="zh-CN"/>
        </w:rPr>
      </w:pPr>
      <w:r>
        <w:rPr>
          <w:rFonts w:hint="eastAsia" w:ascii="宋体" w:hAnsi="宋体" w:cs="宋体"/>
          <w:b/>
          <w:color w:val="000000"/>
          <w:kern w:val="0"/>
          <w:sz w:val="24"/>
          <w:lang w:val="zh-CN"/>
        </w:rPr>
        <w:t xml:space="preserve">    </w:t>
      </w:r>
      <w:r>
        <w:rPr>
          <w:rFonts w:ascii="宋体" w:hAnsi="宋体" w:cs="宋体"/>
          <w:color w:val="000000"/>
          <w:kern w:val="0"/>
          <w:sz w:val="24"/>
        </w:rPr>
        <w:t>2.19</w:t>
      </w:r>
      <w:r>
        <w:rPr>
          <w:rFonts w:hint="eastAsia" w:ascii="宋体" w:hAnsi="宋体" w:cs="宋体"/>
          <w:color w:val="000000"/>
          <w:kern w:val="0"/>
          <w:sz w:val="24"/>
          <w:lang w:val="zh-CN"/>
        </w:rPr>
        <w:t>.1 本合同（□是  □否）为可融资合同（若为可融资合同，则甲方必须将采购资金支付到合同中指定的融资银行及收款账号，开户银行：     账号：        ）。</w:t>
      </w:r>
      <w:r>
        <w:rPr>
          <w:rFonts w:hint="eastAsia" w:ascii="宋体" w:hAnsi="宋体" w:eastAsia="宋体" w:cs="宋体"/>
          <w:kern w:val="0"/>
          <w:sz w:val="24"/>
          <w:highlight w:val="none"/>
          <w:lang w:val="zh-CN"/>
        </w:rPr>
        <w:t>关于中小企业信用融资事项可在“政采云”平台申请政采贷。</w:t>
      </w:r>
    </w:p>
    <w:p>
      <w:pPr>
        <w:autoSpaceDE w:val="0"/>
        <w:autoSpaceDN w:val="0"/>
        <w:spacing w:line="360" w:lineRule="auto"/>
        <w:ind w:firstLine="480" w:firstLineChars="200"/>
        <w:jc w:val="left"/>
        <w:rPr>
          <w:rFonts w:ascii="宋体" w:hAnsi="宋体" w:cs="宋体"/>
          <w:color w:val="000000"/>
          <w:kern w:val="0"/>
          <w:sz w:val="24"/>
          <w:lang w:val="zh-CN"/>
        </w:rPr>
      </w:pPr>
      <w:r>
        <w:rPr>
          <w:rFonts w:ascii="宋体" w:hAnsi="宋体" w:cs="宋体"/>
          <w:color w:val="000000"/>
          <w:kern w:val="0"/>
          <w:sz w:val="24"/>
        </w:rPr>
        <w:t>2.19</w:t>
      </w:r>
      <w:r>
        <w:rPr>
          <w:rFonts w:hint="eastAsia" w:ascii="宋体" w:hAnsi="宋体" w:cs="宋体"/>
          <w:color w:val="000000"/>
          <w:kern w:val="0"/>
          <w:sz w:val="24"/>
          <w:lang w:val="zh-CN"/>
        </w:rPr>
        <w:t>.2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s="宋体"/>
          <w:color w:val="000000"/>
          <w:kern w:val="0"/>
          <w:sz w:val="24"/>
          <w:lang w:val="zh-CN"/>
        </w:rPr>
      </w:pPr>
      <w:r>
        <w:rPr>
          <w:rFonts w:ascii="宋体" w:hAnsi="宋体" w:cs="宋体"/>
          <w:color w:val="000000"/>
          <w:kern w:val="0"/>
          <w:sz w:val="24"/>
        </w:rPr>
        <w:t>2.19</w:t>
      </w:r>
      <w:r>
        <w:rPr>
          <w:rFonts w:hint="eastAsia" w:ascii="宋体" w:hAnsi="宋体" w:cs="宋体"/>
          <w:color w:val="000000"/>
          <w:kern w:val="0"/>
          <w:sz w:val="24"/>
          <w:lang w:val="zh-CN"/>
        </w:rPr>
        <w:t>.3 乙方不得参与可能与合同规定的与甲方的利益相冲突的任何活动。</w:t>
      </w:r>
    </w:p>
    <w:p>
      <w:pPr>
        <w:autoSpaceDE w:val="0"/>
        <w:autoSpaceDN w:val="0"/>
        <w:spacing w:line="360" w:lineRule="auto"/>
        <w:ind w:firstLine="480" w:firstLineChars="200"/>
        <w:jc w:val="left"/>
        <w:rPr>
          <w:rFonts w:ascii="宋体" w:hAnsi="宋体" w:cs="宋体"/>
          <w:color w:val="000000"/>
          <w:kern w:val="0"/>
          <w:sz w:val="24"/>
          <w:lang w:val="zh-CN"/>
        </w:rPr>
      </w:pPr>
      <w:r>
        <w:rPr>
          <w:rFonts w:ascii="宋体" w:hAnsi="宋体" w:cs="宋体"/>
          <w:color w:val="000000"/>
          <w:kern w:val="0"/>
          <w:sz w:val="24"/>
        </w:rPr>
        <w:t>2.19</w:t>
      </w:r>
      <w:r>
        <w:rPr>
          <w:rFonts w:hint="eastAsia" w:ascii="宋体" w:hAnsi="宋体" w:cs="宋体"/>
          <w:color w:val="000000"/>
          <w:kern w:val="0"/>
          <w:sz w:val="24"/>
          <w:lang w:val="zh-CN"/>
        </w:rPr>
        <w:t>.4 乙方人员在甲方场地工作时，应遵守甲方相关规章、制度。</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2.19</w:t>
      </w:r>
      <w:r>
        <w:rPr>
          <w:rFonts w:hint="eastAsia" w:ascii="宋体" w:hAnsi="宋体" w:cs="宋体"/>
          <w:color w:val="000000"/>
          <w:kern w:val="0"/>
          <w:sz w:val="24"/>
          <w:lang w:val="zh-CN"/>
        </w:rPr>
        <w:t xml:space="preserve">.5 </w:t>
      </w:r>
      <w:r>
        <w:rPr>
          <w:rFonts w:hint="eastAsia" w:ascii="宋体" w:hAnsi="宋体" w:cs="宋体"/>
          <w:color w:val="000000"/>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2.19</w:t>
      </w:r>
      <w:r>
        <w:rPr>
          <w:rFonts w:hint="eastAsia" w:ascii="宋体" w:hAnsi="宋体" w:cs="宋体"/>
          <w:color w:val="000000"/>
          <w:kern w:val="0"/>
          <w:sz w:val="24"/>
          <w:lang w:val="zh-CN"/>
        </w:rPr>
        <w:t xml:space="preserve">.6 </w:t>
      </w:r>
      <w:r>
        <w:rPr>
          <w:rFonts w:hint="eastAsia" w:ascii="宋体" w:hAnsi="宋体" w:cs="宋体"/>
          <w:color w:val="000000"/>
          <w:sz w:val="24"/>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2.20</w:t>
      </w:r>
      <w:r>
        <w:rPr>
          <w:rFonts w:hint="eastAsia" w:ascii="宋体" w:hAnsi="宋体" w:cs="宋体"/>
          <w:color w:val="000000"/>
          <w:kern w:val="0"/>
          <w:sz w:val="24"/>
          <w:lang w:val="zh-CN"/>
        </w:rPr>
        <w:t xml:space="preserve">.7 </w:t>
      </w:r>
      <w:r>
        <w:rPr>
          <w:rFonts w:hint="eastAsia" w:ascii="宋体" w:hAnsi="宋体" w:cs="宋体"/>
          <w:color w:val="000000"/>
          <w:sz w:val="24"/>
        </w:rPr>
        <w:t>招标文件[编号：XHZFCG-2023-G-21]、投标文件及评标过程中形成的文字资料、询标纪要均作为本合同的组成部分，具有同等效力。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2.19</w:t>
      </w:r>
      <w:r>
        <w:rPr>
          <w:rFonts w:hint="eastAsia" w:ascii="宋体" w:hAnsi="宋体" w:cs="宋体"/>
          <w:color w:val="000000"/>
          <w:kern w:val="0"/>
          <w:sz w:val="24"/>
          <w:lang w:val="zh-CN"/>
        </w:rPr>
        <w:t xml:space="preserve">.8 </w:t>
      </w:r>
      <w:r>
        <w:rPr>
          <w:rFonts w:hint="eastAsia" w:ascii="宋体" w:hAnsi="宋体" w:cs="宋体"/>
          <w:color w:val="000000"/>
          <w:sz w:val="24"/>
        </w:rPr>
        <w:t>本合同经甲乙双方法定代表人或其委托人签字盖章，并且乙方向甲方缴纳合同约定金额的履约保证金或建议免收履约保证金，合同在政采云平台备案后生效。</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2.19</w:t>
      </w:r>
      <w:r>
        <w:rPr>
          <w:rFonts w:hint="eastAsia" w:ascii="宋体" w:hAnsi="宋体" w:cs="宋体"/>
          <w:color w:val="000000"/>
          <w:kern w:val="0"/>
          <w:sz w:val="24"/>
          <w:lang w:val="zh-CN"/>
        </w:rPr>
        <w:t xml:space="preserve">.9 </w:t>
      </w:r>
      <w:r>
        <w:rPr>
          <w:rFonts w:hint="eastAsia" w:ascii="宋体" w:hAnsi="宋体" w:cs="宋体"/>
          <w:color w:val="000000"/>
          <w:sz w:val="24"/>
        </w:rPr>
        <w:t>本合同一式伍份，甲方、乙方各执贰份，采购机构执壹份。</w:t>
      </w:r>
    </w:p>
    <w:p>
      <w:pPr>
        <w:autoSpaceDE w:val="0"/>
        <w:autoSpaceDN w:val="0"/>
        <w:spacing w:line="360" w:lineRule="auto"/>
        <w:ind w:firstLine="480" w:firstLineChars="200"/>
        <w:jc w:val="left"/>
        <w:rPr>
          <w:rFonts w:ascii="宋体" w:hAnsi="宋体" w:cs="宋体"/>
          <w:color w:val="000000"/>
          <w:sz w:val="24"/>
        </w:rPr>
      </w:pPr>
      <w:r>
        <w:rPr>
          <w:rFonts w:ascii="宋体" w:hAnsi="宋体" w:cs="宋体"/>
          <w:color w:val="000000"/>
          <w:kern w:val="0"/>
          <w:sz w:val="24"/>
        </w:rPr>
        <w:t>2.19</w:t>
      </w:r>
      <w:r>
        <w:rPr>
          <w:rFonts w:hint="eastAsia" w:ascii="宋体" w:hAnsi="宋体" w:cs="宋体"/>
          <w:color w:val="000000"/>
          <w:sz w:val="24"/>
        </w:rPr>
        <w:t>.10 适用法律：本合同应按照中华人民共和国的法律进行解释。</w:t>
      </w:r>
    </w:p>
    <w:p>
      <w:pPr>
        <w:autoSpaceDE w:val="0"/>
        <w:autoSpaceDN w:val="0"/>
        <w:spacing w:line="360" w:lineRule="auto"/>
        <w:ind w:firstLine="360" w:firstLineChars="150"/>
        <w:jc w:val="left"/>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kern w:val="0"/>
          <w:sz w:val="24"/>
        </w:rPr>
        <w:t>2.19</w:t>
      </w:r>
      <w:r>
        <w:rPr>
          <w:rFonts w:hint="eastAsia" w:ascii="宋体" w:hAnsi="宋体" w:cs="宋体"/>
          <w:color w:val="000000"/>
          <w:sz w:val="24"/>
        </w:rPr>
        <w:t xml:space="preserve">.11 以上是合同的主要条款，合同条款包括但不止于以上条款（如安全生产责任状以及廉政合同等）。  </w:t>
      </w:r>
    </w:p>
    <w:p>
      <w:pPr>
        <w:spacing w:line="460" w:lineRule="exac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t xml:space="preserve">甲方（盖章）：                             乙方（盖章）：        </w:t>
      </w:r>
    </w:p>
    <w:p>
      <w:pPr>
        <w:spacing w:line="460" w:lineRule="exact"/>
        <w:rPr>
          <w:rFonts w:ascii="宋体" w:hAnsi="宋体" w:cs="宋体"/>
          <w:color w:val="000000"/>
          <w:sz w:val="24"/>
        </w:rPr>
      </w:pPr>
      <w:r>
        <w:rPr>
          <w:rFonts w:hint="eastAsia" w:ascii="宋体" w:hAnsi="宋体" w:cs="宋体"/>
          <w:color w:val="000000"/>
          <w:sz w:val="24"/>
        </w:rPr>
        <w:t xml:space="preserve">法定代表人：                              法定代表人：                   </w:t>
      </w:r>
    </w:p>
    <w:p>
      <w:pPr>
        <w:spacing w:line="460" w:lineRule="exact"/>
        <w:rPr>
          <w:rFonts w:ascii="宋体" w:hAnsi="宋体" w:cs="宋体"/>
          <w:color w:val="000000"/>
          <w:sz w:val="24"/>
        </w:rPr>
      </w:pPr>
      <w:r>
        <w:rPr>
          <w:rFonts w:hint="eastAsia" w:ascii="宋体" w:hAnsi="宋体" w:cs="宋体"/>
          <w:color w:val="000000"/>
          <w:sz w:val="24"/>
        </w:rPr>
        <w:t xml:space="preserve">或受委托人（签字）：                       或受委托人（签字）：                  </w:t>
      </w:r>
    </w:p>
    <w:p>
      <w:pPr>
        <w:spacing w:line="460" w:lineRule="exact"/>
        <w:rPr>
          <w:rFonts w:ascii="宋体" w:hAnsi="宋体" w:cs="宋体"/>
          <w:color w:val="000000"/>
          <w:sz w:val="24"/>
        </w:rPr>
      </w:pPr>
      <w:r>
        <w:rPr>
          <w:rFonts w:hint="eastAsia" w:ascii="宋体" w:hAnsi="宋体" w:cs="宋体"/>
          <w:color w:val="000000"/>
          <w:sz w:val="24"/>
        </w:rPr>
        <w:t>联系人：                                  联系人：</w:t>
      </w:r>
    </w:p>
    <w:p>
      <w:pPr>
        <w:spacing w:line="460" w:lineRule="exact"/>
        <w:rPr>
          <w:rFonts w:ascii="宋体" w:hAnsi="宋体" w:cs="宋体"/>
          <w:color w:val="000000"/>
          <w:sz w:val="24"/>
        </w:rPr>
      </w:pPr>
      <w:r>
        <w:rPr>
          <w:rFonts w:hint="eastAsia" w:ascii="宋体" w:hAnsi="宋体" w:cs="宋体"/>
          <w:color w:val="000000"/>
          <w:sz w:val="24"/>
        </w:rPr>
        <w:t xml:space="preserve">地址：                                    地址： </w:t>
      </w:r>
    </w:p>
    <w:p>
      <w:pPr>
        <w:spacing w:line="460" w:lineRule="exact"/>
        <w:rPr>
          <w:rFonts w:ascii="宋体" w:hAnsi="宋体" w:cs="宋体"/>
          <w:color w:val="000000"/>
          <w:sz w:val="24"/>
        </w:rPr>
      </w:pPr>
      <w:r>
        <w:rPr>
          <w:rFonts w:hint="eastAsia" w:ascii="宋体" w:hAnsi="宋体" w:cs="宋体"/>
          <w:color w:val="000000"/>
          <w:sz w:val="24"/>
        </w:rPr>
        <w:t>电话：                                    电话：</w:t>
      </w:r>
    </w:p>
    <w:p>
      <w:pPr>
        <w:spacing w:line="460" w:lineRule="exact"/>
        <w:rPr>
          <w:rFonts w:ascii="宋体" w:hAnsi="宋体" w:cs="宋体"/>
          <w:color w:val="000000" w:themeColor="text1"/>
          <w:sz w:val="24"/>
          <w14:textFill>
            <w14:solidFill>
              <w14:schemeClr w14:val="tx1"/>
            </w14:solidFill>
          </w14:textFill>
        </w:rPr>
      </w:pPr>
    </w:p>
    <w:p>
      <w:pPr>
        <w:spacing w:line="460" w:lineRule="exact"/>
        <w:rPr>
          <w:rFonts w:ascii="宋体" w:hAnsi="宋体" w:cs="宋体"/>
          <w:color w:val="000000" w:themeColor="text1"/>
          <w:sz w:val="24"/>
          <w14:textFill>
            <w14:solidFill>
              <w14:schemeClr w14:val="tx1"/>
            </w14:solidFill>
          </w14:textFill>
        </w:rPr>
      </w:pPr>
    </w:p>
    <w:p>
      <w:pPr>
        <w:spacing w:line="460" w:lineRule="exact"/>
        <w:ind w:firstLine="5280" w:firstLine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 约 地：</w:t>
      </w:r>
    </w:p>
    <w:p>
      <w:pPr>
        <w:snapToGrid w:val="0"/>
        <w:spacing w:line="360" w:lineRule="auto"/>
        <w:rPr>
          <w:rFonts w:ascii="宋体" w:hAnsi="宋体" w:cs="宋体"/>
          <w:b/>
          <w:color w:val="000000" w:themeColor="text1"/>
          <w:sz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签约日期：   年   月    日</w:t>
      </w:r>
    </w:p>
    <w:p>
      <w:pPr>
        <w:spacing w:line="360" w:lineRule="auto"/>
        <w:ind w:right="-420" w:rightChars="-200"/>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pStyle w:val="2"/>
        <w:rPr>
          <w:rFonts w:ascii="宋体" w:hAnsi="宋体" w:eastAsia="宋体" w:cs="宋体"/>
          <w:sz w:val="36"/>
          <w:szCs w:val="20"/>
        </w:rPr>
      </w:pPr>
    </w:p>
    <w:p>
      <w:pPr>
        <w:rPr>
          <w:rFonts w:ascii="宋体" w:hAnsi="宋体" w:cs="宋体"/>
          <w:b/>
          <w:sz w:val="36"/>
          <w:szCs w:val="20"/>
        </w:rPr>
      </w:pPr>
    </w:p>
    <w:p>
      <w:pPr>
        <w:pStyle w:val="2"/>
        <w:rPr>
          <w:rFonts w:ascii="宋体" w:hAnsi="宋体" w:eastAsia="宋体" w:cs="宋体"/>
          <w:sz w:val="36"/>
          <w:szCs w:val="20"/>
        </w:rPr>
      </w:pPr>
    </w:p>
    <w:p>
      <w:pPr>
        <w:rPr>
          <w:rFonts w:ascii="宋体" w:hAnsi="宋体" w:cs="宋体"/>
          <w:b/>
          <w:sz w:val="36"/>
          <w:szCs w:val="20"/>
        </w:rPr>
      </w:pPr>
    </w:p>
    <w:p>
      <w:pPr>
        <w:pStyle w:val="2"/>
        <w:rPr>
          <w:rFonts w:ascii="宋体" w:hAnsi="宋体" w:eastAsia="宋体" w:cs="宋体"/>
          <w:sz w:val="36"/>
          <w:szCs w:val="20"/>
        </w:rPr>
      </w:pPr>
    </w:p>
    <w:p>
      <w:pPr>
        <w:rPr>
          <w:rFonts w:ascii="宋体" w:hAnsi="宋体" w:cs="宋体"/>
          <w:b/>
          <w:sz w:val="36"/>
          <w:szCs w:val="20"/>
        </w:rPr>
      </w:pPr>
    </w:p>
    <w:p>
      <w:pPr>
        <w:pStyle w:val="2"/>
        <w:rPr>
          <w:rFonts w:ascii="宋体" w:hAnsi="宋体" w:eastAsia="宋体" w:cs="宋体"/>
          <w:sz w:val="36"/>
          <w:szCs w:val="20"/>
        </w:rPr>
      </w:pPr>
    </w:p>
    <w:p>
      <w:pPr>
        <w:rPr>
          <w:rFonts w:ascii="宋体" w:hAnsi="宋体" w:cs="宋体"/>
          <w:b/>
          <w:sz w:val="36"/>
          <w:szCs w:val="20"/>
        </w:rPr>
      </w:pPr>
    </w:p>
    <w:p>
      <w:pPr>
        <w:pStyle w:val="2"/>
        <w:rPr>
          <w:rFonts w:ascii="宋体" w:hAnsi="宋体" w:eastAsia="宋体" w:cs="宋体"/>
          <w:sz w:val="36"/>
          <w:szCs w:val="20"/>
        </w:rPr>
      </w:pPr>
    </w:p>
    <w:p>
      <w:pPr>
        <w:rPr>
          <w:rFonts w:ascii="宋体" w:hAnsi="宋体" w:cs="宋体"/>
          <w:b/>
          <w:sz w:val="36"/>
          <w:szCs w:val="20"/>
        </w:rPr>
      </w:pPr>
    </w:p>
    <w:p>
      <w:pPr>
        <w:spacing w:line="360" w:lineRule="auto"/>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r>
        <w:rPr>
          <w:rFonts w:hint="eastAsia" w:ascii="宋体" w:hAnsi="宋体" w:cs="宋体"/>
          <w:b/>
          <w:sz w:val="36"/>
          <w:szCs w:val="20"/>
        </w:rPr>
        <w:t>第六部分</w:t>
      </w:r>
      <w:bookmarkEnd w:id="398"/>
      <w:r>
        <w:rPr>
          <w:rFonts w:hint="eastAsia" w:ascii="宋体" w:hAnsi="宋体" w:cs="宋体"/>
          <w:b/>
          <w:sz w:val="36"/>
          <w:szCs w:val="20"/>
        </w:rPr>
        <w:t xml:space="preserve"> </w:t>
      </w:r>
      <w:bookmarkEnd w:id="399"/>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ascii="宋体" w:hAnsi="宋体" w:cs="宋体"/>
          <w:sz w:val="24"/>
        </w:rPr>
      </w:pPr>
      <w:r>
        <w:rPr>
          <w:rFonts w:hint="eastAsia" w:ascii="宋体" w:hAnsi="宋体" w:cs="宋体"/>
          <w:sz w:val="24"/>
        </w:rPr>
        <w:t>（4）本项目的特定资格要求………………………………………………（页码）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中共杭州市西湖区委杭州市西湖区人民政府信访局、杭州市西湖区政府采购中心：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left"/>
        <w:rPr>
          <w:rFonts w:ascii="宋体" w:hAnsi="宋体" w:cs="宋体"/>
          <w:b/>
          <w:kern w:val="0"/>
          <w:sz w:val="32"/>
          <w:szCs w:val="32"/>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center"/>
        <w:rPr>
          <w:rFonts w:ascii="宋体" w:hAnsi="宋体" w:cs="宋体"/>
          <w:b/>
          <w:kern w:val="0"/>
          <w:sz w:val="32"/>
          <w:szCs w:val="32"/>
        </w:rPr>
      </w:pPr>
    </w:p>
    <w:p>
      <w:pPr>
        <w:snapToGrid w:val="0"/>
        <w:spacing w:line="360" w:lineRule="auto"/>
        <w:ind w:right="480"/>
        <w:jc w:val="both"/>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lang w:val="en-US"/>
        </w:rPr>
      </w:pPr>
      <w:r>
        <w:rPr>
          <w:rFonts w:hint="eastAsia" w:ascii="宋体" w:hAnsi="宋体" w:cs="宋体"/>
          <w:b/>
          <w:sz w:val="24"/>
        </w:rPr>
        <w:t>[以联合体形式投标的，提供联合协议（附件5）；本项目不接受联合体投标或者投标人不以联合体形式投标的，则不需要提供）]</w:t>
      </w:r>
    </w:p>
    <w:p>
      <w:pPr>
        <w:pStyle w:val="24"/>
        <w:rPr>
          <w:lang w:val="en-US"/>
        </w:rPr>
      </w:pPr>
    </w:p>
    <w:p/>
    <w:p>
      <w:pPr>
        <w:pStyle w:val="23"/>
        <w:rPr>
          <w:lang w:val="en-US"/>
        </w:rPr>
      </w:pPr>
    </w:p>
    <w:p>
      <w:pPr>
        <w:numPr>
          <w:ilvl w:val="0"/>
          <w:numId w:val="9"/>
        </w:num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落实政府采购政策需满足的资格要求</w:t>
      </w:r>
    </w:p>
    <w:p>
      <w:pPr>
        <w:spacing w:line="360" w:lineRule="auto"/>
      </w:pPr>
      <w:r>
        <w:rPr>
          <w:rFonts w:hint="eastAsia" w:ascii="宋体" w:hAnsi="宋体" w:cs="宋体"/>
          <w:sz w:val="24"/>
        </w:rPr>
        <w:t>（根据招标公告落实政府采购政策需满足的资格要求选择提供相应的材料；未要求的，无需提供）</w:t>
      </w:r>
    </w:p>
    <w:p>
      <w:pPr>
        <w:pStyle w:val="2"/>
        <w:rPr>
          <w:b w:val="0"/>
          <w:bCs w:val="0"/>
        </w:rPr>
      </w:pPr>
    </w:p>
    <w:p>
      <w:pPr>
        <w:pStyle w:val="61"/>
        <w:ind w:left="0" w:leftChars="0" w:firstLine="0" w:firstLineChars="0"/>
        <w:rPr>
          <w:rFonts w:cs="宋体"/>
        </w:rPr>
      </w:pPr>
    </w:p>
    <w:p>
      <w:pPr>
        <w:pStyle w:val="61"/>
        <w:ind w:left="0" w:leftChars="0" w:firstLine="0" w:firstLineChars="0"/>
        <w:rPr>
          <w:rFonts w:cs="宋体"/>
        </w:rPr>
      </w:pPr>
    </w:p>
    <w:p/>
    <w:p>
      <w:pPr>
        <w:pStyle w:val="61"/>
        <w:ind w:left="0" w:leftChars="0" w:firstLine="0" w:firstLineChars="0"/>
        <w:rPr>
          <w:rFonts w:cs="宋体"/>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3"/>
        <w:rPr>
          <w:lang w:val="en-US"/>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b/>
          <w:bCs/>
          <w:sz w:val="24"/>
        </w:rPr>
      </w:pPr>
      <w:r>
        <w:rPr>
          <w:rFonts w:hint="eastAsia" w:ascii="宋体" w:hAnsi="宋体" w:cs="宋体"/>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pStyle w:val="61"/>
        <w:ind w:firstLine="420"/>
        <w:rPr>
          <w:rFonts w:cs="宋体"/>
        </w:rPr>
      </w:pPr>
    </w:p>
    <w:p>
      <w:pPr>
        <w:rPr>
          <w:rFonts w:ascii="宋体" w:hAnsi="宋体" w:cs="宋体"/>
        </w:rPr>
      </w:pPr>
    </w:p>
    <w:p>
      <w:pPr>
        <w:pStyle w:val="61"/>
        <w:ind w:firstLine="420"/>
        <w:rPr>
          <w:rFonts w:cs="宋体"/>
        </w:rPr>
      </w:pPr>
    </w:p>
    <w:p>
      <w:pPr>
        <w:rPr>
          <w:rFonts w:ascii="宋体" w:hAnsi="宋体" w:cs="宋体"/>
        </w:rPr>
      </w:pPr>
    </w:p>
    <w:p>
      <w:pPr>
        <w:pStyle w:val="61"/>
        <w:ind w:firstLine="420"/>
        <w:rPr>
          <w:rFonts w:cs="宋体"/>
        </w:rPr>
      </w:pPr>
    </w:p>
    <w:p>
      <w:pPr>
        <w:rPr>
          <w:rFonts w:ascii="宋体" w:hAnsi="宋体" w:cs="宋体"/>
        </w:rPr>
      </w:pPr>
    </w:p>
    <w:p>
      <w:pPr>
        <w:pStyle w:val="61"/>
        <w:ind w:firstLine="420"/>
        <w:rPr>
          <w:rFonts w:cs="宋体"/>
        </w:rPr>
      </w:pPr>
    </w:p>
    <w:p>
      <w:pPr>
        <w:rPr>
          <w:rFonts w:ascii="宋体" w:hAnsi="宋体" w:cs="宋体"/>
        </w:rPr>
      </w:pPr>
    </w:p>
    <w:p>
      <w:pPr>
        <w:pStyle w:val="61"/>
        <w:ind w:firstLine="420"/>
        <w:rPr>
          <w:rFonts w:cs="宋体"/>
        </w:rPr>
      </w:pPr>
    </w:p>
    <w:p>
      <w:pPr>
        <w:rPr>
          <w:rFonts w:ascii="宋体" w:hAnsi="宋体" w:cs="宋体"/>
        </w:rPr>
      </w:pPr>
    </w:p>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中共杭州市西湖区委杭州市西湖区人民政府信访局、杭州市西湖区政府采购中心：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66" w:name="_Hlk101257010"/>
      <w:r>
        <w:rPr>
          <w:rFonts w:hint="eastAsia" w:ascii="宋体" w:hAnsi="宋体" w:cs="宋体"/>
          <w:snapToGrid w:val="0"/>
          <w:kern w:val="28"/>
          <w:sz w:val="24"/>
          <w:szCs w:val="20"/>
        </w:rPr>
        <w:t>（如果有)</w:t>
      </w:r>
      <w:bookmarkEnd w:id="466"/>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2.1.4本项目的特定资格要求（如果有）。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2.2.5评标标准相应的商务技术资料；</w:t>
      </w:r>
    </w:p>
    <w:p>
      <w:pPr>
        <w:snapToGrid w:val="0"/>
        <w:spacing w:line="360" w:lineRule="auto"/>
        <w:ind w:firstLine="960" w:firstLineChars="400"/>
        <w:jc w:val="left"/>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pStyle w:val="2"/>
        <w:rPr>
          <w:lang w:val="en-US"/>
        </w:rPr>
      </w:pPr>
      <w:r>
        <w:rPr>
          <w:rFonts w:ascii="宋体" w:hAnsi="宋体" w:eastAsia="宋体" w:cs="宋体"/>
          <w:sz w:val="24"/>
          <w:lang w:val="en-US"/>
        </w:rPr>
        <w:t xml:space="preserve">       </w:t>
      </w:r>
      <w:r>
        <w:rPr>
          <w:rFonts w:ascii="宋体" w:hAnsi="宋体" w:eastAsia="宋体" w:cs="宋体"/>
          <w:b w:val="0"/>
          <w:bCs w:val="0"/>
          <w:sz w:val="24"/>
          <w:lang w:val="en-US"/>
        </w:rPr>
        <w:t xml:space="preserve">2.3.2 </w:t>
      </w:r>
      <w:r>
        <w:rPr>
          <w:rFonts w:hint="eastAsia" w:ascii="宋体" w:hAnsi="宋体" w:eastAsia="宋体" w:cs="宋体"/>
          <w:b w:val="0"/>
          <w:bCs w:val="0"/>
          <w:sz w:val="24"/>
          <w:szCs w:val="24"/>
          <w:lang w:val="en-US"/>
        </w:rPr>
        <w:t>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
      <w:pPr>
        <w:pStyle w:val="23"/>
        <w:rPr>
          <w:lang w:val="en-US"/>
        </w:rPr>
      </w:pPr>
    </w:p>
    <w:p>
      <w:pPr>
        <w:pStyle w:val="24"/>
        <w:rPr>
          <w:lang w:val="en-US"/>
        </w:rPr>
      </w:pP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中共杭州市西湖区委杭州市西湖区人民政府信访局、杭州市西湖区政府采购中心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pPr>
      <w:r>
        <w:rPr>
          <w:rFonts w:hint="eastAsia" w:ascii="宋体" w:hAnsi="宋体" w:cs="宋体"/>
          <w:kern w:val="0"/>
          <w:sz w:val="24"/>
          <w:lang w:val="zh-CN"/>
        </w:rPr>
        <w:t xml:space="preserve">                                </w:t>
      </w:r>
      <w:r>
        <w:rPr>
          <w:rFonts w:hint="default" w:ascii="宋体" w:hAnsi="宋体" w:cs="宋体"/>
          <w:kern w:val="0"/>
          <w:sz w:val="24"/>
          <w:lang w:val="en-US"/>
        </w:rPr>
        <w:t xml:space="preserve">                </w:t>
      </w:r>
      <w:r>
        <w:rPr>
          <w:rFonts w:hint="eastAsia" w:ascii="宋体" w:hAnsi="宋体" w:cs="宋体"/>
          <w:kern w:val="0"/>
          <w:sz w:val="24"/>
          <w:lang w:val="zh-CN"/>
        </w:rPr>
        <w:t xml:space="preserve"> 签发日期：  年  月   日</w:t>
      </w:r>
      <w:r>
        <w:rPr>
          <w:rFonts w:hint="eastAsia" w:ascii="宋体" w:hAnsi="宋体" w:cs="宋体"/>
          <w:b/>
          <w:kern w:val="0"/>
          <w:sz w:val="32"/>
          <w:szCs w:val="32"/>
          <w:lang w:val="zh-CN"/>
        </w:rPr>
        <w:t xml:space="preserve">  </w:t>
      </w:r>
    </w:p>
    <w:p>
      <w:pPr>
        <w:rPr>
          <w:lang w:val="zh-CN"/>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中共杭州市西湖区委杭州市西湖区人民政府信访局、杭州市西湖区政府采购中心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pStyle w:val="61"/>
        <w:ind w:firstLine="420"/>
        <w:rPr>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5"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lang w:eastAsia="zh-CN"/>
        </w:rPr>
      </w:pPr>
      <w:r>
        <w:rPr>
          <w:rFonts w:hint="eastAsia" w:ascii="宋体" w:hAnsi="宋体" w:cs="宋体"/>
          <w:b/>
          <w:kern w:val="0"/>
          <w:sz w:val="32"/>
          <w:szCs w:val="32"/>
        </w:rPr>
        <w:t>三、分包意向协议</w:t>
      </w:r>
      <w:r>
        <w:rPr>
          <w:rFonts w:hint="eastAsia" w:ascii="宋体" w:hAnsi="宋体" w:cs="宋体"/>
          <w:b/>
          <w:kern w:val="0"/>
          <w:sz w:val="32"/>
          <w:szCs w:val="32"/>
          <w:lang w:eastAsia="zh-CN"/>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pStyle w:val="23"/>
        <w:rPr>
          <w:lang w:val="en-US"/>
        </w:rPr>
      </w:pPr>
    </w:p>
    <w:p>
      <w:pPr>
        <w:pStyle w:val="24"/>
        <w:rPr>
          <w:lang w:val="en-US"/>
        </w:rPr>
      </w:pPr>
    </w:p>
    <w:p/>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715"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625"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335"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715" w:type="dxa"/>
            <w:vAlign w:val="center"/>
          </w:tcPr>
          <w:p>
            <w:pPr>
              <w:spacing w:line="360" w:lineRule="auto"/>
              <w:jc w:val="center"/>
              <w:rPr>
                <w:rFonts w:ascii="宋体" w:hAnsi="宋体" w:cs="宋体"/>
                <w:sz w:val="24"/>
              </w:rPr>
            </w:pPr>
            <w:r>
              <w:rPr>
                <w:rFonts w:hint="eastAsia" w:ascii="宋体" w:hAnsi="宋体" w:cs="宋体"/>
                <w:sz w:val="24"/>
              </w:rPr>
              <w:t>投标文件按照招标文件要求签署、盖章。</w:t>
            </w:r>
          </w:p>
        </w:tc>
        <w:tc>
          <w:tcPr>
            <w:tcW w:w="2625"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335" w:type="dxa"/>
            <w:vAlign w:val="center"/>
          </w:tcPr>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rPr>
            </w:pPr>
            <w:r>
              <w:rPr>
                <w:rFonts w:hint="eastAsia" w:ascii="宋体" w:hAnsi="宋体" w:cs="宋体"/>
                <w:sz w:val="24"/>
              </w:rPr>
              <w:t>2</w:t>
            </w:r>
          </w:p>
        </w:tc>
        <w:tc>
          <w:tcPr>
            <w:tcW w:w="4715"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ascii="宋体" w:hAnsi="宋体" w:cs="宋体"/>
                <w:sz w:val="24"/>
              </w:rPr>
            </w:pPr>
            <w:r>
              <w:rPr>
                <w:rFonts w:hint="eastAsia" w:ascii="宋体" w:hAnsi="宋体" w:cs="宋体"/>
                <w:sz w:val="24"/>
              </w:rPr>
              <w:t>节能产品认证证书</w:t>
            </w:r>
            <w:r>
              <w:rPr>
                <w:rFonts w:hint="eastAsia" w:ascii="宋体" w:hAnsi="宋体" w:cs="宋体"/>
                <w:b/>
                <w:bCs/>
                <w:sz w:val="24"/>
              </w:rPr>
              <w:t>（本项目拟采购的产品不属于政府强制采购的节能产品品目清单范围的，无需提供）</w:t>
            </w:r>
          </w:p>
        </w:tc>
        <w:tc>
          <w:tcPr>
            <w:tcW w:w="1335"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pStyle w:val="2"/>
              <w:jc w:val="center"/>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715"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625" w:type="dxa"/>
            <w:vAlign w:val="center"/>
          </w:tcPr>
          <w:p>
            <w:pPr>
              <w:rPr>
                <w:rFonts w:ascii="宋体" w:hAnsi="宋体" w:cs="宋体"/>
                <w:sz w:val="24"/>
              </w:rPr>
            </w:pPr>
            <w:r>
              <w:rPr>
                <w:rFonts w:hint="eastAsia" w:ascii="宋体" w:hAnsi="宋体" w:cs="宋体"/>
                <w:sz w:val="24"/>
              </w:rPr>
              <w:t>投标函</w:t>
            </w:r>
          </w:p>
        </w:tc>
        <w:tc>
          <w:tcPr>
            <w:tcW w:w="1335"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4</w:t>
            </w:r>
          </w:p>
        </w:tc>
        <w:tc>
          <w:tcPr>
            <w:tcW w:w="4715" w:type="dxa"/>
            <w:vAlign w:val="center"/>
          </w:tcPr>
          <w:p>
            <w:pPr>
              <w:spacing w:line="360" w:lineRule="auto"/>
              <w:jc w:val="center"/>
              <w:rPr>
                <w:rFonts w:ascii="宋体" w:hAnsi="宋体" w:cs="宋体"/>
                <w:sz w:val="24"/>
              </w:rPr>
            </w:pPr>
            <w:r>
              <w:rPr>
                <w:rFonts w:hint="eastAsia" w:ascii="宋体" w:hAnsi="宋体" w:cs="宋体"/>
                <w:sz w:val="24"/>
              </w:rPr>
              <w:t>投标文件满足招标文件的其它实质性要求。</w:t>
            </w:r>
          </w:p>
        </w:tc>
        <w:tc>
          <w:tcPr>
            <w:tcW w:w="2625" w:type="dxa"/>
            <w:vAlign w:val="center"/>
          </w:tcPr>
          <w:p>
            <w:pPr>
              <w:rPr>
                <w:rFonts w:ascii="宋体" w:hAnsi="宋体" w:cs="宋体"/>
                <w:sz w:val="24"/>
              </w:rPr>
            </w:pPr>
            <w:r>
              <w:rPr>
                <w:rFonts w:hint="eastAsia" w:ascii="宋体" w:hAnsi="宋体" w:cs="宋体"/>
                <w:kern w:val="0"/>
                <w:sz w:val="24"/>
              </w:rPr>
              <w:t>招标文件其它实质性要求相应的材料（</w:t>
            </w:r>
            <w:r>
              <w:rPr>
                <w:rFonts w:hint="eastAsia" w:ascii="宋体" w:hAnsi="宋体" w:cs="宋体"/>
                <w:b/>
                <w:bCs/>
                <w:kern w:val="0"/>
                <w:sz w:val="24"/>
              </w:rPr>
              <w:t>“▲” 系指实质性要求条款，招标文件无其它实质性要求的，无需提供</w:t>
            </w:r>
            <w:r>
              <w:rPr>
                <w:rFonts w:hint="eastAsia" w:ascii="宋体" w:hAnsi="宋体" w:cs="宋体"/>
                <w:kern w:val="0"/>
                <w:sz w:val="24"/>
              </w:rPr>
              <w:t>）</w:t>
            </w:r>
          </w:p>
        </w:tc>
        <w:tc>
          <w:tcPr>
            <w:tcW w:w="1335"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both"/>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pStyle w:val="23"/>
        <w:rPr>
          <w:lang w:val="en-US"/>
        </w:rPr>
      </w:pPr>
    </w:p>
    <w:p>
      <w:pPr>
        <w:pStyle w:val="24"/>
        <w:rPr>
          <w:lang w:val="en-US"/>
        </w:rPr>
      </w:pPr>
    </w:p>
    <w:p/>
    <w:p>
      <w:pPr>
        <w:pStyle w:val="23"/>
        <w:rPr>
          <w:lang w:val="en-US"/>
        </w:rPr>
      </w:pPr>
    </w:p>
    <w:p>
      <w:pPr>
        <w:spacing w:line="360" w:lineRule="auto"/>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pStyle w:val="24"/>
        <w:rPr>
          <w:lang w:val="en-US"/>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pStyle w:val="23"/>
        <w:rPr>
          <w:lang w:val="en-US"/>
        </w:rPr>
      </w:pPr>
    </w:p>
    <w:p>
      <w:pPr>
        <w:rPr>
          <w:rFonts w:ascii="宋体" w:hAnsi="宋体" w:cs="宋体"/>
          <w:b/>
          <w:bCs/>
          <w:sz w:val="32"/>
          <w:szCs w:val="32"/>
        </w:rPr>
      </w:pP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中共杭州市西湖区委杭州市西湖区人民政府信访局、杭州市西湖区政府采购中心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600"/>
        <w:jc w:val="righ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ascii="宋体" w:hAnsi="宋体" w:cs="宋体"/>
          <w:sz w:val="24"/>
        </w:rPr>
        <w:t>）</w:t>
      </w:r>
      <w:r>
        <w:rPr>
          <w:rFonts w:hint="eastAsia" w:ascii="宋体" w:hAnsi="宋体" w:cs="宋体"/>
          <w:sz w:val="24"/>
        </w:rPr>
        <w:t>：</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0"/>
        </w:numPr>
        <w:snapToGrid w:val="0"/>
        <w:spacing w:line="360" w:lineRule="auto"/>
        <w:rPr>
          <w:rFonts w:ascii="宋体" w:hAnsi="宋体" w:cs="宋体"/>
          <w:sz w:val="24"/>
        </w:rPr>
      </w:pPr>
      <w:r>
        <w:rPr>
          <w:rFonts w:hint="eastAsia" w:ascii="宋体" w:hAnsi="宋体" w:cs="宋体"/>
          <w:sz w:val="24"/>
        </w:rPr>
        <w:t>开标一览表（报价表）………………………………………………………（页码）</w:t>
      </w:r>
    </w:p>
    <w:p>
      <w:pPr>
        <w:pStyle w:val="2"/>
        <w:numPr>
          <w:ilvl w:val="0"/>
          <w:numId w:val="10"/>
        </w:numPr>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中小企业声明函（如果有）………………………………………………（页码）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中共杭州市西湖区委杭州市西湖区人民政府信访局、杭州市西湖区政府采购中心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w:t>
      </w:r>
      <w:r>
        <w:rPr>
          <w:rFonts w:hint="eastAsia" w:ascii="宋体" w:hAnsi="宋体" w:cs="宋体"/>
          <w:kern w:val="0"/>
          <w:sz w:val="24"/>
          <w:lang w:val="zh-CN"/>
        </w:rPr>
        <w:t>【招标编号：</w:t>
      </w:r>
      <w:r>
        <w:rPr>
          <w:rFonts w:hint="eastAsia" w:ascii="宋体" w:hAnsi="宋体" w:cs="宋体"/>
          <w:color w:val="000000"/>
          <w:sz w:val="24"/>
        </w:rPr>
        <w:t>XHZFCG-2023-G-21</w:t>
      </w:r>
      <w:r>
        <w:rPr>
          <w:rFonts w:hint="eastAsia" w:ascii="宋体" w:hAnsi="宋体" w:cs="宋体"/>
          <w:sz w:val="24"/>
        </w:rPr>
        <w:t>】的实施</w:t>
      </w:r>
      <w:r>
        <w:rPr>
          <w:rFonts w:hint="eastAsia" w:ascii="宋体" w:hAnsi="宋体" w:cs="宋体"/>
          <w:kern w:val="0"/>
          <w:sz w:val="24"/>
          <w:lang w:val="zh-CN"/>
        </w:rPr>
        <w:t>。</w:t>
      </w:r>
    </w:p>
    <w:p>
      <w:pPr>
        <w:autoSpaceDE w:val="0"/>
        <w:autoSpaceDN w:val="0"/>
        <w:spacing w:line="360" w:lineRule="auto"/>
        <w:jc w:val="center"/>
        <w:rPr>
          <w:rFonts w:ascii="宋体" w:hAnsi="宋体" w:cs="宋体"/>
          <w:color w:val="000000"/>
          <w:sz w:val="24"/>
        </w:rPr>
      </w:pPr>
      <w:r>
        <w:rPr>
          <w:rFonts w:hint="eastAsia" w:ascii="宋体" w:hAnsi="宋体" w:cs="宋体"/>
          <w:b/>
          <w:bCs/>
          <w:color w:val="000000"/>
          <w:kern w:val="0"/>
          <w:sz w:val="24"/>
          <w:lang w:val="zh-CN"/>
        </w:rPr>
        <w:t>投标（开标）一览表（单位均为人民币元）</w:t>
      </w:r>
    </w:p>
    <w:tbl>
      <w:tblPr>
        <w:tblStyle w:val="62"/>
        <w:tblW w:w="8237" w:type="dxa"/>
        <w:tblInd w:w="556" w:type="dxa"/>
        <w:tblLayout w:type="fixed"/>
        <w:tblCellMar>
          <w:top w:w="0" w:type="dxa"/>
          <w:left w:w="30" w:type="dxa"/>
          <w:bottom w:w="0" w:type="dxa"/>
          <w:right w:w="30" w:type="dxa"/>
        </w:tblCellMar>
      </w:tblPr>
      <w:tblGrid>
        <w:gridCol w:w="1067"/>
        <w:gridCol w:w="2985"/>
        <w:gridCol w:w="2685"/>
        <w:gridCol w:w="1500"/>
      </w:tblGrid>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序号</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报价内容</w:t>
            </w: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总报价</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备注</w:t>
            </w:r>
          </w:p>
        </w:tc>
      </w:tr>
      <w:tr>
        <w:tblPrEx>
          <w:tblCellMar>
            <w:top w:w="0" w:type="dxa"/>
            <w:left w:w="30" w:type="dxa"/>
            <w:bottom w:w="0" w:type="dxa"/>
            <w:right w:w="30" w:type="dxa"/>
          </w:tblCellMar>
        </w:tblPrEx>
        <w:trPr>
          <w:trHeight w:val="683"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一</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二</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w:t>
            </w:r>
          </w:p>
        </w:tc>
        <w:tc>
          <w:tcPr>
            <w:tcW w:w="2985"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360" w:lineRule="auto"/>
              <w:jc w:val="center"/>
              <w:rPr>
                <w:rFonts w:ascii="宋体" w:hAnsi="宋体" w:cs="宋体"/>
                <w:bCs/>
                <w:sz w:val="24"/>
              </w:rPr>
            </w:pPr>
          </w:p>
        </w:tc>
      </w:tr>
      <w:tr>
        <w:tblPrEx>
          <w:tblCellMar>
            <w:top w:w="0" w:type="dxa"/>
            <w:left w:w="30" w:type="dxa"/>
            <w:bottom w:w="0" w:type="dxa"/>
            <w:right w:w="30" w:type="dxa"/>
          </w:tblCellMar>
        </w:tblPrEx>
        <w:trPr>
          <w:trHeight w:val="821" w:hRule="atLeast"/>
        </w:trPr>
        <w:tc>
          <w:tcPr>
            <w:tcW w:w="4052"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合计</w:t>
            </w:r>
          </w:p>
        </w:tc>
        <w:tc>
          <w:tcPr>
            <w:tcW w:w="4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left"/>
              <w:rPr>
                <w:rFonts w:ascii="宋体" w:hAnsi="宋体" w:cs="宋体"/>
                <w:b/>
                <w:sz w:val="24"/>
              </w:rPr>
            </w:pPr>
            <w:r>
              <w:rPr>
                <w:rFonts w:hint="eastAsia" w:ascii="宋体" w:hAnsi="宋体" w:cs="宋体"/>
                <w:b/>
                <w:sz w:val="24"/>
              </w:rPr>
              <w:t>小写：</w:t>
            </w:r>
          </w:p>
        </w:tc>
      </w:tr>
      <w:tr>
        <w:tblPrEx>
          <w:tblCellMar>
            <w:top w:w="0" w:type="dxa"/>
            <w:left w:w="30" w:type="dxa"/>
            <w:bottom w:w="0" w:type="dxa"/>
            <w:right w:w="30" w:type="dxa"/>
          </w:tblCellMar>
        </w:tblPrEx>
        <w:trPr>
          <w:trHeight w:val="821" w:hRule="atLeast"/>
        </w:trPr>
        <w:tc>
          <w:tcPr>
            <w:tcW w:w="4052"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sz w:val="24"/>
              </w:rPr>
            </w:pPr>
          </w:p>
        </w:tc>
        <w:tc>
          <w:tcPr>
            <w:tcW w:w="4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left"/>
              <w:rPr>
                <w:rFonts w:ascii="宋体" w:hAnsi="宋体" w:cs="宋体"/>
                <w:b/>
                <w:sz w:val="24"/>
              </w:rPr>
            </w:pPr>
            <w:r>
              <w:rPr>
                <w:rFonts w:hint="eastAsia" w:ascii="宋体" w:hAnsi="宋体" w:cs="宋体"/>
                <w:b/>
                <w:sz w:val="24"/>
              </w:rPr>
              <w:t>大写：</w:t>
            </w:r>
          </w:p>
        </w:tc>
      </w:tr>
      <w:tr>
        <w:tblPrEx>
          <w:tblCellMar>
            <w:top w:w="0" w:type="dxa"/>
            <w:left w:w="30" w:type="dxa"/>
            <w:bottom w:w="0" w:type="dxa"/>
            <w:right w:w="30" w:type="dxa"/>
          </w:tblCellMar>
        </w:tblPrEx>
        <w:trPr>
          <w:trHeight w:val="821" w:hRule="atLeast"/>
        </w:trPr>
        <w:tc>
          <w:tcPr>
            <w:tcW w:w="40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b/>
                <w:bCs w:val="0"/>
                <w:sz w:val="24"/>
              </w:rPr>
            </w:pPr>
            <w:r>
              <w:rPr>
                <w:rFonts w:hint="eastAsia" w:ascii="宋体" w:hAnsi="宋体" w:cs="宋体"/>
                <w:b/>
                <w:bCs w:val="0"/>
                <w:color w:val="auto"/>
                <w:sz w:val="24"/>
                <w:lang w:eastAsia="zh-CN"/>
              </w:rPr>
              <w:t>是否为中小企业</w:t>
            </w:r>
          </w:p>
        </w:tc>
        <w:tc>
          <w:tcPr>
            <w:tcW w:w="4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left"/>
              <w:rPr>
                <w:rFonts w:hint="eastAsia" w:ascii="宋体" w:hAnsi="宋体" w:cs="宋体"/>
                <w:b/>
                <w:bCs w:val="0"/>
                <w:sz w:val="24"/>
              </w:rPr>
            </w:pPr>
            <w:sdt>
              <w:sdtPr>
                <w:rPr>
                  <w:rFonts w:hint="eastAsia" w:ascii="宋体" w:hAnsi="宋体" w:cs="宋体"/>
                  <w:b/>
                  <w:bCs w:val="0"/>
                  <w:color w:val="auto"/>
                  <w:kern w:val="0"/>
                  <w:sz w:val="24"/>
                </w:rPr>
                <w:id w:val="-1024704304"/>
                <w14:checkbox>
                  <w14:checked w14:val="0"/>
                  <w14:checkedState w14:val="00FE" w14:font="Wingdings"/>
                  <w14:uncheckedState w14:val="2610" w14:font="MS Gothic"/>
                </w14:checkbox>
              </w:sdtPr>
              <w:sdtEndPr>
                <w:rPr>
                  <w:rFonts w:hint="eastAsia" w:ascii="宋体" w:hAnsi="宋体" w:cs="宋体"/>
                  <w:b/>
                  <w:bCs w:val="0"/>
                  <w:color w:val="auto"/>
                  <w:kern w:val="0"/>
                  <w:sz w:val="24"/>
                </w:rPr>
              </w:sdtEndPr>
              <w:sdtContent>
                <w:r>
                  <w:rPr>
                    <w:rFonts w:hint="eastAsia" w:ascii="MS Gothic" w:hAnsi="MS Gothic" w:eastAsia="MS Gothic" w:cs="宋体"/>
                    <w:b/>
                    <w:bCs w:val="0"/>
                    <w:color w:val="auto"/>
                    <w:kern w:val="0"/>
                    <w:sz w:val="24"/>
                  </w:rPr>
                  <w:t>☐</w:t>
                </w:r>
              </w:sdtContent>
            </w:sdt>
            <w:r>
              <w:rPr>
                <w:rFonts w:hint="eastAsia" w:ascii="宋体" w:hAnsi="宋体" w:cs="宋体"/>
                <w:b/>
                <w:bCs w:val="0"/>
                <w:color w:val="auto"/>
                <w:kern w:val="0"/>
                <w:sz w:val="24"/>
                <w:lang w:eastAsia="zh-CN"/>
              </w:rPr>
              <w:t>是</w:t>
            </w:r>
            <w:r>
              <w:rPr>
                <w:rFonts w:hint="default" w:ascii="宋体" w:hAnsi="宋体" w:cs="宋体"/>
                <w:b/>
                <w:bCs w:val="0"/>
                <w:color w:val="auto"/>
                <w:kern w:val="0"/>
                <w:sz w:val="24"/>
                <w:lang w:val="en-US" w:eastAsia="zh-CN"/>
              </w:rPr>
              <w:t xml:space="preserve">      </w:t>
            </w:r>
            <w:sdt>
              <w:sdtPr>
                <w:rPr>
                  <w:rFonts w:hint="eastAsia" w:ascii="宋体" w:hAnsi="宋体" w:cs="宋体"/>
                  <w:b/>
                  <w:bCs w:val="0"/>
                  <w:color w:val="auto"/>
                  <w:kern w:val="0"/>
                  <w:sz w:val="24"/>
                </w:rPr>
                <w:id w:val="-1024704304"/>
                <w14:checkbox>
                  <w14:checked w14:val="0"/>
                  <w14:checkedState w14:val="00FE" w14:font="Wingdings"/>
                  <w14:uncheckedState w14:val="2610" w14:font="MS Gothic"/>
                </w14:checkbox>
              </w:sdtPr>
              <w:sdtEndPr>
                <w:rPr>
                  <w:rFonts w:hint="eastAsia" w:ascii="宋体" w:hAnsi="宋体" w:cs="宋体"/>
                  <w:b/>
                  <w:bCs w:val="0"/>
                  <w:color w:val="auto"/>
                  <w:kern w:val="0"/>
                  <w:sz w:val="24"/>
                </w:rPr>
              </w:sdtEndPr>
              <w:sdtContent>
                <w:r>
                  <w:rPr>
                    <w:rFonts w:hint="eastAsia" w:ascii="MS Gothic" w:hAnsi="MS Gothic" w:eastAsia="MS Gothic" w:cs="宋体"/>
                    <w:b/>
                    <w:bCs w:val="0"/>
                    <w:color w:val="auto"/>
                    <w:kern w:val="0"/>
                    <w:sz w:val="24"/>
                  </w:rPr>
                  <w:t>☐</w:t>
                </w:r>
              </w:sdtContent>
            </w:sdt>
            <w:r>
              <w:rPr>
                <w:rFonts w:hint="eastAsia" w:ascii="宋体" w:hAnsi="宋体" w:cs="宋体"/>
                <w:b/>
                <w:bCs w:val="0"/>
                <w:color w:val="auto"/>
                <w:kern w:val="0"/>
                <w:sz w:val="24"/>
                <w:lang w:eastAsia="zh-CN"/>
              </w:rPr>
              <w:t>否</w:t>
            </w:r>
          </w:p>
        </w:tc>
      </w:tr>
    </w:tbl>
    <w:p>
      <w:pPr>
        <w:snapToGrid w:val="0"/>
        <w:spacing w:line="360" w:lineRule="auto"/>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szCs w:val="22"/>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left"/>
        <w:rPr>
          <w:rFonts w:ascii="宋体" w:hAnsi="宋体" w:cs="宋体"/>
          <w:kern w:val="0"/>
          <w:sz w:val="24"/>
          <w:lang w:val="zh-CN"/>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467" w:name="_Hlk101259491"/>
      <w:r>
        <w:rPr>
          <w:rFonts w:hint="eastAsia" w:ascii="宋体" w:hAnsi="宋体" w:eastAsia="宋体" w:cs="宋体"/>
          <w:color w:val="auto"/>
          <w:sz w:val="32"/>
          <w:szCs w:val="32"/>
        </w:rPr>
        <w:t>（如果有）</w:t>
      </w:r>
      <w:bookmarkEnd w:id="46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残疾人福利性单位声明函</w:t>
      </w:r>
    </w:p>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中共杭州市西湖区委杭州市西湖区人民政府信访局</w:t>
      </w:r>
      <w:r>
        <w:rPr>
          <w:rFonts w:hint="eastAsia" w:ascii="宋体" w:hAnsi="宋体" w:cs="宋体"/>
          <w:color w:val="auto"/>
          <w:sz w:val="24"/>
        </w:rPr>
        <w:t>单位的</w:t>
      </w:r>
      <w:r>
        <w:rPr>
          <w:rFonts w:hint="eastAsia" w:ascii="宋体" w:hAnsi="宋体" w:cs="宋体"/>
          <w:color w:val="auto"/>
          <w:sz w:val="24"/>
          <w:u w:val="single"/>
        </w:rPr>
        <w:t>杭州市西湖区“民呼我为</w:t>
      </w:r>
      <w:r>
        <w:rPr>
          <w:rFonts w:hint="eastAsia" w:ascii="宋体" w:hAnsi="宋体" w:cs="宋体"/>
          <w:color w:val="auto"/>
          <w:sz w:val="24"/>
          <w:u w:val="single"/>
        </w:rPr>
        <w:sym w:font="Wingdings" w:char="F0A0"/>
      </w:r>
      <w:r>
        <w:rPr>
          <w:rFonts w:hint="eastAsia" w:ascii="宋体" w:hAnsi="宋体" w:cs="宋体"/>
          <w:color w:val="auto"/>
          <w:sz w:val="24"/>
          <w:u w:val="single"/>
        </w:rPr>
        <w:t>西湖码”综合应用2.0迭代升级项目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r>
        <w:rPr>
          <w:rFonts w:hint="eastAsia" w:ascii="宋体" w:hAnsi="宋体" w:cs="宋体"/>
          <w:color w:val="auto"/>
          <w:sz w:val="24"/>
        </w:rPr>
        <w:t xml:space="preserve">       日  期：</w:t>
      </w: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pStyle w:val="23"/>
      </w:pPr>
    </w:p>
    <w:p>
      <w:pPr>
        <w:spacing w:line="360" w:lineRule="auto"/>
        <w:jc w:val="left"/>
        <w:rPr>
          <w:rFonts w:ascii="宋体" w:hAnsi="宋体" w:cs="宋体"/>
          <w:sz w:val="24"/>
        </w:rPr>
      </w:pPr>
      <w:r>
        <w:rPr>
          <w:rFonts w:hint="eastAsia" w:ascii="宋体" w:hAnsi="宋体" w:cs="宋体"/>
          <w:sz w:val="24"/>
          <w:u w:val="single"/>
        </w:rPr>
        <w:t>中共杭州市西湖区委杭州市西湖区人民政府信访局、杭州市西湖区政府采购中心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jc w:val="center"/>
        <w:rPr>
          <w:rFonts w:hint="eastAsia" w:ascii="宋体" w:hAnsi="宋体" w:cs="宋体"/>
          <w:b/>
          <w:kern w:val="0"/>
          <w:sz w:val="32"/>
          <w:szCs w:val="32"/>
          <w:lang w:val="zh-CN"/>
        </w:rPr>
      </w:pPr>
      <w:r>
        <w:rPr>
          <w:rFonts w:hint="eastAsia" w:ascii="宋体" w:hAnsi="宋体" w:cs="宋体"/>
          <w:b/>
          <w:spacing w:val="6"/>
          <w:sz w:val="32"/>
          <w:szCs w:val="32"/>
        </w:rPr>
        <w:t>附件5：</w:t>
      </w:r>
      <w:r>
        <w:rPr>
          <w:rFonts w:hint="eastAsia" w:ascii="宋体" w:hAnsi="宋体" w:cs="宋体"/>
          <w:b/>
          <w:kern w:val="0"/>
          <w:sz w:val="32"/>
          <w:szCs w:val="32"/>
          <w:lang w:val="zh-CN"/>
        </w:rPr>
        <w:t>联合协议</w:t>
      </w:r>
    </w:p>
    <w:p>
      <w:pPr>
        <w:pStyle w:val="23"/>
        <w:rPr>
          <w:lang w:val="zh-CN"/>
        </w:rPr>
      </w:pP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迭代升级项目【招标编号：</w:t>
      </w:r>
      <w:r>
        <w:rPr>
          <w:rFonts w:hint="eastAsia" w:ascii="宋体" w:hAnsi="宋体" w:cs="宋体"/>
          <w:color w:val="000000"/>
          <w:sz w:val="24"/>
        </w:rPr>
        <w:t>XHZFCG-2023-G-21</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（联合体成员2）</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68" w:name="_Hlk101131882"/>
      <w:r>
        <w:rPr>
          <w:rFonts w:hint="eastAsia" w:ascii="宋体" w:hAnsi="宋体" w:cs="宋体"/>
          <w:kern w:val="0"/>
          <w:sz w:val="24"/>
          <w:u w:val="single"/>
        </w:rPr>
        <w:t>联合体成员X,……</w:t>
      </w:r>
      <w:bookmarkEnd w:id="468"/>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69"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hint="default" w:ascii="宋体" w:hAnsi="宋体" w:cs="宋体"/>
          <w:b/>
          <w:kern w:val="0"/>
          <w:sz w:val="24"/>
          <w:lang w:val="en-US"/>
        </w:rPr>
        <w:t>6</w:t>
      </w:r>
      <w:r>
        <w:rPr>
          <w:rFonts w:hint="eastAsia" w:ascii="宋体" w:hAnsi="宋体" w:cs="宋体"/>
          <w:b/>
          <w:kern w:val="0"/>
          <w:sz w:val="24"/>
          <w:lang w:val="zh-CN"/>
        </w:rPr>
        <w:t>%的扣除。供应商</w:t>
      </w:r>
      <w:r>
        <w:rPr>
          <w:rFonts w:hint="eastAsia" w:ascii="宋体" w:hAnsi="宋体" w:cs="宋体"/>
          <w:b/>
          <w:sz w:val="24"/>
        </w:rPr>
        <w:t>拟享受以上价格扣除政策的，填写有关内容。</w:t>
      </w:r>
      <w:bookmarkEnd w:id="469"/>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70"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70"/>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sz w:val="24"/>
        </w:rPr>
        <w:t>杭州市西湖区“民呼我为</w:t>
      </w:r>
      <w:r>
        <w:rPr>
          <w:rFonts w:ascii="宋体" w:hAnsi="宋体" w:cs="宋体"/>
          <w:sz w:val="24"/>
        </w:rPr>
        <w:sym w:font="Wingdings" w:char="F0A0"/>
      </w:r>
      <w:r>
        <w:rPr>
          <w:rFonts w:hint="eastAsia" w:ascii="宋体" w:hAnsi="宋体" w:cs="宋体"/>
          <w:sz w:val="24"/>
        </w:rPr>
        <w:t>西湖码”综合应用</w:t>
      </w:r>
      <w:r>
        <w:rPr>
          <w:rFonts w:ascii="宋体" w:hAnsi="宋体" w:cs="宋体"/>
          <w:sz w:val="24"/>
        </w:rPr>
        <w:t>2.0</w:t>
      </w:r>
      <w:r>
        <w:rPr>
          <w:rFonts w:hint="eastAsia" w:ascii="宋体" w:hAnsi="宋体" w:cs="宋体"/>
          <w:sz w:val="24"/>
        </w:rPr>
        <w:t>迭代升级项目</w:t>
      </w:r>
      <w:r>
        <w:rPr>
          <w:rFonts w:hint="eastAsia" w:ascii="宋体" w:hAnsi="宋体" w:cs="宋体"/>
          <w:color w:val="auto"/>
          <w:sz w:val="24"/>
        </w:rPr>
        <w:t>【招标编号：XHZFCG-2023-G-2</w:t>
      </w:r>
      <w:r>
        <w:rPr>
          <w:rFonts w:hint="default" w:ascii="宋体" w:hAnsi="宋体" w:cs="宋体"/>
          <w:color w:val="auto"/>
          <w:sz w:val="24"/>
          <w:lang w:val="en-US"/>
        </w:rPr>
        <w:t>1</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中中小企业、其中小微企业合同金额应当达到的比例要求填写。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jc w:val="center"/>
        <w:rPr>
          <w:rFonts w:ascii="宋体" w:hAnsi="宋体" w:cs="宋体"/>
          <w:b/>
          <w:spacing w:val="6"/>
          <w:sz w:val="32"/>
          <w:szCs w:val="32"/>
        </w:rPr>
      </w:pPr>
      <w:r>
        <w:rPr>
          <w:rFonts w:hint="eastAsia" w:ascii="宋体" w:hAnsi="宋体" w:cs="宋体"/>
          <w:color w:val="auto"/>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pStyle w:val="23"/>
        <w:rPr>
          <w:rFonts w:ascii="宋体" w:hAnsi="宋体" w:cs="宋体"/>
          <w:b/>
          <w:spacing w:val="6"/>
          <w:sz w:val="32"/>
          <w:szCs w:val="32"/>
        </w:rPr>
      </w:pPr>
    </w:p>
    <w:p>
      <w:pPr>
        <w:pStyle w:val="24"/>
      </w:pPr>
    </w:p>
    <w:p>
      <w:pPr>
        <w:autoSpaceDE w:val="0"/>
        <w:autoSpaceDN w:val="0"/>
        <w:rPr>
          <w:rFonts w:ascii="宋体" w:hAnsi="宋体" w:cs="宋体"/>
          <w:b/>
          <w:bCs/>
          <w:sz w:val="32"/>
          <w:szCs w:val="32"/>
        </w:rPr>
      </w:pPr>
      <w:r>
        <w:rPr>
          <w:rFonts w:hint="eastAsia" w:ascii="宋体" w:hAnsi="宋体" w:cs="宋体"/>
          <w:b/>
          <w:spacing w:val="6"/>
          <w:sz w:val="32"/>
          <w:szCs w:val="32"/>
        </w:rPr>
        <w:t>附件7：</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中共杭州市西湖区委杭州市西湖区人民政府信访局 </w:t>
      </w:r>
      <w:r>
        <w:rPr>
          <w:rFonts w:hint="eastAsia" w:ascii="宋体" w:hAnsi="宋体" w:cs="宋体"/>
          <w:sz w:val="24"/>
        </w:rPr>
        <w:t>的</w:t>
      </w:r>
      <w:r>
        <w:rPr>
          <w:rFonts w:hint="eastAsia" w:ascii="宋体" w:hAnsi="宋体" w:cs="宋体"/>
          <w:sz w:val="24"/>
          <w:u w:val="single"/>
        </w:rPr>
        <w:t xml:space="preserve"> 杭州市西湖区“民呼我为</w:t>
      </w:r>
      <w:r>
        <w:rPr>
          <w:rFonts w:ascii="宋体" w:hAnsi="宋体" w:cs="宋体"/>
          <w:sz w:val="24"/>
          <w:u w:val="single"/>
        </w:rPr>
        <w:sym w:font="Wingdings" w:char="F0A0"/>
      </w:r>
      <w:r>
        <w:rPr>
          <w:rFonts w:hint="eastAsia" w:ascii="宋体" w:hAnsi="宋体" w:cs="宋体"/>
          <w:sz w:val="24"/>
          <w:u w:val="single"/>
        </w:rPr>
        <w:t>西湖码”综合应用</w:t>
      </w:r>
      <w:r>
        <w:rPr>
          <w:rFonts w:ascii="宋体" w:hAnsi="宋体" w:cs="宋体"/>
          <w:sz w:val="24"/>
          <w:u w:val="single"/>
        </w:rPr>
        <w:t>2.0</w:t>
      </w:r>
      <w:r>
        <w:rPr>
          <w:rFonts w:hint="eastAsia" w:ascii="宋体" w:hAnsi="宋体" w:cs="宋体"/>
          <w:sz w:val="24"/>
          <w:u w:val="single"/>
        </w:rPr>
        <w:t xml:space="preserve">迭代升级项目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sz w:val="24"/>
        </w:rPr>
        <w:t>逐一填写，不得缺漏</w:t>
      </w:r>
      <w:r>
        <w:rPr>
          <w:rFonts w:hint="eastAsia" w:ascii="宋体" w:hAnsi="宋体" w:cs="宋体"/>
          <w:sz w:val="24"/>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471" w:name="_Toc91899912"/>
    <w:bookmarkStart w:id="472" w:name="_Toc164085800"/>
    <w:bookmarkStart w:id="473" w:name="_Toc36110187"/>
    <w:bookmarkStart w:id="474" w:name="_Toc131845147"/>
    <w:r>
      <w:rPr>
        <w:rFonts w:hint="eastAsia" w:ascii="仿宋_GB2312" w:eastAsia="仿宋_GB2312"/>
        <w:kern w:val="0"/>
        <w:szCs w:val="21"/>
      </w:rPr>
      <w:t xml:space="preserve"> 页</w:t>
    </w:r>
    <w:bookmarkEnd w:id="471"/>
    <w:bookmarkEnd w:id="472"/>
    <w:bookmarkEnd w:id="473"/>
    <w:bookmarkEnd w:id="47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杭州市西湖区政府采购公开招标文件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b/>
        <w:i/>
        <w:u w:val="single"/>
      </w:rPr>
    </w:pPr>
    <w:r>
      <w:t></w:t>
    </w:r>
    <w:r>
      <w:rPr>
        <w:rFonts w:hint="eastAsia"/>
      </w:rPr>
      <w:t xml:space="preserve">                                                              杭州市西湖区政府采购公开招标文件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杭州市西湖区政府采购公开招标文件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b/>
        <w:i/>
        <w:u w:val="single"/>
      </w:rPr>
    </w:pPr>
    <w:r>
      <w:t></w:t>
    </w:r>
    <w:r>
      <w:rPr>
        <w:rFonts w:hint="eastAsia"/>
      </w:rPr>
      <w:t xml:space="preserve">                          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 xml:space="preserve">                                </w:t>
    </w:r>
    <w:r>
      <w:rPr>
        <w:rFonts w:hint="eastAsia"/>
      </w:rPr>
      <w:t xml:space="preserve">                        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u w:val="single"/>
      </w:rPr>
    </w:pPr>
    <w:r>
      <w:rPr>
        <w:rFonts w:hint="eastAsia"/>
      </w:rPr>
      <w:t xml:space="preserve">                                  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t></w:t>
    </w:r>
    <w:r>
      <w:rPr>
        <w:rFonts w:hint="eastAsia"/>
      </w:rPr>
      <w:t>杭州市西湖区政府采购公开招标文件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AF4DC"/>
    <w:multiLevelType w:val="singleLevel"/>
    <w:tmpl w:val="801AF4DC"/>
    <w:lvl w:ilvl="0" w:tentative="0">
      <w:start w:val="1"/>
      <w:numFmt w:val="decimal"/>
      <w:suff w:val="nothing"/>
      <w:lvlText w:val="%1）"/>
      <w:lvlJc w:val="left"/>
    </w:lvl>
  </w:abstractNum>
  <w:abstractNum w:abstractNumId="1">
    <w:nsid w:val="83C6387B"/>
    <w:multiLevelType w:val="singleLevel"/>
    <w:tmpl w:val="83C6387B"/>
    <w:lvl w:ilvl="0" w:tentative="0">
      <w:start w:val="1"/>
      <w:numFmt w:val="chineseCounting"/>
      <w:suff w:val="nothing"/>
      <w:lvlText w:val="%1、"/>
      <w:lvlJc w:val="left"/>
      <w:rPr>
        <w:rFonts w:hint="eastAsia"/>
      </w:rPr>
    </w:lvl>
  </w:abstractNum>
  <w:abstractNum w:abstractNumId="2">
    <w:nsid w:val="C61CBA55"/>
    <w:multiLevelType w:val="singleLevel"/>
    <w:tmpl w:val="C61CBA55"/>
    <w:lvl w:ilvl="0" w:tentative="0">
      <w:start w:val="1"/>
      <w:numFmt w:val="decimal"/>
      <w:suff w:val="nothing"/>
      <w:lvlText w:val="%1）"/>
      <w:lvlJc w:val="left"/>
    </w:lvl>
  </w:abstractNum>
  <w:abstractNum w:abstractNumId="3">
    <w:nsid w:val="D5021E1F"/>
    <w:multiLevelType w:val="singleLevel"/>
    <w:tmpl w:val="D5021E1F"/>
    <w:lvl w:ilvl="0" w:tentative="0">
      <w:start w:val="3"/>
      <w:numFmt w:val="chineseCounting"/>
      <w:suff w:val="space"/>
      <w:lvlText w:val="第%1部分"/>
      <w:lvlJc w:val="left"/>
      <w:rPr>
        <w:rFonts w:hint="eastAsia"/>
      </w:rPr>
    </w:lvl>
  </w:abstractNum>
  <w:abstractNum w:abstractNumId="4">
    <w:nsid w:val="FF1C3F8A"/>
    <w:multiLevelType w:val="singleLevel"/>
    <w:tmpl w:val="FF1C3F8A"/>
    <w:lvl w:ilvl="0" w:tentative="0">
      <w:start w:val="1"/>
      <w:numFmt w:val="decimal"/>
      <w:lvlText w:val="%1)"/>
      <w:lvlJc w:val="left"/>
      <w:pPr>
        <w:ind w:left="425" w:hanging="425"/>
      </w:pPr>
      <w:rPr>
        <w:rFonts w:hint="default"/>
      </w:rPr>
    </w:lvl>
  </w:abstractNum>
  <w:abstractNum w:abstractNumId="5">
    <w:nsid w:val="14442CD4"/>
    <w:multiLevelType w:val="singleLevel"/>
    <w:tmpl w:val="14442CD4"/>
    <w:lvl w:ilvl="0" w:tentative="0">
      <w:start w:val="3"/>
      <w:numFmt w:val="chineseCounting"/>
      <w:suff w:val="nothing"/>
      <w:lvlText w:val="%1、"/>
      <w:lvlJc w:val="left"/>
      <w:rPr>
        <w:rFonts w:hint="eastAsia"/>
      </w:rPr>
    </w:lvl>
  </w:abstractNum>
  <w:abstractNum w:abstractNumId="6">
    <w:nsid w:val="51AAEDBC"/>
    <w:multiLevelType w:val="singleLevel"/>
    <w:tmpl w:val="51AAEDBC"/>
    <w:lvl w:ilvl="0" w:tentative="0">
      <w:start w:val="1"/>
      <w:numFmt w:val="decimal"/>
      <w:lvlText w:val="(%1)"/>
      <w:lvlJc w:val="left"/>
      <w:pPr>
        <w:ind w:left="425" w:hanging="425"/>
      </w:pPr>
      <w:rPr>
        <w:rFonts w:hint="default"/>
      </w:rPr>
    </w:lvl>
  </w:abstractNum>
  <w:abstractNum w:abstractNumId="7">
    <w:nsid w:val="6DC0A39C"/>
    <w:multiLevelType w:val="singleLevel"/>
    <w:tmpl w:val="6DC0A39C"/>
    <w:lvl w:ilvl="0" w:tentative="0">
      <w:start w:val="1"/>
      <w:numFmt w:val="decimal"/>
      <w:suff w:val="nothing"/>
      <w:lvlText w:val="%1）"/>
      <w:lvlJc w:val="left"/>
    </w:lvl>
  </w:abstractNum>
  <w:abstractNum w:abstractNumId="8">
    <w:nsid w:val="77A5CCDA"/>
    <w:multiLevelType w:val="singleLevel"/>
    <w:tmpl w:val="77A5CCDA"/>
    <w:lvl w:ilvl="0" w:tentative="0">
      <w:start w:val="1"/>
      <w:numFmt w:val="decimal"/>
      <w:suff w:val="nothing"/>
      <w:lvlText w:val="（%1）"/>
      <w:lvlJc w:val="left"/>
    </w:lvl>
  </w:abstractNum>
  <w:abstractNum w:abstractNumId="9">
    <w:nsid w:val="799F506C"/>
    <w:multiLevelType w:val="singleLevel"/>
    <w:tmpl w:val="799F506C"/>
    <w:lvl w:ilvl="0" w:tentative="0">
      <w:start w:val="1"/>
      <w:numFmt w:val="decimal"/>
      <w:suff w:val="nothing"/>
      <w:lvlText w:val="%1）"/>
      <w:lvlJc w:val="left"/>
    </w:lvl>
  </w:abstractNum>
  <w:num w:numId="1">
    <w:abstractNumId w:val="3"/>
  </w:num>
  <w:num w:numId="2">
    <w:abstractNumId w:val="1"/>
  </w:num>
  <w:num w:numId="3">
    <w:abstractNumId w:val="6"/>
  </w:num>
  <w:num w:numId="4">
    <w:abstractNumId w:val="0"/>
  </w:num>
  <w:num w:numId="5">
    <w:abstractNumId w:val="2"/>
  </w:num>
  <w:num w:numId="6">
    <w:abstractNumId w:val="9"/>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0MjFlZDMxNDgyNTY2OGM1ODVmNzYwNmIxN2JlO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0DB"/>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157"/>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878"/>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7FB"/>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88D"/>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A7C"/>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B6D"/>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DD7"/>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06E4"/>
    <w:rsid w:val="0010118C"/>
    <w:rsid w:val="0010125E"/>
    <w:rsid w:val="001015F8"/>
    <w:rsid w:val="00101967"/>
    <w:rsid w:val="00103251"/>
    <w:rsid w:val="00103509"/>
    <w:rsid w:val="0010393D"/>
    <w:rsid w:val="00103EBD"/>
    <w:rsid w:val="00104477"/>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065"/>
    <w:rsid w:val="00142185"/>
    <w:rsid w:val="001422E2"/>
    <w:rsid w:val="001433BC"/>
    <w:rsid w:val="00143872"/>
    <w:rsid w:val="00143A85"/>
    <w:rsid w:val="00144649"/>
    <w:rsid w:val="00144FE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1603"/>
    <w:rsid w:val="001620BA"/>
    <w:rsid w:val="001623AC"/>
    <w:rsid w:val="00162BAA"/>
    <w:rsid w:val="00163C40"/>
    <w:rsid w:val="0016470A"/>
    <w:rsid w:val="0016488B"/>
    <w:rsid w:val="00165758"/>
    <w:rsid w:val="00165A65"/>
    <w:rsid w:val="00166317"/>
    <w:rsid w:val="00167478"/>
    <w:rsid w:val="00167594"/>
    <w:rsid w:val="001702BE"/>
    <w:rsid w:val="001702C1"/>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0A64"/>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253"/>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EC"/>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2FA6"/>
    <w:rsid w:val="001F456F"/>
    <w:rsid w:val="001F5DA1"/>
    <w:rsid w:val="001F612E"/>
    <w:rsid w:val="001F6541"/>
    <w:rsid w:val="001F6A92"/>
    <w:rsid w:val="001F77E8"/>
    <w:rsid w:val="00201006"/>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38E"/>
    <w:rsid w:val="00210B9C"/>
    <w:rsid w:val="00211090"/>
    <w:rsid w:val="00211185"/>
    <w:rsid w:val="00211A94"/>
    <w:rsid w:val="002126F2"/>
    <w:rsid w:val="00213478"/>
    <w:rsid w:val="00213B29"/>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585"/>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AA8"/>
    <w:rsid w:val="00237EAE"/>
    <w:rsid w:val="00237FA2"/>
    <w:rsid w:val="002403D5"/>
    <w:rsid w:val="00240C1F"/>
    <w:rsid w:val="00240F55"/>
    <w:rsid w:val="00240F67"/>
    <w:rsid w:val="00241144"/>
    <w:rsid w:val="00241253"/>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81E"/>
    <w:rsid w:val="00275D6E"/>
    <w:rsid w:val="00277196"/>
    <w:rsid w:val="002775ED"/>
    <w:rsid w:val="002778AB"/>
    <w:rsid w:val="002802A5"/>
    <w:rsid w:val="00280CFB"/>
    <w:rsid w:val="00280D24"/>
    <w:rsid w:val="002815C4"/>
    <w:rsid w:val="00281BCB"/>
    <w:rsid w:val="00281C76"/>
    <w:rsid w:val="0028316D"/>
    <w:rsid w:val="00283296"/>
    <w:rsid w:val="00283B6F"/>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12D"/>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23"/>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76E"/>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BA5"/>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BCD"/>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2E"/>
    <w:rsid w:val="003B0A3A"/>
    <w:rsid w:val="003B0D79"/>
    <w:rsid w:val="003B2538"/>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17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C30"/>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F0B"/>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3BA9"/>
    <w:rsid w:val="004E4003"/>
    <w:rsid w:val="004E4571"/>
    <w:rsid w:val="004E4626"/>
    <w:rsid w:val="004E4984"/>
    <w:rsid w:val="004E5101"/>
    <w:rsid w:val="004E5380"/>
    <w:rsid w:val="004E6746"/>
    <w:rsid w:val="004E6CAC"/>
    <w:rsid w:val="004E6F69"/>
    <w:rsid w:val="004E75C1"/>
    <w:rsid w:val="004E777F"/>
    <w:rsid w:val="004F07F2"/>
    <w:rsid w:val="004F07F9"/>
    <w:rsid w:val="004F08A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8E5"/>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46B"/>
    <w:rsid w:val="00550AC5"/>
    <w:rsid w:val="00550B7E"/>
    <w:rsid w:val="00551052"/>
    <w:rsid w:val="005524ED"/>
    <w:rsid w:val="00553241"/>
    <w:rsid w:val="00553F91"/>
    <w:rsid w:val="00554007"/>
    <w:rsid w:val="00554C03"/>
    <w:rsid w:val="00554C58"/>
    <w:rsid w:val="00554D5D"/>
    <w:rsid w:val="005550F9"/>
    <w:rsid w:val="00556338"/>
    <w:rsid w:val="00556441"/>
    <w:rsid w:val="00557031"/>
    <w:rsid w:val="00557DB0"/>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67CB7"/>
    <w:rsid w:val="005701C2"/>
    <w:rsid w:val="00570763"/>
    <w:rsid w:val="0057200B"/>
    <w:rsid w:val="00572297"/>
    <w:rsid w:val="0057345D"/>
    <w:rsid w:val="0057347D"/>
    <w:rsid w:val="00573560"/>
    <w:rsid w:val="00574CA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2BA"/>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492"/>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5FE"/>
    <w:rsid w:val="00600DE1"/>
    <w:rsid w:val="00601506"/>
    <w:rsid w:val="00601596"/>
    <w:rsid w:val="00601C92"/>
    <w:rsid w:val="00601F66"/>
    <w:rsid w:val="0060200D"/>
    <w:rsid w:val="00602764"/>
    <w:rsid w:val="00602B29"/>
    <w:rsid w:val="00602DAD"/>
    <w:rsid w:val="00603373"/>
    <w:rsid w:val="00603615"/>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2C8"/>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F23"/>
    <w:rsid w:val="006241E9"/>
    <w:rsid w:val="00625008"/>
    <w:rsid w:val="0062548B"/>
    <w:rsid w:val="0062618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882"/>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A5E"/>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875"/>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5B6"/>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63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241"/>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B3F"/>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126B"/>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A81"/>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0EE7"/>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2FB7"/>
    <w:rsid w:val="008654D0"/>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940"/>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F8"/>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5F68"/>
    <w:rsid w:val="008D70D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935"/>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3D2"/>
    <w:rsid w:val="00925A3E"/>
    <w:rsid w:val="009261DB"/>
    <w:rsid w:val="00926939"/>
    <w:rsid w:val="00926F4C"/>
    <w:rsid w:val="00927330"/>
    <w:rsid w:val="00927710"/>
    <w:rsid w:val="009307CA"/>
    <w:rsid w:val="00930AC8"/>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534C"/>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4849"/>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51"/>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477"/>
    <w:rsid w:val="009A1ECA"/>
    <w:rsid w:val="009A2BE9"/>
    <w:rsid w:val="009A2BF3"/>
    <w:rsid w:val="009A33AB"/>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D5E"/>
    <w:rsid w:val="009C3BC4"/>
    <w:rsid w:val="009C3C93"/>
    <w:rsid w:val="009C3E97"/>
    <w:rsid w:val="009C4017"/>
    <w:rsid w:val="009C424E"/>
    <w:rsid w:val="009C4708"/>
    <w:rsid w:val="009C4870"/>
    <w:rsid w:val="009C4C4E"/>
    <w:rsid w:val="009C4D37"/>
    <w:rsid w:val="009C4D70"/>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52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1BAA"/>
    <w:rsid w:val="00A0207F"/>
    <w:rsid w:val="00A021AF"/>
    <w:rsid w:val="00A027B1"/>
    <w:rsid w:val="00A0307A"/>
    <w:rsid w:val="00A03A7C"/>
    <w:rsid w:val="00A044AA"/>
    <w:rsid w:val="00A0700C"/>
    <w:rsid w:val="00A07B3F"/>
    <w:rsid w:val="00A102F8"/>
    <w:rsid w:val="00A10A20"/>
    <w:rsid w:val="00A10D7F"/>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5F4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4B6C"/>
    <w:rsid w:val="00A458A1"/>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290"/>
    <w:rsid w:val="00A94A32"/>
    <w:rsid w:val="00A94AFC"/>
    <w:rsid w:val="00A94B4E"/>
    <w:rsid w:val="00A94BF5"/>
    <w:rsid w:val="00A954F8"/>
    <w:rsid w:val="00A962AE"/>
    <w:rsid w:val="00A9686A"/>
    <w:rsid w:val="00A96B4A"/>
    <w:rsid w:val="00A97BDA"/>
    <w:rsid w:val="00AA043A"/>
    <w:rsid w:val="00AA0779"/>
    <w:rsid w:val="00AA08F3"/>
    <w:rsid w:val="00AA0A7E"/>
    <w:rsid w:val="00AA0EB5"/>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D13"/>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026"/>
    <w:rsid w:val="00B241D5"/>
    <w:rsid w:val="00B24BE9"/>
    <w:rsid w:val="00B252D4"/>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5C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C2A"/>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171A"/>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3E81"/>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4EE"/>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7CD"/>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044A"/>
    <w:rsid w:val="00DC1395"/>
    <w:rsid w:val="00DC1783"/>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3D36"/>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49A"/>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74E"/>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1E51"/>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57C6"/>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275"/>
    <w:rsid w:val="00EC7371"/>
    <w:rsid w:val="00EC73F5"/>
    <w:rsid w:val="00EC7894"/>
    <w:rsid w:val="00EC7A28"/>
    <w:rsid w:val="00EC7B48"/>
    <w:rsid w:val="00ED0151"/>
    <w:rsid w:val="00ED0257"/>
    <w:rsid w:val="00ED071B"/>
    <w:rsid w:val="00ED18B1"/>
    <w:rsid w:val="00ED1ADE"/>
    <w:rsid w:val="00ED1FAC"/>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BDC"/>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61D"/>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3D84"/>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9C9"/>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A7E"/>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6089"/>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560"/>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960A0"/>
    <w:rsid w:val="011F14BC"/>
    <w:rsid w:val="011F6449"/>
    <w:rsid w:val="01236AFB"/>
    <w:rsid w:val="01554136"/>
    <w:rsid w:val="019F7441"/>
    <w:rsid w:val="01A27B61"/>
    <w:rsid w:val="01B37585"/>
    <w:rsid w:val="01D55165"/>
    <w:rsid w:val="01DF6BF8"/>
    <w:rsid w:val="01EC2C57"/>
    <w:rsid w:val="02343F5E"/>
    <w:rsid w:val="025F0711"/>
    <w:rsid w:val="026B2E25"/>
    <w:rsid w:val="02824D4D"/>
    <w:rsid w:val="02B20720"/>
    <w:rsid w:val="02B41179"/>
    <w:rsid w:val="02DC4B10"/>
    <w:rsid w:val="02DD76CE"/>
    <w:rsid w:val="02F36323"/>
    <w:rsid w:val="02F5619C"/>
    <w:rsid w:val="031C3AEF"/>
    <w:rsid w:val="0326446A"/>
    <w:rsid w:val="032C447B"/>
    <w:rsid w:val="032D5555"/>
    <w:rsid w:val="036634D2"/>
    <w:rsid w:val="03DD35E4"/>
    <w:rsid w:val="04076900"/>
    <w:rsid w:val="041A5A3B"/>
    <w:rsid w:val="042311BA"/>
    <w:rsid w:val="042B157A"/>
    <w:rsid w:val="048F763B"/>
    <w:rsid w:val="049F330E"/>
    <w:rsid w:val="04AA775C"/>
    <w:rsid w:val="04AF1889"/>
    <w:rsid w:val="04CB4958"/>
    <w:rsid w:val="04E166A1"/>
    <w:rsid w:val="04E606FF"/>
    <w:rsid w:val="04F66F48"/>
    <w:rsid w:val="05251612"/>
    <w:rsid w:val="05251E14"/>
    <w:rsid w:val="05286359"/>
    <w:rsid w:val="05370A92"/>
    <w:rsid w:val="057B6FFB"/>
    <w:rsid w:val="058B0603"/>
    <w:rsid w:val="05A16594"/>
    <w:rsid w:val="05A7762D"/>
    <w:rsid w:val="05C475C7"/>
    <w:rsid w:val="060E5941"/>
    <w:rsid w:val="06110FAF"/>
    <w:rsid w:val="062122D7"/>
    <w:rsid w:val="06304B86"/>
    <w:rsid w:val="06493CA7"/>
    <w:rsid w:val="065559D8"/>
    <w:rsid w:val="065A6178"/>
    <w:rsid w:val="066F1CF3"/>
    <w:rsid w:val="067C4B89"/>
    <w:rsid w:val="06930BB8"/>
    <w:rsid w:val="07245D42"/>
    <w:rsid w:val="07264C62"/>
    <w:rsid w:val="0779354C"/>
    <w:rsid w:val="07862A0D"/>
    <w:rsid w:val="07AE00BF"/>
    <w:rsid w:val="08061376"/>
    <w:rsid w:val="08452D77"/>
    <w:rsid w:val="086401F8"/>
    <w:rsid w:val="08751CAA"/>
    <w:rsid w:val="087E4C40"/>
    <w:rsid w:val="08800031"/>
    <w:rsid w:val="08A4570F"/>
    <w:rsid w:val="08A871D0"/>
    <w:rsid w:val="08D66AD6"/>
    <w:rsid w:val="08D73C2F"/>
    <w:rsid w:val="08DA33A3"/>
    <w:rsid w:val="08E80F13"/>
    <w:rsid w:val="09241316"/>
    <w:rsid w:val="09335624"/>
    <w:rsid w:val="0944690F"/>
    <w:rsid w:val="09535675"/>
    <w:rsid w:val="095F057D"/>
    <w:rsid w:val="09642282"/>
    <w:rsid w:val="09733572"/>
    <w:rsid w:val="09772C16"/>
    <w:rsid w:val="098353B5"/>
    <w:rsid w:val="09A92330"/>
    <w:rsid w:val="09B06B87"/>
    <w:rsid w:val="09C13146"/>
    <w:rsid w:val="09E04166"/>
    <w:rsid w:val="0A0A64F2"/>
    <w:rsid w:val="0A1C0718"/>
    <w:rsid w:val="0A3E7710"/>
    <w:rsid w:val="0A5B7E63"/>
    <w:rsid w:val="0AA374A5"/>
    <w:rsid w:val="0AAB7649"/>
    <w:rsid w:val="0ABC5606"/>
    <w:rsid w:val="0B1225DD"/>
    <w:rsid w:val="0B30404E"/>
    <w:rsid w:val="0B4C6C14"/>
    <w:rsid w:val="0B543136"/>
    <w:rsid w:val="0B547599"/>
    <w:rsid w:val="0B631A88"/>
    <w:rsid w:val="0B683D45"/>
    <w:rsid w:val="0B715FB8"/>
    <w:rsid w:val="0B7F3F11"/>
    <w:rsid w:val="0B884417"/>
    <w:rsid w:val="0BF6188C"/>
    <w:rsid w:val="0BF73C91"/>
    <w:rsid w:val="0C170175"/>
    <w:rsid w:val="0C571A41"/>
    <w:rsid w:val="0C5C1171"/>
    <w:rsid w:val="0C5E1CBC"/>
    <w:rsid w:val="0C615B50"/>
    <w:rsid w:val="0C8445DA"/>
    <w:rsid w:val="0C87121B"/>
    <w:rsid w:val="0CA21533"/>
    <w:rsid w:val="0CBA522F"/>
    <w:rsid w:val="0CC007F7"/>
    <w:rsid w:val="0CC617AC"/>
    <w:rsid w:val="0CE618DF"/>
    <w:rsid w:val="0CEE2400"/>
    <w:rsid w:val="0CFE707A"/>
    <w:rsid w:val="0D063BDA"/>
    <w:rsid w:val="0D08375F"/>
    <w:rsid w:val="0D184CFB"/>
    <w:rsid w:val="0D4A7419"/>
    <w:rsid w:val="0D681388"/>
    <w:rsid w:val="0D827401"/>
    <w:rsid w:val="0D84094E"/>
    <w:rsid w:val="0D8A00E9"/>
    <w:rsid w:val="0D8D589E"/>
    <w:rsid w:val="0DA01C73"/>
    <w:rsid w:val="0DA31657"/>
    <w:rsid w:val="0DD33D2E"/>
    <w:rsid w:val="0DD63300"/>
    <w:rsid w:val="0DF50604"/>
    <w:rsid w:val="0DF702FE"/>
    <w:rsid w:val="0E060E51"/>
    <w:rsid w:val="0E092C83"/>
    <w:rsid w:val="0E162E60"/>
    <w:rsid w:val="0E344CE7"/>
    <w:rsid w:val="0E361C9F"/>
    <w:rsid w:val="0E506059"/>
    <w:rsid w:val="0E5604B2"/>
    <w:rsid w:val="0E6D5D79"/>
    <w:rsid w:val="0E8F4521"/>
    <w:rsid w:val="0E9D0089"/>
    <w:rsid w:val="0EB803EE"/>
    <w:rsid w:val="0EF718EC"/>
    <w:rsid w:val="0EF94D4B"/>
    <w:rsid w:val="0F4958DC"/>
    <w:rsid w:val="0F515DF7"/>
    <w:rsid w:val="0F596BA8"/>
    <w:rsid w:val="0F6248D2"/>
    <w:rsid w:val="0F693536"/>
    <w:rsid w:val="0F7802CA"/>
    <w:rsid w:val="0F7B0511"/>
    <w:rsid w:val="0F7B76D9"/>
    <w:rsid w:val="0F816ACD"/>
    <w:rsid w:val="0F8368DE"/>
    <w:rsid w:val="0F9832DB"/>
    <w:rsid w:val="0FBF3FD2"/>
    <w:rsid w:val="0FBF7FF3"/>
    <w:rsid w:val="0FF9679B"/>
    <w:rsid w:val="10646583"/>
    <w:rsid w:val="107D4B15"/>
    <w:rsid w:val="108A3C80"/>
    <w:rsid w:val="10A76C2D"/>
    <w:rsid w:val="10C26171"/>
    <w:rsid w:val="10F33360"/>
    <w:rsid w:val="10FC16EA"/>
    <w:rsid w:val="110F1D40"/>
    <w:rsid w:val="11266F33"/>
    <w:rsid w:val="114C42F5"/>
    <w:rsid w:val="118963A1"/>
    <w:rsid w:val="119277D1"/>
    <w:rsid w:val="11AE6265"/>
    <w:rsid w:val="11C6522A"/>
    <w:rsid w:val="11E104CC"/>
    <w:rsid w:val="11E20309"/>
    <w:rsid w:val="11F44A58"/>
    <w:rsid w:val="11FC55E5"/>
    <w:rsid w:val="12083425"/>
    <w:rsid w:val="122523CB"/>
    <w:rsid w:val="12255233"/>
    <w:rsid w:val="12530213"/>
    <w:rsid w:val="127723A9"/>
    <w:rsid w:val="12862074"/>
    <w:rsid w:val="12883966"/>
    <w:rsid w:val="129E45B4"/>
    <w:rsid w:val="12A90FE6"/>
    <w:rsid w:val="12CB40ED"/>
    <w:rsid w:val="12CC0E8B"/>
    <w:rsid w:val="12D81596"/>
    <w:rsid w:val="13072A44"/>
    <w:rsid w:val="135F4BE2"/>
    <w:rsid w:val="136F6164"/>
    <w:rsid w:val="139B1A0A"/>
    <w:rsid w:val="139D25C7"/>
    <w:rsid w:val="13B14168"/>
    <w:rsid w:val="13BF3CE4"/>
    <w:rsid w:val="140B42E0"/>
    <w:rsid w:val="141008D8"/>
    <w:rsid w:val="14125FE6"/>
    <w:rsid w:val="146C6483"/>
    <w:rsid w:val="146D271E"/>
    <w:rsid w:val="14982588"/>
    <w:rsid w:val="149A5AD9"/>
    <w:rsid w:val="14A7619D"/>
    <w:rsid w:val="14B02116"/>
    <w:rsid w:val="14BD74B7"/>
    <w:rsid w:val="14C86864"/>
    <w:rsid w:val="14FB409E"/>
    <w:rsid w:val="150536C3"/>
    <w:rsid w:val="150A2574"/>
    <w:rsid w:val="150C1963"/>
    <w:rsid w:val="151447A0"/>
    <w:rsid w:val="15287D42"/>
    <w:rsid w:val="154A6454"/>
    <w:rsid w:val="156E5484"/>
    <w:rsid w:val="15762120"/>
    <w:rsid w:val="15972B36"/>
    <w:rsid w:val="15F97C18"/>
    <w:rsid w:val="16321C78"/>
    <w:rsid w:val="168D6C11"/>
    <w:rsid w:val="16A8729C"/>
    <w:rsid w:val="16B33777"/>
    <w:rsid w:val="16BC70A7"/>
    <w:rsid w:val="16C6339E"/>
    <w:rsid w:val="17152850"/>
    <w:rsid w:val="172F2D79"/>
    <w:rsid w:val="174D02DD"/>
    <w:rsid w:val="17557BEF"/>
    <w:rsid w:val="177D483A"/>
    <w:rsid w:val="179E323E"/>
    <w:rsid w:val="17C616DE"/>
    <w:rsid w:val="17D349C1"/>
    <w:rsid w:val="1830729E"/>
    <w:rsid w:val="1870062C"/>
    <w:rsid w:val="18817102"/>
    <w:rsid w:val="18830A15"/>
    <w:rsid w:val="18852B28"/>
    <w:rsid w:val="188B5321"/>
    <w:rsid w:val="18A77CE2"/>
    <w:rsid w:val="18D05BDE"/>
    <w:rsid w:val="19932372"/>
    <w:rsid w:val="19A20DD5"/>
    <w:rsid w:val="19AE03F1"/>
    <w:rsid w:val="1A071A03"/>
    <w:rsid w:val="1A197EAF"/>
    <w:rsid w:val="1A1F16AE"/>
    <w:rsid w:val="1A3B5C77"/>
    <w:rsid w:val="1A984BAD"/>
    <w:rsid w:val="1AB8220E"/>
    <w:rsid w:val="1AE4166C"/>
    <w:rsid w:val="1AF06CFB"/>
    <w:rsid w:val="1AF11B8D"/>
    <w:rsid w:val="1B11359C"/>
    <w:rsid w:val="1B2A271F"/>
    <w:rsid w:val="1B530544"/>
    <w:rsid w:val="1B6F1330"/>
    <w:rsid w:val="1B713184"/>
    <w:rsid w:val="1B8667AD"/>
    <w:rsid w:val="1BA209CF"/>
    <w:rsid w:val="1BA43EC8"/>
    <w:rsid w:val="1BA915CD"/>
    <w:rsid w:val="1BB4777D"/>
    <w:rsid w:val="1BD46692"/>
    <w:rsid w:val="1BD75AB8"/>
    <w:rsid w:val="1C0459C2"/>
    <w:rsid w:val="1C1B3B4A"/>
    <w:rsid w:val="1C61354E"/>
    <w:rsid w:val="1C88086E"/>
    <w:rsid w:val="1C923F00"/>
    <w:rsid w:val="1D266CE1"/>
    <w:rsid w:val="1D3963AF"/>
    <w:rsid w:val="1D6A673C"/>
    <w:rsid w:val="1D9247AE"/>
    <w:rsid w:val="1D965047"/>
    <w:rsid w:val="1DB567EC"/>
    <w:rsid w:val="1DF51A98"/>
    <w:rsid w:val="1E3D060F"/>
    <w:rsid w:val="1E3F7D2E"/>
    <w:rsid w:val="1E4134E4"/>
    <w:rsid w:val="1E50157B"/>
    <w:rsid w:val="1E5062B3"/>
    <w:rsid w:val="1E523514"/>
    <w:rsid w:val="1E59211C"/>
    <w:rsid w:val="1E714A66"/>
    <w:rsid w:val="1E802593"/>
    <w:rsid w:val="1E8B6156"/>
    <w:rsid w:val="1EA703CC"/>
    <w:rsid w:val="1EB7330C"/>
    <w:rsid w:val="1F0A0FF3"/>
    <w:rsid w:val="1F4F7BDD"/>
    <w:rsid w:val="1F5771FF"/>
    <w:rsid w:val="1F766649"/>
    <w:rsid w:val="1F8B07BA"/>
    <w:rsid w:val="1FE868A9"/>
    <w:rsid w:val="20034907"/>
    <w:rsid w:val="20173E4B"/>
    <w:rsid w:val="204E48BC"/>
    <w:rsid w:val="2057360E"/>
    <w:rsid w:val="208921B3"/>
    <w:rsid w:val="20973DEB"/>
    <w:rsid w:val="20B26522"/>
    <w:rsid w:val="20B44310"/>
    <w:rsid w:val="20EE5D31"/>
    <w:rsid w:val="211116EB"/>
    <w:rsid w:val="21245B8C"/>
    <w:rsid w:val="2146619B"/>
    <w:rsid w:val="214C6E70"/>
    <w:rsid w:val="215917B4"/>
    <w:rsid w:val="216133FC"/>
    <w:rsid w:val="219625F0"/>
    <w:rsid w:val="219F4F23"/>
    <w:rsid w:val="21D56769"/>
    <w:rsid w:val="21E52EF3"/>
    <w:rsid w:val="21FB5D7B"/>
    <w:rsid w:val="22015E94"/>
    <w:rsid w:val="220B1C3D"/>
    <w:rsid w:val="221D1D20"/>
    <w:rsid w:val="22334A87"/>
    <w:rsid w:val="2235765A"/>
    <w:rsid w:val="22BE6801"/>
    <w:rsid w:val="23045B0C"/>
    <w:rsid w:val="233500BF"/>
    <w:rsid w:val="23377FF7"/>
    <w:rsid w:val="235D7A25"/>
    <w:rsid w:val="236B425F"/>
    <w:rsid w:val="23836192"/>
    <w:rsid w:val="23901F29"/>
    <w:rsid w:val="239C0061"/>
    <w:rsid w:val="23B908A4"/>
    <w:rsid w:val="23E95BEF"/>
    <w:rsid w:val="23FD0064"/>
    <w:rsid w:val="23FE2473"/>
    <w:rsid w:val="23FF5797"/>
    <w:rsid w:val="245375B0"/>
    <w:rsid w:val="24574279"/>
    <w:rsid w:val="24642C0A"/>
    <w:rsid w:val="249228B4"/>
    <w:rsid w:val="24B22173"/>
    <w:rsid w:val="24B95AD9"/>
    <w:rsid w:val="24BE24DA"/>
    <w:rsid w:val="24CF5825"/>
    <w:rsid w:val="24D663E6"/>
    <w:rsid w:val="24D77F2B"/>
    <w:rsid w:val="24F93BF5"/>
    <w:rsid w:val="25301D1A"/>
    <w:rsid w:val="254B5F01"/>
    <w:rsid w:val="258B00E2"/>
    <w:rsid w:val="258B5680"/>
    <w:rsid w:val="25A917A6"/>
    <w:rsid w:val="25BE27CC"/>
    <w:rsid w:val="25C93661"/>
    <w:rsid w:val="25E37813"/>
    <w:rsid w:val="25F74A5C"/>
    <w:rsid w:val="2628662C"/>
    <w:rsid w:val="262D45DE"/>
    <w:rsid w:val="263D07E2"/>
    <w:rsid w:val="2659262D"/>
    <w:rsid w:val="26871DC8"/>
    <w:rsid w:val="26933BB3"/>
    <w:rsid w:val="26A53EF9"/>
    <w:rsid w:val="26A94201"/>
    <w:rsid w:val="26AC274F"/>
    <w:rsid w:val="26C365A6"/>
    <w:rsid w:val="27044A29"/>
    <w:rsid w:val="271D34C8"/>
    <w:rsid w:val="27451133"/>
    <w:rsid w:val="276142BF"/>
    <w:rsid w:val="27783712"/>
    <w:rsid w:val="27907362"/>
    <w:rsid w:val="27F47A82"/>
    <w:rsid w:val="28326218"/>
    <w:rsid w:val="28333E1D"/>
    <w:rsid w:val="28454BD6"/>
    <w:rsid w:val="28455253"/>
    <w:rsid w:val="28551971"/>
    <w:rsid w:val="285B1C53"/>
    <w:rsid w:val="289F7086"/>
    <w:rsid w:val="28C32028"/>
    <w:rsid w:val="28CC490F"/>
    <w:rsid w:val="28DE1EE5"/>
    <w:rsid w:val="28DE40AA"/>
    <w:rsid w:val="29345E77"/>
    <w:rsid w:val="29457465"/>
    <w:rsid w:val="294C65AD"/>
    <w:rsid w:val="29806583"/>
    <w:rsid w:val="298B3C4C"/>
    <w:rsid w:val="29A34A46"/>
    <w:rsid w:val="29F26D24"/>
    <w:rsid w:val="2A15033F"/>
    <w:rsid w:val="2A1662C1"/>
    <w:rsid w:val="2A1C7367"/>
    <w:rsid w:val="2A1E1CD3"/>
    <w:rsid w:val="2A2815FA"/>
    <w:rsid w:val="2A666FDA"/>
    <w:rsid w:val="2A6D6092"/>
    <w:rsid w:val="2A7D76B4"/>
    <w:rsid w:val="2A8A61D9"/>
    <w:rsid w:val="2AEE35D3"/>
    <w:rsid w:val="2B437463"/>
    <w:rsid w:val="2B7807EE"/>
    <w:rsid w:val="2B8B69E1"/>
    <w:rsid w:val="2BA50BF7"/>
    <w:rsid w:val="2BBF00EC"/>
    <w:rsid w:val="2BC37CFD"/>
    <w:rsid w:val="2BD5237F"/>
    <w:rsid w:val="2BE536CE"/>
    <w:rsid w:val="2BE758D9"/>
    <w:rsid w:val="2BF53AC1"/>
    <w:rsid w:val="2C09049E"/>
    <w:rsid w:val="2C0A653C"/>
    <w:rsid w:val="2C191F85"/>
    <w:rsid w:val="2C226A0E"/>
    <w:rsid w:val="2C2E01B6"/>
    <w:rsid w:val="2C58303B"/>
    <w:rsid w:val="2C7E756F"/>
    <w:rsid w:val="2CE82D6F"/>
    <w:rsid w:val="2D343236"/>
    <w:rsid w:val="2D7C7C95"/>
    <w:rsid w:val="2DD15014"/>
    <w:rsid w:val="2DD433CB"/>
    <w:rsid w:val="2DF72DE4"/>
    <w:rsid w:val="2E0220AF"/>
    <w:rsid w:val="2E397B11"/>
    <w:rsid w:val="2E4B082A"/>
    <w:rsid w:val="2E5D4E86"/>
    <w:rsid w:val="2E5D790B"/>
    <w:rsid w:val="2E9A3C18"/>
    <w:rsid w:val="2EBB0FEE"/>
    <w:rsid w:val="2EC63002"/>
    <w:rsid w:val="2F0A6B38"/>
    <w:rsid w:val="2F1331CC"/>
    <w:rsid w:val="2F2C085A"/>
    <w:rsid w:val="2F3A2239"/>
    <w:rsid w:val="2F946CCB"/>
    <w:rsid w:val="2FB60701"/>
    <w:rsid w:val="2FD25781"/>
    <w:rsid w:val="2FDC745C"/>
    <w:rsid w:val="2FFD7934"/>
    <w:rsid w:val="303E7D85"/>
    <w:rsid w:val="30733ACD"/>
    <w:rsid w:val="308C3862"/>
    <w:rsid w:val="309379D8"/>
    <w:rsid w:val="30A270F7"/>
    <w:rsid w:val="30AD7C37"/>
    <w:rsid w:val="30DF1478"/>
    <w:rsid w:val="30EC2A34"/>
    <w:rsid w:val="30EC586F"/>
    <w:rsid w:val="313A7B73"/>
    <w:rsid w:val="31597945"/>
    <w:rsid w:val="317E3C54"/>
    <w:rsid w:val="319C6071"/>
    <w:rsid w:val="31AC537E"/>
    <w:rsid w:val="31CA439B"/>
    <w:rsid w:val="31CE290E"/>
    <w:rsid w:val="31E3679B"/>
    <w:rsid w:val="31E732FD"/>
    <w:rsid w:val="32517576"/>
    <w:rsid w:val="32AA5FBD"/>
    <w:rsid w:val="32BE5C2C"/>
    <w:rsid w:val="32FB6478"/>
    <w:rsid w:val="32FE6578"/>
    <w:rsid w:val="331B2D21"/>
    <w:rsid w:val="33263B3F"/>
    <w:rsid w:val="336963EB"/>
    <w:rsid w:val="33816EEB"/>
    <w:rsid w:val="33CE091A"/>
    <w:rsid w:val="33DF1229"/>
    <w:rsid w:val="33EB55CD"/>
    <w:rsid w:val="33EC4C02"/>
    <w:rsid w:val="33F25072"/>
    <w:rsid w:val="33F976BE"/>
    <w:rsid w:val="340D2360"/>
    <w:rsid w:val="3410665D"/>
    <w:rsid w:val="34211214"/>
    <w:rsid w:val="342E63AB"/>
    <w:rsid w:val="345F1D4F"/>
    <w:rsid w:val="349258B5"/>
    <w:rsid w:val="34950E68"/>
    <w:rsid w:val="34986E94"/>
    <w:rsid w:val="34AF62C9"/>
    <w:rsid w:val="34B230DD"/>
    <w:rsid w:val="34CB4388"/>
    <w:rsid w:val="34FA6E12"/>
    <w:rsid w:val="354874A0"/>
    <w:rsid w:val="354D7158"/>
    <w:rsid w:val="358D5588"/>
    <w:rsid w:val="363A3B40"/>
    <w:rsid w:val="365302AE"/>
    <w:rsid w:val="36607A0A"/>
    <w:rsid w:val="366E227C"/>
    <w:rsid w:val="366F2E0D"/>
    <w:rsid w:val="367B6A5C"/>
    <w:rsid w:val="36A74ADA"/>
    <w:rsid w:val="36AD60D5"/>
    <w:rsid w:val="36B17392"/>
    <w:rsid w:val="36B224F9"/>
    <w:rsid w:val="36EC0CC9"/>
    <w:rsid w:val="3733591A"/>
    <w:rsid w:val="373F410B"/>
    <w:rsid w:val="37A561E0"/>
    <w:rsid w:val="37EE7094"/>
    <w:rsid w:val="38155364"/>
    <w:rsid w:val="38295E03"/>
    <w:rsid w:val="38296C89"/>
    <w:rsid w:val="383002EB"/>
    <w:rsid w:val="3840121B"/>
    <w:rsid w:val="38586797"/>
    <w:rsid w:val="387763B6"/>
    <w:rsid w:val="38BC0149"/>
    <w:rsid w:val="38CA7B90"/>
    <w:rsid w:val="38D87D1C"/>
    <w:rsid w:val="38DF0A2C"/>
    <w:rsid w:val="39076A76"/>
    <w:rsid w:val="39636459"/>
    <w:rsid w:val="396B7F6C"/>
    <w:rsid w:val="39B417A9"/>
    <w:rsid w:val="39D40453"/>
    <w:rsid w:val="39FC5695"/>
    <w:rsid w:val="3A006D8E"/>
    <w:rsid w:val="3A2E4CC2"/>
    <w:rsid w:val="3A3546C3"/>
    <w:rsid w:val="3A3651E5"/>
    <w:rsid w:val="3A39522C"/>
    <w:rsid w:val="3A744481"/>
    <w:rsid w:val="3A843E98"/>
    <w:rsid w:val="3A8C7BEF"/>
    <w:rsid w:val="3A906246"/>
    <w:rsid w:val="3AE73652"/>
    <w:rsid w:val="3B1948AF"/>
    <w:rsid w:val="3B2349B7"/>
    <w:rsid w:val="3B3520E9"/>
    <w:rsid w:val="3B431423"/>
    <w:rsid w:val="3B5D54BE"/>
    <w:rsid w:val="3B616CFF"/>
    <w:rsid w:val="3B6259F6"/>
    <w:rsid w:val="3B976654"/>
    <w:rsid w:val="3BC01EFC"/>
    <w:rsid w:val="3BCA786A"/>
    <w:rsid w:val="3BD31E2F"/>
    <w:rsid w:val="3BF15831"/>
    <w:rsid w:val="3C105946"/>
    <w:rsid w:val="3C155601"/>
    <w:rsid w:val="3C471448"/>
    <w:rsid w:val="3C4B27E2"/>
    <w:rsid w:val="3C547E1C"/>
    <w:rsid w:val="3C5F759A"/>
    <w:rsid w:val="3C6C525A"/>
    <w:rsid w:val="3C7A5A6C"/>
    <w:rsid w:val="3C7D23A6"/>
    <w:rsid w:val="3CCE23CB"/>
    <w:rsid w:val="3CD17D17"/>
    <w:rsid w:val="3D3C7F39"/>
    <w:rsid w:val="3D440F09"/>
    <w:rsid w:val="3D4504A0"/>
    <w:rsid w:val="3D4A736D"/>
    <w:rsid w:val="3D8734BB"/>
    <w:rsid w:val="3D9A11D4"/>
    <w:rsid w:val="3DA16D89"/>
    <w:rsid w:val="3DA364BE"/>
    <w:rsid w:val="3DB60664"/>
    <w:rsid w:val="3DE041CB"/>
    <w:rsid w:val="3DE37981"/>
    <w:rsid w:val="3DF96EDE"/>
    <w:rsid w:val="3E06649E"/>
    <w:rsid w:val="3E0D48F6"/>
    <w:rsid w:val="3E1868B4"/>
    <w:rsid w:val="3E377251"/>
    <w:rsid w:val="3E42664B"/>
    <w:rsid w:val="3E5A7334"/>
    <w:rsid w:val="3E71151B"/>
    <w:rsid w:val="3E7B5D6B"/>
    <w:rsid w:val="3E843E66"/>
    <w:rsid w:val="3E886B1F"/>
    <w:rsid w:val="3E8F51FE"/>
    <w:rsid w:val="3E926F87"/>
    <w:rsid w:val="3E9A59DE"/>
    <w:rsid w:val="3EAF4836"/>
    <w:rsid w:val="3EC33DFA"/>
    <w:rsid w:val="3F060E16"/>
    <w:rsid w:val="3F1D1096"/>
    <w:rsid w:val="3F2F0234"/>
    <w:rsid w:val="3F5421FE"/>
    <w:rsid w:val="3F6363FE"/>
    <w:rsid w:val="3F756B8F"/>
    <w:rsid w:val="3F95482B"/>
    <w:rsid w:val="3FFA759E"/>
    <w:rsid w:val="40154B4D"/>
    <w:rsid w:val="4019356B"/>
    <w:rsid w:val="4023063D"/>
    <w:rsid w:val="40592157"/>
    <w:rsid w:val="406E1CAE"/>
    <w:rsid w:val="40A0133A"/>
    <w:rsid w:val="40C31A53"/>
    <w:rsid w:val="40FF545D"/>
    <w:rsid w:val="410067C8"/>
    <w:rsid w:val="412F7FE8"/>
    <w:rsid w:val="41887200"/>
    <w:rsid w:val="418F0D2A"/>
    <w:rsid w:val="41D01505"/>
    <w:rsid w:val="42474939"/>
    <w:rsid w:val="424C3C57"/>
    <w:rsid w:val="425402BB"/>
    <w:rsid w:val="42613FF3"/>
    <w:rsid w:val="42660D96"/>
    <w:rsid w:val="428667D2"/>
    <w:rsid w:val="42880446"/>
    <w:rsid w:val="42CC01E9"/>
    <w:rsid w:val="42CD1CE0"/>
    <w:rsid w:val="42E1381E"/>
    <w:rsid w:val="42ED6459"/>
    <w:rsid w:val="42F17C42"/>
    <w:rsid w:val="42FB7084"/>
    <w:rsid w:val="42FE58DD"/>
    <w:rsid w:val="43174B3D"/>
    <w:rsid w:val="43412009"/>
    <w:rsid w:val="434B790E"/>
    <w:rsid w:val="4360274F"/>
    <w:rsid w:val="437E0832"/>
    <w:rsid w:val="43977AB6"/>
    <w:rsid w:val="43A3342B"/>
    <w:rsid w:val="43C77C27"/>
    <w:rsid w:val="43CC211F"/>
    <w:rsid w:val="43DE09EE"/>
    <w:rsid w:val="44002FAD"/>
    <w:rsid w:val="44137675"/>
    <w:rsid w:val="44840FCB"/>
    <w:rsid w:val="449101DD"/>
    <w:rsid w:val="44921153"/>
    <w:rsid w:val="44D77513"/>
    <w:rsid w:val="44DE1391"/>
    <w:rsid w:val="44F329AB"/>
    <w:rsid w:val="451B225C"/>
    <w:rsid w:val="451D3FAE"/>
    <w:rsid w:val="452410C9"/>
    <w:rsid w:val="45317DFB"/>
    <w:rsid w:val="456D3CE4"/>
    <w:rsid w:val="4579042C"/>
    <w:rsid w:val="457F0571"/>
    <w:rsid w:val="45851176"/>
    <w:rsid w:val="45BC5762"/>
    <w:rsid w:val="45C51D09"/>
    <w:rsid w:val="45C63B94"/>
    <w:rsid w:val="45CC5962"/>
    <w:rsid w:val="460E7DA5"/>
    <w:rsid w:val="461737AA"/>
    <w:rsid w:val="46183EA8"/>
    <w:rsid w:val="46422483"/>
    <w:rsid w:val="4659254A"/>
    <w:rsid w:val="465B0637"/>
    <w:rsid w:val="465E3F0D"/>
    <w:rsid w:val="466A16E6"/>
    <w:rsid w:val="46893F2B"/>
    <w:rsid w:val="46C4686E"/>
    <w:rsid w:val="46EA4B94"/>
    <w:rsid w:val="471A5861"/>
    <w:rsid w:val="471D56EA"/>
    <w:rsid w:val="477B778F"/>
    <w:rsid w:val="478203EC"/>
    <w:rsid w:val="47867474"/>
    <w:rsid w:val="47B025FA"/>
    <w:rsid w:val="47C1655C"/>
    <w:rsid w:val="47EE730C"/>
    <w:rsid w:val="480756E2"/>
    <w:rsid w:val="4809698F"/>
    <w:rsid w:val="4811697D"/>
    <w:rsid w:val="487A3E25"/>
    <w:rsid w:val="488B5503"/>
    <w:rsid w:val="48937E21"/>
    <w:rsid w:val="489A0361"/>
    <w:rsid w:val="48B94FF3"/>
    <w:rsid w:val="48CD45B6"/>
    <w:rsid w:val="48D06B18"/>
    <w:rsid w:val="48E37AAB"/>
    <w:rsid w:val="48E9022E"/>
    <w:rsid w:val="48FD4B4C"/>
    <w:rsid w:val="490A68E0"/>
    <w:rsid w:val="491055FE"/>
    <w:rsid w:val="494E7DA5"/>
    <w:rsid w:val="495F5B3E"/>
    <w:rsid w:val="496F77D7"/>
    <w:rsid w:val="497654FD"/>
    <w:rsid w:val="49B64211"/>
    <w:rsid w:val="49F6167F"/>
    <w:rsid w:val="4A064FA0"/>
    <w:rsid w:val="4A16615C"/>
    <w:rsid w:val="4A3E7F2D"/>
    <w:rsid w:val="4A437B85"/>
    <w:rsid w:val="4A4424D7"/>
    <w:rsid w:val="4A452991"/>
    <w:rsid w:val="4A720A4F"/>
    <w:rsid w:val="4AB82D0F"/>
    <w:rsid w:val="4AE75728"/>
    <w:rsid w:val="4AEB7664"/>
    <w:rsid w:val="4AFD7C19"/>
    <w:rsid w:val="4B005029"/>
    <w:rsid w:val="4B0567D1"/>
    <w:rsid w:val="4B236AAE"/>
    <w:rsid w:val="4B707271"/>
    <w:rsid w:val="4B9739F7"/>
    <w:rsid w:val="4BEE2503"/>
    <w:rsid w:val="4C0D3F21"/>
    <w:rsid w:val="4C1877DB"/>
    <w:rsid w:val="4C245A30"/>
    <w:rsid w:val="4C3677AE"/>
    <w:rsid w:val="4CB6685F"/>
    <w:rsid w:val="4CC367FE"/>
    <w:rsid w:val="4CEC664C"/>
    <w:rsid w:val="4D077F3C"/>
    <w:rsid w:val="4D123355"/>
    <w:rsid w:val="4D2A3B31"/>
    <w:rsid w:val="4D312C52"/>
    <w:rsid w:val="4D905305"/>
    <w:rsid w:val="4D964A72"/>
    <w:rsid w:val="4D9C1254"/>
    <w:rsid w:val="4DE92FBF"/>
    <w:rsid w:val="4DFD2A74"/>
    <w:rsid w:val="4E0C0654"/>
    <w:rsid w:val="4E793892"/>
    <w:rsid w:val="4E800872"/>
    <w:rsid w:val="4E8F4105"/>
    <w:rsid w:val="4EC569ED"/>
    <w:rsid w:val="4EC86B11"/>
    <w:rsid w:val="4ED50EA1"/>
    <w:rsid w:val="4EEC050C"/>
    <w:rsid w:val="4F0A7005"/>
    <w:rsid w:val="4F104EC3"/>
    <w:rsid w:val="4F47354A"/>
    <w:rsid w:val="4F475EF4"/>
    <w:rsid w:val="4F48343E"/>
    <w:rsid w:val="4F4A03F8"/>
    <w:rsid w:val="4F911C54"/>
    <w:rsid w:val="4FE625E0"/>
    <w:rsid w:val="4FF26843"/>
    <w:rsid w:val="5021480F"/>
    <w:rsid w:val="50260A6B"/>
    <w:rsid w:val="50962ECB"/>
    <w:rsid w:val="50A42E38"/>
    <w:rsid w:val="50A4577F"/>
    <w:rsid w:val="50B73D1F"/>
    <w:rsid w:val="50BD5BC9"/>
    <w:rsid w:val="50C11EEE"/>
    <w:rsid w:val="50E97CFC"/>
    <w:rsid w:val="50FA4028"/>
    <w:rsid w:val="510D65B7"/>
    <w:rsid w:val="511157AB"/>
    <w:rsid w:val="5142540C"/>
    <w:rsid w:val="51772131"/>
    <w:rsid w:val="51773B6B"/>
    <w:rsid w:val="518832C8"/>
    <w:rsid w:val="519D3C50"/>
    <w:rsid w:val="51A0432A"/>
    <w:rsid w:val="51A86090"/>
    <w:rsid w:val="51B7396D"/>
    <w:rsid w:val="51D80097"/>
    <w:rsid w:val="522E4CC3"/>
    <w:rsid w:val="5244713B"/>
    <w:rsid w:val="525D6120"/>
    <w:rsid w:val="52615633"/>
    <w:rsid w:val="526F4DE4"/>
    <w:rsid w:val="52752898"/>
    <w:rsid w:val="52977FD4"/>
    <w:rsid w:val="52A25790"/>
    <w:rsid w:val="52A96B6F"/>
    <w:rsid w:val="52B45975"/>
    <w:rsid w:val="52BE095F"/>
    <w:rsid w:val="52D94AA4"/>
    <w:rsid w:val="52EA3A62"/>
    <w:rsid w:val="52F50BB8"/>
    <w:rsid w:val="53097272"/>
    <w:rsid w:val="530A20FB"/>
    <w:rsid w:val="53142E54"/>
    <w:rsid w:val="531D1B76"/>
    <w:rsid w:val="532F0697"/>
    <w:rsid w:val="534D3DF0"/>
    <w:rsid w:val="53544462"/>
    <w:rsid w:val="5395461B"/>
    <w:rsid w:val="5397158E"/>
    <w:rsid w:val="53982860"/>
    <w:rsid w:val="54013861"/>
    <w:rsid w:val="54334D27"/>
    <w:rsid w:val="543A2D37"/>
    <w:rsid w:val="54487265"/>
    <w:rsid w:val="544D6070"/>
    <w:rsid w:val="544D740D"/>
    <w:rsid w:val="54605E1E"/>
    <w:rsid w:val="54672F42"/>
    <w:rsid w:val="54B2697F"/>
    <w:rsid w:val="54B3506A"/>
    <w:rsid w:val="54CA0D16"/>
    <w:rsid w:val="54DD4057"/>
    <w:rsid w:val="54E7490F"/>
    <w:rsid w:val="55044754"/>
    <w:rsid w:val="550764A4"/>
    <w:rsid w:val="550B2BF6"/>
    <w:rsid w:val="55214EB5"/>
    <w:rsid w:val="55364EFD"/>
    <w:rsid w:val="555D4828"/>
    <w:rsid w:val="557A4C8B"/>
    <w:rsid w:val="558931E1"/>
    <w:rsid w:val="55923347"/>
    <w:rsid w:val="55925180"/>
    <w:rsid w:val="55983B1B"/>
    <w:rsid w:val="55A8376B"/>
    <w:rsid w:val="55DC29B6"/>
    <w:rsid w:val="55DD4241"/>
    <w:rsid w:val="5634181F"/>
    <w:rsid w:val="565F118B"/>
    <w:rsid w:val="566B6D1E"/>
    <w:rsid w:val="56940D1B"/>
    <w:rsid w:val="57032A2C"/>
    <w:rsid w:val="570F5219"/>
    <w:rsid w:val="572B375B"/>
    <w:rsid w:val="574B4E5A"/>
    <w:rsid w:val="575D12B5"/>
    <w:rsid w:val="57610A87"/>
    <w:rsid w:val="577B1140"/>
    <w:rsid w:val="577B7F21"/>
    <w:rsid w:val="577F181B"/>
    <w:rsid w:val="57921984"/>
    <w:rsid w:val="579737F0"/>
    <w:rsid w:val="57A86B08"/>
    <w:rsid w:val="57AB7B30"/>
    <w:rsid w:val="57AF5251"/>
    <w:rsid w:val="57B26373"/>
    <w:rsid w:val="57B63F04"/>
    <w:rsid w:val="57CD20C2"/>
    <w:rsid w:val="57D675AB"/>
    <w:rsid w:val="57D95FDD"/>
    <w:rsid w:val="57E7007E"/>
    <w:rsid w:val="58917D2F"/>
    <w:rsid w:val="5894085C"/>
    <w:rsid w:val="58AE4F0C"/>
    <w:rsid w:val="58B85899"/>
    <w:rsid w:val="58E363A9"/>
    <w:rsid w:val="58EC7455"/>
    <w:rsid w:val="595E1678"/>
    <w:rsid w:val="596D5BD4"/>
    <w:rsid w:val="597E3DD8"/>
    <w:rsid w:val="598F426A"/>
    <w:rsid w:val="59B5011D"/>
    <w:rsid w:val="59CF0773"/>
    <w:rsid w:val="59F80043"/>
    <w:rsid w:val="5A09252F"/>
    <w:rsid w:val="5A0B2778"/>
    <w:rsid w:val="5A264659"/>
    <w:rsid w:val="5A2A7C7B"/>
    <w:rsid w:val="5A3D43FE"/>
    <w:rsid w:val="5A3E2560"/>
    <w:rsid w:val="5A5D3B6E"/>
    <w:rsid w:val="5A637A76"/>
    <w:rsid w:val="5A6D33BA"/>
    <w:rsid w:val="5A754149"/>
    <w:rsid w:val="5A792B1F"/>
    <w:rsid w:val="5A874767"/>
    <w:rsid w:val="5AA85BE2"/>
    <w:rsid w:val="5AAD6F28"/>
    <w:rsid w:val="5AD63A24"/>
    <w:rsid w:val="5B24201C"/>
    <w:rsid w:val="5B2E1A1D"/>
    <w:rsid w:val="5B843A1C"/>
    <w:rsid w:val="5B873E3F"/>
    <w:rsid w:val="5BC10878"/>
    <w:rsid w:val="5C02690E"/>
    <w:rsid w:val="5C196DA7"/>
    <w:rsid w:val="5C2A048C"/>
    <w:rsid w:val="5C7742E0"/>
    <w:rsid w:val="5C80234E"/>
    <w:rsid w:val="5C8A680C"/>
    <w:rsid w:val="5D086A44"/>
    <w:rsid w:val="5D0979C5"/>
    <w:rsid w:val="5D0C4701"/>
    <w:rsid w:val="5D0F0395"/>
    <w:rsid w:val="5D221076"/>
    <w:rsid w:val="5D236B9E"/>
    <w:rsid w:val="5D397964"/>
    <w:rsid w:val="5D5A391C"/>
    <w:rsid w:val="5D5F10C0"/>
    <w:rsid w:val="5D891B7B"/>
    <w:rsid w:val="5DAD38EE"/>
    <w:rsid w:val="5E006862"/>
    <w:rsid w:val="5E0207B9"/>
    <w:rsid w:val="5E1834A1"/>
    <w:rsid w:val="5E261785"/>
    <w:rsid w:val="5E4A7017"/>
    <w:rsid w:val="5E552BBA"/>
    <w:rsid w:val="5E611C10"/>
    <w:rsid w:val="5E6B1FC3"/>
    <w:rsid w:val="5E6D478F"/>
    <w:rsid w:val="5E7A0F3F"/>
    <w:rsid w:val="5EA80EB3"/>
    <w:rsid w:val="5EFC7377"/>
    <w:rsid w:val="5F06174D"/>
    <w:rsid w:val="5F281390"/>
    <w:rsid w:val="5F3A3602"/>
    <w:rsid w:val="5F45733B"/>
    <w:rsid w:val="5F6277C6"/>
    <w:rsid w:val="5F6D0B1D"/>
    <w:rsid w:val="5F8C173B"/>
    <w:rsid w:val="5F8D0B82"/>
    <w:rsid w:val="5FCC5339"/>
    <w:rsid w:val="5FE34A5B"/>
    <w:rsid w:val="5FFE1E36"/>
    <w:rsid w:val="600F3098"/>
    <w:rsid w:val="60232584"/>
    <w:rsid w:val="60464C5E"/>
    <w:rsid w:val="607330CE"/>
    <w:rsid w:val="60825176"/>
    <w:rsid w:val="609F2AC4"/>
    <w:rsid w:val="60FA2EE8"/>
    <w:rsid w:val="61054A27"/>
    <w:rsid w:val="610A52BC"/>
    <w:rsid w:val="611D2366"/>
    <w:rsid w:val="613100ED"/>
    <w:rsid w:val="613F1B6C"/>
    <w:rsid w:val="61421856"/>
    <w:rsid w:val="615227C4"/>
    <w:rsid w:val="61654E3F"/>
    <w:rsid w:val="61706E61"/>
    <w:rsid w:val="6182292A"/>
    <w:rsid w:val="618E2503"/>
    <w:rsid w:val="619F7F92"/>
    <w:rsid w:val="61F94C26"/>
    <w:rsid w:val="62000E56"/>
    <w:rsid w:val="62384999"/>
    <w:rsid w:val="624F3E49"/>
    <w:rsid w:val="62632286"/>
    <w:rsid w:val="62692145"/>
    <w:rsid w:val="62885958"/>
    <w:rsid w:val="62F30F4F"/>
    <w:rsid w:val="62F40B65"/>
    <w:rsid w:val="62FC2CFE"/>
    <w:rsid w:val="63024505"/>
    <w:rsid w:val="63273306"/>
    <w:rsid w:val="635600A5"/>
    <w:rsid w:val="635B1DB5"/>
    <w:rsid w:val="63711FED"/>
    <w:rsid w:val="63791227"/>
    <w:rsid w:val="63880DDC"/>
    <w:rsid w:val="638D750D"/>
    <w:rsid w:val="63AC6CC0"/>
    <w:rsid w:val="63F574F0"/>
    <w:rsid w:val="640363CE"/>
    <w:rsid w:val="64055776"/>
    <w:rsid w:val="64240056"/>
    <w:rsid w:val="643E143A"/>
    <w:rsid w:val="643E301F"/>
    <w:rsid w:val="64491666"/>
    <w:rsid w:val="645E3CF0"/>
    <w:rsid w:val="648B6EEF"/>
    <w:rsid w:val="64A66274"/>
    <w:rsid w:val="64C158BF"/>
    <w:rsid w:val="64CE2EAA"/>
    <w:rsid w:val="65182333"/>
    <w:rsid w:val="653C3090"/>
    <w:rsid w:val="65854376"/>
    <w:rsid w:val="658767BE"/>
    <w:rsid w:val="65892531"/>
    <w:rsid w:val="66195831"/>
    <w:rsid w:val="662E75B1"/>
    <w:rsid w:val="66342C2E"/>
    <w:rsid w:val="663E784C"/>
    <w:rsid w:val="66573F49"/>
    <w:rsid w:val="668B6A45"/>
    <w:rsid w:val="66CF0852"/>
    <w:rsid w:val="66D62679"/>
    <w:rsid w:val="672F3F24"/>
    <w:rsid w:val="673E055F"/>
    <w:rsid w:val="67551CE3"/>
    <w:rsid w:val="677456E8"/>
    <w:rsid w:val="67A22552"/>
    <w:rsid w:val="67A34FAA"/>
    <w:rsid w:val="67B22DCC"/>
    <w:rsid w:val="67BE71AA"/>
    <w:rsid w:val="67BF409A"/>
    <w:rsid w:val="67D90273"/>
    <w:rsid w:val="67DE5875"/>
    <w:rsid w:val="67E55852"/>
    <w:rsid w:val="67EB1AB4"/>
    <w:rsid w:val="67FA1285"/>
    <w:rsid w:val="682B24D2"/>
    <w:rsid w:val="683F05C5"/>
    <w:rsid w:val="68551F4F"/>
    <w:rsid w:val="687C10C9"/>
    <w:rsid w:val="687D7D3D"/>
    <w:rsid w:val="68840C16"/>
    <w:rsid w:val="68876EFB"/>
    <w:rsid w:val="68884654"/>
    <w:rsid w:val="689F444F"/>
    <w:rsid w:val="68B70D50"/>
    <w:rsid w:val="68B96DBB"/>
    <w:rsid w:val="68CA2805"/>
    <w:rsid w:val="68E937A3"/>
    <w:rsid w:val="692017B5"/>
    <w:rsid w:val="692A7B3F"/>
    <w:rsid w:val="693E15D3"/>
    <w:rsid w:val="694A52A9"/>
    <w:rsid w:val="696145E3"/>
    <w:rsid w:val="69627681"/>
    <w:rsid w:val="6977531D"/>
    <w:rsid w:val="69A146D7"/>
    <w:rsid w:val="69CC2BFF"/>
    <w:rsid w:val="69FD55B8"/>
    <w:rsid w:val="6A023E40"/>
    <w:rsid w:val="6A0B1C62"/>
    <w:rsid w:val="6A2406C8"/>
    <w:rsid w:val="6A2825D4"/>
    <w:rsid w:val="6A4F0688"/>
    <w:rsid w:val="6ADE0BD1"/>
    <w:rsid w:val="6AE96859"/>
    <w:rsid w:val="6B147746"/>
    <w:rsid w:val="6B24787C"/>
    <w:rsid w:val="6B573233"/>
    <w:rsid w:val="6B5B6274"/>
    <w:rsid w:val="6B935D53"/>
    <w:rsid w:val="6BE61B8E"/>
    <w:rsid w:val="6BFD7FF8"/>
    <w:rsid w:val="6C15183B"/>
    <w:rsid w:val="6C196F71"/>
    <w:rsid w:val="6C226FCB"/>
    <w:rsid w:val="6C31226F"/>
    <w:rsid w:val="6C552F0B"/>
    <w:rsid w:val="6C8C67B7"/>
    <w:rsid w:val="6C9D744C"/>
    <w:rsid w:val="6D167928"/>
    <w:rsid w:val="6D26299B"/>
    <w:rsid w:val="6D4772EC"/>
    <w:rsid w:val="6D9078AF"/>
    <w:rsid w:val="6DAA3FEF"/>
    <w:rsid w:val="6DC0172B"/>
    <w:rsid w:val="6DCB690C"/>
    <w:rsid w:val="6DD41A5B"/>
    <w:rsid w:val="6DD447E6"/>
    <w:rsid w:val="6DD601BB"/>
    <w:rsid w:val="6DEE218F"/>
    <w:rsid w:val="6DF43C2E"/>
    <w:rsid w:val="6DF51CA3"/>
    <w:rsid w:val="6E5A5011"/>
    <w:rsid w:val="6E5A6997"/>
    <w:rsid w:val="6E8335BD"/>
    <w:rsid w:val="6E8E12EF"/>
    <w:rsid w:val="6E972936"/>
    <w:rsid w:val="6ED446C5"/>
    <w:rsid w:val="6F285251"/>
    <w:rsid w:val="6F2A7D94"/>
    <w:rsid w:val="6F486C8D"/>
    <w:rsid w:val="6F8331F1"/>
    <w:rsid w:val="6FAE1A09"/>
    <w:rsid w:val="6FC114BF"/>
    <w:rsid w:val="6FD75BF8"/>
    <w:rsid w:val="6FDE3485"/>
    <w:rsid w:val="6FF41158"/>
    <w:rsid w:val="703E2329"/>
    <w:rsid w:val="70676438"/>
    <w:rsid w:val="707723D0"/>
    <w:rsid w:val="709C7102"/>
    <w:rsid w:val="70E15D81"/>
    <w:rsid w:val="70F5661B"/>
    <w:rsid w:val="712C404C"/>
    <w:rsid w:val="7132433F"/>
    <w:rsid w:val="71360107"/>
    <w:rsid w:val="713B688E"/>
    <w:rsid w:val="71B773F3"/>
    <w:rsid w:val="71D43752"/>
    <w:rsid w:val="71F1796A"/>
    <w:rsid w:val="72154626"/>
    <w:rsid w:val="72262B5D"/>
    <w:rsid w:val="72283FF7"/>
    <w:rsid w:val="722E7212"/>
    <w:rsid w:val="723A0474"/>
    <w:rsid w:val="725923E4"/>
    <w:rsid w:val="72864BF7"/>
    <w:rsid w:val="729023FC"/>
    <w:rsid w:val="7296249E"/>
    <w:rsid w:val="72EF42B1"/>
    <w:rsid w:val="73C0646E"/>
    <w:rsid w:val="73DD6B96"/>
    <w:rsid w:val="73E930A6"/>
    <w:rsid w:val="741A30D9"/>
    <w:rsid w:val="742222F5"/>
    <w:rsid w:val="74476126"/>
    <w:rsid w:val="74706664"/>
    <w:rsid w:val="747F3682"/>
    <w:rsid w:val="74915C8D"/>
    <w:rsid w:val="749C4185"/>
    <w:rsid w:val="749F7ED9"/>
    <w:rsid w:val="74E6270D"/>
    <w:rsid w:val="75067759"/>
    <w:rsid w:val="752E6DCD"/>
    <w:rsid w:val="7551380D"/>
    <w:rsid w:val="75600BE5"/>
    <w:rsid w:val="7564475C"/>
    <w:rsid w:val="7583797F"/>
    <w:rsid w:val="75D20F1D"/>
    <w:rsid w:val="75D52AF6"/>
    <w:rsid w:val="75DA2C18"/>
    <w:rsid w:val="75E70A34"/>
    <w:rsid w:val="75F54412"/>
    <w:rsid w:val="761D08E0"/>
    <w:rsid w:val="765C4090"/>
    <w:rsid w:val="765D347C"/>
    <w:rsid w:val="76826699"/>
    <w:rsid w:val="769055AE"/>
    <w:rsid w:val="76C87133"/>
    <w:rsid w:val="76CD08D5"/>
    <w:rsid w:val="76DB4B92"/>
    <w:rsid w:val="76FA7936"/>
    <w:rsid w:val="77052AA4"/>
    <w:rsid w:val="77136511"/>
    <w:rsid w:val="77340A39"/>
    <w:rsid w:val="77351FD0"/>
    <w:rsid w:val="77472422"/>
    <w:rsid w:val="7763169B"/>
    <w:rsid w:val="777B1510"/>
    <w:rsid w:val="777F31F2"/>
    <w:rsid w:val="77D1700D"/>
    <w:rsid w:val="77D66F7F"/>
    <w:rsid w:val="77EC04CC"/>
    <w:rsid w:val="78775729"/>
    <w:rsid w:val="78A42DB0"/>
    <w:rsid w:val="78A656AB"/>
    <w:rsid w:val="78B2245C"/>
    <w:rsid w:val="78D70307"/>
    <w:rsid w:val="78E172CC"/>
    <w:rsid w:val="78EA1D1F"/>
    <w:rsid w:val="78F81D6F"/>
    <w:rsid w:val="7904172F"/>
    <w:rsid w:val="790F7E27"/>
    <w:rsid w:val="792A231A"/>
    <w:rsid w:val="79316829"/>
    <w:rsid w:val="793F46E5"/>
    <w:rsid w:val="794E03FE"/>
    <w:rsid w:val="796874A3"/>
    <w:rsid w:val="797E66A9"/>
    <w:rsid w:val="798518A4"/>
    <w:rsid w:val="79A97383"/>
    <w:rsid w:val="79E27E8B"/>
    <w:rsid w:val="79F850CE"/>
    <w:rsid w:val="79FD443C"/>
    <w:rsid w:val="7A0F59D5"/>
    <w:rsid w:val="7A1D1975"/>
    <w:rsid w:val="7A3E5150"/>
    <w:rsid w:val="7A4670D6"/>
    <w:rsid w:val="7A47632D"/>
    <w:rsid w:val="7A4C640E"/>
    <w:rsid w:val="7A534B63"/>
    <w:rsid w:val="7A615382"/>
    <w:rsid w:val="7A67303B"/>
    <w:rsid w:val="7AAB1D04"/>
    <w:rsid w:val="7ABA4368"/>
    <w:rsid w:val="7AD05746"/>
    <w:rsid w:val="7B0F54EB"/>
    <w:rsid w:val="7B257FFD"/>
    <w:rsid w:val="7B343476"/>
    <w:rsid w:val="7B4B57D7"/>
    <w:rsid w:val="7B524379"/>
    <w:rsid w:val="7B5A2978"/>
    <w:rsid w:val="7B5A7E4C"/>
    <w:rsid w:val="7B667AF9"/>
    <w:rsid w:val="7B7468F8"/>
    <w:rsid w:val="7BBC71E8"/>
    <w:rsid w:val="7BE15C70"/>
    <w:rsid w:val="7BED03C0"/>
    <w:rsid w:val="7BEE0103"/>
    <w:rsid w:val="7C066E82"/>
    <w:rsid w:val="7C0A0FE4"/>
    <w:rsid w:val="7C117B83"/>
    <w:rsid w:val="7C254906"/>
    <w:rsid w:val="7C4660ED"/>
    <w:rsid w:val="7C590818"/>
    <w:rsid w:val="7C7C10F6"/>
    <w:rsid w:val="7C853BEA"/>
    <w:rsid w:val="7C881368"/>
    <w:rsid w:val="7C9A2AE1"/>
    <w:rsid w:val="7CC520E6"/>
    <w:rsid w:val="7CCE4BCA"/>
    <w:rsid w:val="7CE27788"/>
    <w:rsid w:val="7CE60B8F"/>
    <w:rsid w:val="7D0C32F1"/>
    <w:rsid w:val="7D0F408D"/>
    <w:rsid w:val="7D194844"/>
    <w:rsid w:val="7D1F3A30"/>
    <w:rsid w:val="7D376807"/>
    <w:rsid w:val="7D3B0262"/>
    <w:rsid w:val="7D491C6C"/>
    <w:rsid w:val="7D5429C0"/>
    <w:rsid w:val="7D6622B1"/>
    <w:rsid w:val="7D6E6D43"/>
    <w:rsid w:val="7DB57A34"/>
    <w:rsid w:val="7DE4242A"/>
    <w:rsid w:val="7DE60973"/>
    <w:rsid w:val="7DEF0916"/>
    <w:rsid w:val="7E1E5218"/>
    <w:rsid w:val="7E691AAA"/>
    <w:rsid w:val="7E9A4E1F"/>
    <w:rsid w:val="7EA7723A"/>
    <w:rsid w:val="7EE40ACC"/>
    <w:rsid w:val="7EF56FBB"/>
    <w:rsid w:val="7F0768EB"/>
    <w:rsid w:val="7F143BEC"/>
    <w:rsid w:val="7F715AF2"/>
    <w:rsid w:val="7F7B5733"/>
    <w:rsid w:val="7F886E69"/>
    <w:rsid w:val="7FC40C2F"/>
    <w:rsid w:val="7FF7498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2"/>
    <w:basedOn w:val="25"/>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6"/>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33"/>
    <w:next w:val="2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79"/>
    <w:next w:val="79"/>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79"/>
    <w:next w:val="79"/>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0"/>
    <w:pPr>
      <w:widowControl/>
      <w:ind w:firstLine="420" w:firstLineChars="200"/>
      <w:jc w:val="left"/>
    </w:pPr>
    <w:rPr>
      <w:rFonts w:ascii="宋体" w:hAnsi="宋体" w:cs="宋体"/>
      <w:kern w:val="0"/>
      <w:sz w:val="24"/>
    </w:rPr>
  </w:style>
  <w:style w:type="character" w:customStyle="1" w:styleId="962">
    <w:name w:val="未处理的提及2"/>
    <w:basedOn w:val="69"/>
    <w:semiHidden/>
    <w:unhideWhenUsed/>
    <w:qFormat/>
    <w:uiPriority w:val="99"/>
    <w:rPr>
      <w:color w:val="605E5C"/>
      <w:shd w:val="clear" w:color="auto" w:fill="E1DFDD"/>
    </w:rPr>
  </w:style>
  <w:style w:type="character" w:customStyle="1" w:styleId="963">
    <w:name w:val="Unresolved Mention"/>
    <w:basedOn w:val="6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7032</Words>
  <Characters>40084</Characters>
  <Lines>334</Lines>
  <Paragraphs>94</Paragraphs>
  <TotalTime>17</TotalTime>
  <ScaleCrop>false</ScaleCrop>
  <LinksUpToDate>false</LinksUpToDate>
  <CharactersWithSpaces>47022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2023-05-09T02:08:00Z</dcterms:created>
  <dc:creator>玥</dc:creator>
  <cp:lastModifiedBy>DELL</cp:lastModifiedBy>
  <cp:lastPrinted>2023-05-17T08:16:00Z</cp:lastPrinted>
  <dcterms:modified xsi:type="dcterms:W3CDTF">2023-05-25T01:37:24Z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9B987766B3AD4FBA81BA3A232B6E8B1E</vt:lpwstr>
  </property>
</Properties>
</file>