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西湖区现代农业发展及美丽田园建设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扶持政策</w:t>
      </w:r>
    </w:p>
    <w:p>
      <w:pPr>
        <w:snapToGrid w:val="0"/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2018-2020</w:t>
      </w:r>
      <w:r>
        <w:rPr>
          <w:rFonts w:hint="eastAsia" w:ascii="Times New Roman" w:hAnsi="Times New Roman" w:eastAsia="仿宋_GB2312"/>
          <w:sz w:val="32"/>
          <w:szCs w:val="32"/>
        </w:rPr>
        <w:t>年）</w:t>
      </w:r>
    </w:p>
    <w:p>
      <w:pPr>
        <w:snapToGrid w:val="0"/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为大力实施乡村振兴战略，全力打造美丽乡村升级版，深入推进农业转型升级，加快一二三产深度融合，加快现代农业发展，推进农村深化改革，创建农业有特色、农村有特点、农民有特长的西湖农业金名片，结合西湖区实际，制定本政策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Style w:val="9"/>
          <w:rFonts w:ascii="Times New Roman" w:hAnsi="Times New Roman"/>
          <w:b/>
          <w:bCs/>
        </w:rPr>
        <w:t>1</w:t>
      </w:r>
      <w:r>
        <w:rPr>
          <w:rStyle w:val="9"/>
          <w:rFonts w:hint="eastAsia" w:ascii="Times New Roman" w:hAnsi="Times New Roman"/>
          <w:b/>
          <w:bCs/>
        </w:rPr>
        <w:t>、全域推进美丽田园基础设施建设。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对全区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万亩耕地实施全域流转，引进规模主体经营，用三年的时间把农田建成排灌便利、路渠美丽、宜生产、宜观光、宜休闲的美丽田园。对流转经营土地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500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（含）以上，一二三产深度融合的现代农业园区和主导产业示范基地内，建设主干机耕路、主干沟渠、公共绿化、标志标识、灌溉泵站等农田基础设施时，按新增投资的50%予以补助，补助最高限额不超过0.3万元/亩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Style w:val="9"/>
          <w:rFonts w:ascii="Times New Roman" w:hAnsi="Times New Roman"/>
          <w:b/>
          <w:bCs/>
        </w:rPr>
        <w:t>2</w:t>
      </w:r>
      <w:r>
        <w:rPr>
          <w:rStyle w:val="9"/>
          <w:rFonts w:hint="eastAsia" w:ascii="Times New Roman" w:hAnsi="Times New Roman"/>
          <w:b/>
          <w:bCs/>
        </w:rPr>
        <w:t>、大力推广农业装备设施建设。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积极推广应用智能温室大棚等新型生产设施设备。符合我区农业产业发展规划的现代农业园区和主导产业示范基地，建设用于发展生产所需的生产性设施的，区级按投资比例予以补助。符合省市补助标准的，新建连片单体1000平方米以上的玻璃温室，按新建投资的20%予以补助，补助最高限额140元/平方米；新建连片标准连栋钢结构大棚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5000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平方米以上的，按新建投资的2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0%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予以补助，补助最高限额3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元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平方米；新建连片单体标准钢结构大棚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20000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平方米以上的，按新建投资的2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0%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予以补助，补助最高限额8元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平方米；新建连片棚架结构设施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5000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平方米以上的，按新建投资的2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0%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予以补助，补助最高限额4元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平方米；新建连片固定式喷灌及滴灌设施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5000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平方米以上，按新建投资的2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0%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予以补助，补助最高限额3元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平方米；新建降温水帘、遮阳和加温系统等设施，按新建投资的20%予以补助；新建鲜活农产品冷藏保鲜库等生产性设施，按新建投资的20%予以补助，补助最高限额100元/立方米。上述设施和装备各级财政累计补助不超过新建投资的50%；上级财政补助已超过50%的，区级不再进行补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对列入中央、省、市补贴范围的农业机械装备，区级最高给予机具价格20%的补助，各级财政累计补助不超过机具价格70%。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Style w:val="9"/>
          <w:rFonts w:ascii="Times New Roman" w:hAnsi="Times New Roman"/>
          <w:b/>
          <w:bCs/>
        </w:rPr>
        <w:t>3</w:t>
      </w:r>
      <w:r>
        <w:rPr>
          <w:rStyle w:val="9"/>
          <w:rFonts w:hint="eastAsia" w:ascii="Times New Roman" w:hAnsi="Times New Roman"/>
          <w:b/>
          <w:bCs/>
        </w:rPr>
        <w:t>、开展生态美丽茶园建设。</w:t>
      </w:r>
      <w:r>
        <w:rPr>
          <w:rStyle w:val="6"/>
          <w:rFonts w:hint="eastAsia" w:ascii="Times New Roman" w:hAnsi="Times New Roman" w:eastAsia="仿宋_GB2312"/>
          <w:b w:val="0"/>
          <w:bCs/>
          <w:kern w:val="0"/>
          <w:sz w:val="32"/>
          <w:szCs w:val="32"/>
        </w:rPr>
        <w:t>按照省级特色小镇、4A级景区标准，打造龙坞茶镇，建设生态美丽、休闲观光茶园，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参照休闲观光道标准建设茶园作业道，打造茶园观光园。区级每年安排资金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1000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万元，开展全域统防统治无人机植保飞防、茶园实施有机肥施用补贴、茶园全域布设杀虫灯等，让茶园更生态，茶叶更有机。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Style w:val="9"/>
          <w:rFonts w:ascii="Times New Roman" w:hAnsi="Times New Roman"/>
          <w:b/>
          <w:bCs/>
        </w:rPr>
        <w:t>4</w:t>
      </w:r>
      <w:r>
        <w:rPr>
          <w:rStyle w:val="9"/>
          <w:rFonts w:hint="eastAsia" w:ascii="Times New Roman" w:hAnsi="Times New Roman"/>
          <w:b/>
          <w:bCs/>
        </w:rPr>
        <w:t>、鼓励土地规模流转。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对新增流入连片耕地期限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年（含）以上的经营主体，根据土地规模予以一次性免租金奖励。面积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1000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亩（含）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——3000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亩的，一次性免租金3个月；面积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3000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亩（含）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——5000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亩的，一次性免租金4.5个月；面积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5000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亩（含）以上的，一次性免租金6个月。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Style w:val="9"/>
          <w:rFonts w:ascii="Times New Roman" w:hAnsi="Times New Roman"/>
          <w:b/>
          <w:bCs/>
        </w:rPr>
        <w:t>5</w:t>
      </w:r>
      <w:r>
        <w:rPr>
          <w:rStyle w:val="9"/>
          <w:rFonts w:hint="eastAsia" w:ascii="Times New Roman" w:hAnsi="Times New Roman"/>
          <w:b/>
          <w:bCs/>
        </w:rPr>
        <w:t>、支持农旅融合发展。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在现代农业园区和主导产业示范基地规划范围内，对发展农业体验、农业观光和农业休闲旅游项目的建设经营主体，给予园区农用地总面积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1%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的存量集体建设用地使用配套，保障三产服务配套用地。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Style w:val="9"/>
          <w:rFonts w:ascii="Times New Roman" w:hAnsi="Times New Roman"/>
          <w:b/>
          <w:bCs/>
        </w:rPr>
        <w:t>6</w:t>
      </w:r>
      <w:r>
        <w:rPr>
          <w:rStyle w:val="9"/>
          <w:rFonts w:hint="eastAsia" w:ascii="Times New Roman" w:hAnsi="Times New Roman"/>
          <w:b/>
          <w:bCs/>
        </w:rPr>
        <w:t>、鼓励应用最新农业科技成果发展智慧农业。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按照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高新技术引领、常规技术升级、产业领域拓展、工农城乡互动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的要求，鼓励开展产学研合作，加快农产品精深加工、冷链保鲜等技术创新，实施省市推广的农业关键技术，推动现代农业技术产业化发展。对引进应用新品种、新技术、新工艺及种子种苗推广应用的项目，每年择优立项扶持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3-5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个项目，每个项目一次性补助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10-20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万元。对符合智慧农业发展方向，创建成为智慧农业标杆性示范园区的，各级财政按实际投资的50%给予补助，单个项目补助最高限额250万元。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Style w:val="9"/>
          <w:rFonts w:ascii="Times New Roman" w:hAnsi="Times New Roman"/>
          <w:b/>
          <w:bCs/>
        </w:rPr>
        <w:t>7</w:t>
      </w:r>
      <w:r>
        <w:rPr>
          <w:rStyle w:val="9"/>
          <w:rFonts w:hint="eastAsia" w:ascii="Times New Roman" w:hAnsi="Times New Roman"/>
          <w:b/>
          <w:bCs/>
        </w:rPr>
        <w:t>、鼓励发展农村民宿（农家乐）。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对新创建的农村民宿示范点，实际投资单栋超过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200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万元的，经立项、验收合格后，各级财政按实际投资额的3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0%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予以补助，最高限额8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万元；在美丽乡村范围内，新开办的农村民宿（农家乐），正常经营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年（含）以上的，经验收合格后，一次性奖励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万元；被国家、省、市行政主管部门评为星级农村民宿（包括农家乐、观光园）的，一次性奖励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万元、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万元、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Style w:val="9"/>
          <w:rFonts w:ascii="Times New Roman" w:hAnsi="Times New Roman"/>
          <w:b/>
          <w:bCs/>
        </w:rPr>
        <w:t>8</w:t>
      </w:r>
      <w:r>
        <w:rPr>
          <w:rStyle w:val="9"/>
          <w:rFonts w:hint="eastAsia" w:ascii="Times New Roman" w:hAnsi="Times New Roman"/>
          <w:b/>
          <w:bCs/>
        </w:rPr>
        <w:t>、鼓励发展美丽田园和休闲观光农业。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鼓励发展与田园景观相结合的美丽农业，对种植油菜和绿肥等绿色过冬农作物的生产经营主体，按照现有政策标准进行冬种补助。对种植粮油、蔬菜、瓜果、花卉四大类一年生作物的生产经营主体，按照现有政策进行耕地地力保护补助。对发展集中连片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亩（含）以上观赏农业基地的主体，按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200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元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亩予以一次性补助。支持发展具有观光旅游、自助体验、农业科普、休闲度假等复合功能的休闲观光农业，对被政府或行政主管部门命名为国家、省、市级农业休闲观光园（点、基地）的，分别给予一次性奖励2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万元、1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万元、5万元。对列入国家、省、市级田园综合体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eastAsia="zh-CN"/>
        </w:rPr>
        <w:t>、现代农业园区等农业大项目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创建，并验收通过的，分别给予一次性奖励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万元、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50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万元、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30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Style w:val="9"/>
          <w:rFonts w:ascii="Times New Roman" w:hAnsi="Times New Roman"/>
          <w:b/>
          <w:bCs/>
        </w:rPr>
        <w:t>9</w:t>
      </w:r>
      <w:r>
        <w:rPr>
          <w:rStyle w:val="9"/>
          <w:rFonts w:hint="eastAsia" w:ascii="Times New Roman" w:hAnsi="Times New Roman"/>
          <w:b/>
          <w:bCs/>
        </w:rPr>
        <w:t>、鼓励西湖特色农产品品牌建设。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鼓励和支持具有我区传统特色农产品的保护和品牌建设，重点扶持九曲红梅茶、西湖莼菜等特色农产品，拓展生产基地，巩固和扩大规模，提升市场影响力。对新发展西湖莼菜种植基地等集中连片面积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亩（含）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——50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亩，一次性奖励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5000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元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亩；集中连片面积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50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亩（含）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——100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亩，一次性奖励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8000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元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亩；集中连片面积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亩（含）以上，一次性奖励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10000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元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亩。提升西湖龙井茶市场占有率，按年度收购我区茶农西湖龙井毛茶达到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6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吨以上（以茶农标调换销售标数量为准）的西湖龙井茶加工企业，区级给予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10-30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万元奖励。对评上西湖龙井手工炒制大师的给予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万元奖励。</w:t>
      </w:r>
    </w:p>
    <w:p>
      <w:pPr>
        <w:spacing w:line="540" w:lineRule="exact"/>
        <w:ind w:firstLine="643" w:firstLineChars="200"/>
        <w:rPr>
          <w:rFonts w:hint="eastAsia" w:ascii="Times New Roman" w:hAnsi="Times New Roman" w:eastAsia="仿宋_GB2312"/>
          <w:bCs/>
          <w:kern w:val="0"/>
          <w:sz w:val="32"/>
          <w:szCs w:val="32"/>
        </w:rPr>
      </w:pPr>
      <w:r>
        <w:rPr>
          <w:rStyle w:val="9"/>
          <w:rFonts w:ascii="Times New Roman" w:hAnsi="Times New Roman"/>
          <w:b/>
          <w:bCs/>
        </w:rPr>
        <w:t>10</w:t>
      </w:r>
      <w:r>
        <w:rPr>
          <w:rStyle w:val="9"/>
          <w:rFonts w:hint="eastAsia" w:ascii="Times New Roman" w:hAnsi="Times New Roman"/>
          <w:b/>
          <w:bCs/>
        </w:rPr>
        <w:t>、支持绿色品质农业创建。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提高农产品的无公害、绿色、有机的认证率。对当年新认证的有机食品、绿色食品、无公害农产品，分别一次性奖励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万元、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万元、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万元；对成功进行保持认证、续展、复查换证的有机、绿色、无公害认证的农产品，分别一次性奖励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万元、4万元、3万元。对评上国家级、省级、市级或区级农业龙头企业的，区级给予一次性30万元、15万元、5万元、2万元的奖励。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auto"/>
        </w:rPr>
        <w:t>　本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auto"/>
          <w:lang w:eastAsia="zh-CN"/>
        </w:rPr>
        <w:t>政策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auto"/>
        </w:rPr>
        <w:t>自发布之日起施行，由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auto"/>
          <w:lang w:eastAsia="zh-CN"/>
        </w:rPr>
        <w:t>区财政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auto"/>
        </w:rPr>
        <w:t>、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auto"/>
          <w:lang w:eastAsia="zh-CN"/>
        </w:rPr>
        <w:t>农业（农办、林水）、国土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auto"/>
        </w:rPr>
        <w:t>负责牵头组织实施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spacing w:val="0"/>
          <w:kern w:val="0"/>
          <w:sz w:val="32"/>
          <w:szCs w:val="32"/>
          <w:shd w:val="clear"/>
          <w:lang w:eastAsia="zh-CN"/>
        </w:rPr>
        <w:t>，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申报、评审、兑现等操作细则另行制定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auto"/>
        </w:rPr>
        <w:t>。</w:t>
      </w:r>
      <w:bookmarkStart w:id="0" w:name="_GoBack"/>
      <w:bookmarkEnd w:id="0"/>
    </w:p>
    <w:p/>
    <w:sectPr>
      <w:footerReference r:id="rId3" w:type="default"/>
      <w:pgSz w:w="11906" w:h="16838"/>
      <w:pgMar w:top="1701" w:right="1588" w:bottom="1701" w:left="1588" w:header="851" w:footer="1219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- 9 -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80"/>
    <w:rsid w:val="000111C2"/>
    <w:rsid w:val="0001383B"/>
    <w:rsid w:val="00030C82"/>
    <w:rsid w:val="000513C3"/>
    <w:rsid w:val="00080492"/>
    <w:rsid w:val="00082C41"/>
    <w:rsid w:val="000A2948"/>
    <w:rsid w:val="000D2590"/>
    <w:rsid w:val="000D71AF"/>
    <w:rsid w:val="000F61A4"/>
    <w:rsid w:val="00145FC3"/>
    <w:rsid w:val="001532C5"/>
    <w:rsid w:val="00154CA9"/>
    <w:rsid w:val="001647B3"/>
    <w:rsid w:val="001654E8"/>
    <w:rsid w:val="00197544"/>
    <w:rsid w:val="001A2465"/>
    <w:rsid w:val="001B0C66"/>
    <w:rsid w:val="001B1F19"/>
    <w:rsid w:val="001F14D5"/>
    <w:rsid w:val="00254AFA"/>
    <w:rsid w:val="002927AC"/>
    <w:rsid w:val="002E4688"/>
    <w:rsid w:val="00301A6A"/>
    <w:rsid w:val="003449D1"/>
    <w:rsid w:val="0036769E"/>
    <w:rsid w:val="00381CBD"/>
    <w:rsid w:val="003A120C"/>
    <w:rsid w:val="003B7769"/>
    <w:rsid w:val="003B7D14"/>
    <w:rsid w:val="003C79C2"/>
    <w:rsid w:val="00407035"/>
    <w:rsid w:val="00412E8D"/>
    <w:rsid w:val="00421678"/>
    <w:rsid w:val="00450715"/>
    <w:rsid w:val="00463C79"/>
    <w:rsid w:val="00471BCE"/>
    <w:rsid w:val="004B2EFC"/>
    <w:rsid w:val="00517FAC"/>
    <w:rsid w:val="005872A1"/>
    <w:rsid w:val="0059110B"/>
    <w:rsid w:val="005E5636"/>
    <w:rsid w:val="00614DF9"/>
    <w:rsid w:val="00624929"/>
    <w:rsid w:val="00652C10"/>
    <w:rsid w:val="00662262"/>
    <w:rsid w:val="00662500"/>
    <w:rsid w:val="00720969"/>
    <w:rsid w:val="0073431D"/>
    <w:rsid w:val="00776E97"/>
    <w:rsid w:val="007C0C11"/>
    <w:rsid w:val="007F306B"/>
    <w:rsid w:val="00815783"/>
    <w:rsid w:val="008660C8"/>
    <w:rsid w:val="00880822"/>
    <w:rsid w:val="0089142E"/>
    <w:rsid w:val="00894297"/>
    <w:rsid w:val="008C418A"/>
    <w:rsid w:val="008E2A40"/>
    <w:rsid w:val="008E6531"/>
    <w:rsid w:val="008F1D76"/>
    <w:rsid w:val="008F3413"/>
    <w:rsid w:val="009244D6"/>
    <w:rsid w:val="00925F74"/>
    <w:rsid w:val="009513D9"/>
    <w:rsid w:val="009663DD"/>
    <w:rsid w:val="00985DBE"/>
    <w:rsid w:val="009B2AFB"/>
    <w:rsid w:val="009B4544"/>
    <w:rsid w:val="009D6E5C"/>
    <w:rsid w:val="009E09CC"/>
    <w:rsid w:val="009E5753"/>
    <w:rsid w:val="009E69B6"/>
    <w:rsid w:val="00A01825"/>
    <w:rsid w:val="00A45E3A"/>
    <w:rsid w:val="00A56496"/>
    <w:rsid w:val="00AA1AE1"/>
    <w:rsid w:val="00AD5B24"/>
    <w:rsid w:val="00B3427D"/>
    <w:rsid w:val="00B36E3E"/>
    <w:rsid w:val="00B549D7"/>
    <w:rsid w:val="00BA4565"/>
    <w:rsid w:val="00C521EB"/>
    <w:rsid w:val="00C7468C"/>
    <w:rsid w:val="00C75BDC"/>
    <w:rsid w:val="00CD0B50"/>
    <w:rsid w:val="00CE0BE7"/>
    <w:rsid w:val="00D17710"/>
    <w:rsid w:val="00D374CE"/>
    <w:rsid w:val="00D42EEF"/>
    <w:rsid w:val="00D634C5"/>
    <w:rsid w:val="00D7731A"/>
    <w:rsid w:val="00D82280"/>
    <w:rsid w:val="00DA5FFF"/>
    <w:rsid w:val="00E041BD"/>
    <w:rsid w:val="00E332FB"/>
    <w:rsid w:val="00E5506B"/>
    <w:rsid w:val="00E74119"/>
    <w:rsid w:val="00EC6B3F"/>
    <w:rsid w:val="00EE7233"/>
    <w:rsid w:val="00F06F21"/>
    <w:rsid w:val="00F7532A"/>
    <w:rsid w:val="011918A9"/>
    <w:rsid w:val="10A37BC5"/>
    <w:rsid w:val="194D4555"/>
    <w:rsid w:val="1B742553"/>
    <w:rsid w:val="20BB663B"/>
    <w:rsid w:val="247726AF"/>
    <w:rsid w:val="28696DD0"/>
    <w:rsid w:val="2DBF0F21"/>
    <w:rsid w:val="38062CE4"/>
    <w:rsid w:val="3F1D0D6A"/>
    <w:rsid w:val="3F931F00"/>
    <w:rsid w:val="42B24EA4"/>
    <w:rsid w:val="43326DF3"/>
    <w:rsid w:val="480C76CD"/>
    <w:rsid w:val="4B954C6C"/>
    <w:rsid w:val="576E76D5"/>
    <w:rsid w:val="6A2E7E51"/>
    <w:rsid w:val="6C4B539C"/>
    <w:rsid w:val="6FEF1D51"/>
    <w:rsid w:val="762A50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line="560" w:lineRule="exact"/>
      <w:ind w:firstLine="880" w:firstLineChars="200"/>
      <w:outlineLvl w:val="1"/>
    </w:pPr>
    <w:rPr>
      <w:rFonts w:ascii="Arial" w:hAnsi="Arial" w:eastAsia="黑体"/>
      <w:sz w:val="32"/>
    </w:rPr>
  </w:style>
  <w:style w:type="paragraph" w:styleId="3">
    <w:name w:val="heading 3"/>
    <w:basedOn w:val="1"/>
    <w:next w:val="1"/>
    <w:link w:val="9"/>
    <w:qFormat/>
    <w:uiPriority w:val="99"/>
    <w:pPr>
      <w:keepNext/>
      <w:keepLines/>
      <w:spacing w:line="560" w:lineRule="exact"/>
      <w:ind w:firstLine="880" w:firstLineChars="200"/>
      <w:outlineLvl w:val="2"/>
    </w:pPr>
    <w:rPr>
      <w:rFonts w:eastAsia="楷体_GB2312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6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6"/>
    <w:link w:val="3"/>
    <w:qFormat/>
    <w:locked/>
    <w:uiPriority w:val="99"/>
    <w:rPr>
      <w:rFonts w:eastAsia="楷体_GB2312" w:cs="Times New Roman"/>
      <w:sz w:val="32"/>
    </w:rPr>
  </w:style>
  <w:style w:type="character" w:customStyle="1" w:styleId="10">
    <w:name w:val="页脚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6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12</Pages>
  <Words>940</Words>
  <Characters>5362</Characters>
  <Lines>44</Lines>
  <Paragraphs>12</Paragraphs>
  <TotalTime>3</TotalTime>
  <ScaleCrop>false</ScaleCrop>
  <LinksUpToDate>false</LinksUpToDate>
  <CharactersWithSpaces>6290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人无常生</cp:lastModifiedBy>
  <cp:lastPrinted>2018-05-31T06:27:00Z</cp:lastPrinted>
  <dcterms:modified xsi:type="dcterms:W3CDTF">2018-06-13T09:32:38Z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