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Times New Roman" w:eastAsia="楷体_GB2312" w:cs="Times New Roman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 w:cs="Times New Roman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杭州市西湖区科学技术局行政规范性文件清理结果目录</w:t>
      </w:r>
    </w:p>
    <w:bookmarkEnd w:id="0"/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  <w:t>一、继续有效的规范性文件（共0件）</w:t>
      </w:r>
    </w:p>
    <w:tbl>
      <w:tblPr>
        <w:tblStyle w:val="2"/>
        <w:tblW w:w="852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无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  <w:t>二、拟修改的规范性文件（共0件）</w:t>
      </w:r>
    </w:p>
    <w:tbl>
      <w:tblPr>
        <w:tblStyle w:val="2"/>
        <w:tblW w:w="8520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无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  <w:t>三、废止的规范性文件（共</w:t>
      </w:r>
      <w:r>
        <w:rPr>
          <w:rFonts w:hint="eastAsia" w:ascii="Times New Roman" w:hAnsi="Times New Roman" w:eastAsia="楷体_GB2312" w:cs="Times New Roman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  <w:t>件）</w:t>
      </w:r>
    </w:p>
    <w:tbl>
      <w:tblPr>
        <w:tblStyle w:val="2"/>
        <w:tblW w:w="8520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关于杭州市科技型初创企业培育工程（2018-2020）资助经费的实施细则（西科〔2019〕8号）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关于2016年度杭州市科技型初创企业培育工程（“雏鹰计划”“青蓝计划”）资助经费的实施细则（西科〔2018〕17号）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关于2017年度杭州市科技型初创企业培育工程（“雏鹰计划”“青蓝计划”）资助经费的实施细则（西科〔2018〕18号）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西湖区创新券推广应用实施管理办法（西科〔2018〕57号）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关于西湖区紫金众创小镇企业房租补贴的管理办法（西科〔2017〕61号）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关于印发《西湖区关于支持众创空间发展促进园区提升转型的若干意见》的通知（西科〔2016〕1号）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《西湖区众创空间认定和管理办法》（西科〔2016〕46号）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sz w:val="32"/>
          <w:szCs w:val="32"/>
          <w:shd w:val="clear" w:color="auto" w:fill="FFFFFF"/>
        </w:rPr>
        <w:t>四、宣布失效的规范性文件（共3件）</w:t>
      </w:r>
    </w:p>
    <w:tbl>
      <w:tblPr>
        <w:tblStyle w:val="2"/>
        <w:tblW w:w="852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关于印发《西湖区飞天企业培育工程实施意见（试行）》的通知（西科〔2021〕12号）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关于印发《西湖区关于加快科技创新推进转型升级的实施意见（试行）》的通知（西科〔2019〕18号）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  <w:shd w:val="clear" w:color="auto" w:fill="FFFFFF"/>
              </w:rPr>
              <w:t>西湖区紫金众创小镇大学生创业专项资金实施方案（西科〔2017〕64号）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NDJlMGZmZmJjNzI0ZDkyNTY2YmNjYzQwZDQzMzIifQ=="/>
  </w:docVars>
  <w:rsids>
    <w:rsidRoot w:val="2B650ED2"/>
    <w:rsid w:val="2B6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2023-10-27T07:16:00Z</dcterms:created>
  <dc:creator>蒋恩惠</dc:creator>
  <cp:lastModifiedBy>蒋恩惠</cp:lastModifiedBy>
  <dcterms:modified xsi:type="dcterms:W3CDTF">2023-10-27T07:16:43Z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8CA2505F33A24217ACAFDD3FBDDAD55F_11</vt:lpwstr>
  </property>
</Properties>
</file>