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2023年西湖区区域医院业务系统平台扩容服务项目</w:t>
      </w:r>
    </w:p>
    <w:p>
      <w:pPr>
        <w:pStyle w:val="3"/>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cs="宋体" w:asciiTheme="minorEastAsia" w:hAnsiTheme="minorEastAsia" w:eastAsiaTheme="minorEastAsia"/>
          <w:sz w:val="30"/>
          <w:szCs w:val="30"/>
          <w:highlight w:val="none"/>
        </w:rPr>
      </w:pPr>
      <w:r>
        <w:rPr>
          <w:rFonts w:hint="eastAsia" w:cs="宋体" w:asciiTheme="minorEastAsia" w:hAnsiTheme="minorEastAsia" w:eastAsiaTheme="minorEastAsia"/>
          <w:sz w:val="30"/>
          <w:szCs w:val="30"/>
          <w:highlight w:val="none"/>
        </w:rPr>
        <w:t>编号:XHZFCG-2023-G-17</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杭州市西湖区卫生健康局</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二〇二三年</w:t>
      </w:r>
      <w:r>
        <w:rPr>
          <w:rFonts w:hint="eastAsia" w:cs="宋体" w:asciiTheme="minorEastAsia" w:hAnsiTheme="minorEastAsia" w:eastAsiaTheme="minorEastAsia"/>
          <w:bCs/>
          <w:sz w:val="32"/>
          <w:szCs w:val="32"/>
          <w:highlight w:val="none"/>
          <w:lang w:eastAsia="zh-CN"/>
        </w:rPr>
        <w:t>五</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color w:val="auto"/>
          <w:sz w:val="32"/>
          <w:szCs w:val="32"/>
          <w:highlight w:val="none"/>
          <w:lang w:eastAsia="zh-CN"/>
        </w:rPr>
        <w:t>二十二</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4"/>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2023年西湖区区域医院业务系统平台扩容服务项目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12</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XHZFCG-2023-G-17</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2023年西湖区区域医院业务系统平台扩容服务项目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w:t>
      </w:r>
      <w:r>
        <w:rPr>
          <w:rFonts w:hint="eastAsia" w:ascii="宋体" w:hAnsi="宋体" w:cs="宋体"/>
          <w:b/>
          <w:sz w:val="24"/>
          <w:highlight w:val="none"/>
        </w:rPr>
        <w:t xml:space="preserve"> 预算金额</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1140000.00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1140000.00</w:t>
      </w:r>
    </w:p>
    <w:p>
      <w:pPr>
        <w:pStyle w:val="1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2023年西湖区区域医院业务系统平台扩容服务项目，主要内容: 日志审计扩容服务，主机安全监测系统许可扩容服务，终端网络安全监控、医院端安全监控集成，终端网络安全监控运维一体机，区域医学影像SAN网络和扩容，医学影像数据存储归档系统扩容服务，医学影像备份一体机扩容，项目不得少于3年7×24小时免费售后技术服务。详见招标文件第三部分采购需求。</w:t>
      </w:r>
      <w:r>
        <w:rPr>
          <w:rFonts w:hint="eastAsia" w:hAnsi="宋体" w:cs="宋体"/>
          <w:bCs/>
          <w:snapToGrid/>
          <w:color w:val="auto"/>
          <w:kern w:val="2"/>
          <w:sz w:val="24"/>
          <w:szCs w:val="24"/>
          <w:highlight w:val="none"/>
        </w:rPr>
        <w:t>供应商可点击本公告下方“浏览采购文件”查看采购需求。</w:t>
      </w:r>
    </w:p>
    <w:p>
      <w:pPr>
        <w:pStyle w:val="128"/>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合同履约期限：项目总建设工期2个月。</w:t>
      </w:r>
    </w:p>
    <w:p>
      <w:pPr>
        <w:pStyle w:val="1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4.本项目的特定资格要求：</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12</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12</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12</w:t>
      </w:r>
      <w:r>
        <w:rPr>
          <w:rFonts w:hint="eastAsia" w:ascii="宋体" w:hAnsi="宋体" w:cs="宋体"/>
          <w:sz w:val="24"/>
          <w:highlight w:val="none"/>
          <w:u w:val="single"/>
        </w:rPr>
        <w:t>日</w:t>
      </w:r>
      <w:r>
        <w:rPr>
          <w:rFonts w:hint="eastAsia" w:ascii="宋体" w:hAnsi="宋体" w:cs="宋体"/>
          <w:sz w:val="24"/>
          <w:highlight w:val="none"/>
          <w:u w:val="single"/>
        </w:rPr>
        <w:t xml:space="preserve">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 xml:space="preserve">杭州市西湖区卫生健康局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rPr>
        <w:t xml:space="preserve">地    址：杭州市文一西路858号西溪大厦西7楼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ascii="宋体" w:hAnsi="宋体" w:cs="宋体"/>
          <w:sz w:val="24"/>
          <w:highlight w:val="none"/>
        </w:rPr>
      </w:pPr>
      <w:r>
        <w:rPr>
          <w:rFonts w:hint="eastAsia" w:ascii="宋体" w:hAnsi="宋体" w:cs="宋体"/>
          <w:sz w:val="24"/>
          <w:highlight w:val="none"/>
        </w:rPr>
        <w:t>项目联系人（询问）： 程老师</w:t>
      </w:r>
    </w:p>
    <w:p>
      <w:pPr>
        <w:spacing w:line="360" w:lineRule="auto"/>
        <w:ind w:firstLine="480"/>
        <w:rPr>
          <w:rFonts w:ascii="宋体" w:hAnsi="宋体" w:cs="宋体"/>
          <w:sz w:val="24"/>
          <w:highlight w:val="none"/>
        </w:rPr>
      </w:pPr>
      <w:r>
        <w:rPr>
          <w:rFonts w:hint="eastAsia" w:ascii="宋体" w:hAnsi="宋体" w:cs="宋体"/>
          <w:sz w:val="24"/>
          <w:highlight w:val="none"/>
        </w:rPr>
        <w:t>项目联系方式（询问）：0</w:t>
      </w:r>
      <w:r>
        <w:rPr>
          <w:rFonts w:ascii="宋体" w:hAnsi="宋体" w:cs="宋体"/>
          <w:sz w:val="24"/>
          <w:highlight w:val="none"/>
        </w:rPr>
        <w:t>571-89510913</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rPr>
        <w:t xml:space="preserve"> 质疑联系人：汪老师</w:t>
      </w:r>
    </w:p>
    <w:p>
      <w:pPr>
        <w:spacing w:line="360" w:lineRule="auto"/>
        <w:rPr>
          <w:rFonts w:ascii="宋体" w:hAnsi="宋体" w:cs="宋体"/>
          <w:sz w:val="24"/>
          <w:highlight w:val="none"/>
        </w:rPr>
      </w:pPr>
      <w:r>
        <w:rPr>
          <w:rFonts w:hint="eastAsia" w:ascii="宋体" w:hAnsi="宋体" w:cs="宋体"/>
          <w:sz w:val="24"/>
          <w:highlight w:val="none"/>
        </w:rPr>
        <w:t xml:space="preserve">    质疑联系方式：0</w:t>
      </w:r>
      <w:r>
        <w:rPr>
          <w:rFonts w:ascii="宋体" w:hAnsi="宋体" w:cs="宋体"/>
          <w:sz w:val="24"/>
          <w:highlight w:val="none"/>
        </w:rPr>
        <w:t>571-87997517</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18号11楼1104</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0571-89511307</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平台扩容服务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软件和信息技术服务业   </w:t>
            </w:r>
            <w:r>
              <w:rPr>
                <w:rFonts w:hint="eastAsia" w:ascii="宋体" w:hAnsi="宋体" w:cs="宋体"/>
                <w:kern w:val="0"/>
                <w:sz w:val="24"/>
                <w:highlight w:val="none"/>
              </w:rPr>
              <w:t>行业；</w:t>
            </w:r>
          </w:p>
          <w:p>
            <w:pPr>
              <w:snapToGrid w:val="0"/>
              <w:spacing w:line="360" w:lineRule="auto"/>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系统集成</w:t>
            </w:r>
            <w:r>
              <w:rPr>
                <w:rFonts w:hint="default" w:cs="宋体" w:asciiTheme="minorEastAsia" w:hAnsiTheme="minorEastAsia" w:eastAsiaTheme="minorEastAsia"/>
                <w:sz w:val="24"/>
                <w:highlight w:val="none"/>
                <w:u w:val="single"/>
                <w:lang w:val="en-US"/>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eastAsia="宋体" w:cs="宋体" w:asciiTheme="minorEastAsia" w:hAnsiTheme="minorEastAsia"/>
                <w:b/>
                <w:sz w:val="24"/>
                <w:highlight w:val="none"/>
                <w:lang w:eastAsia="zh-CN"/>
              </w:rPr>
            </w:pPr>
            <w:r>
              <w:rPr>
                <w:rFonts w:hint="eastAsia" w:ascii="宋体" w:hAnsi="宋体" w:cs="宋体"/>
                <w:color w:val="auto"/>
                <w:sz w:val="24"/>
                <w:highlight w:val="none"/>
              </w:rPr>
              <w:t>（7）制作、运输、安装和保管样品所发生的一切费用由投标人自理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lang w:eastAsia="zh-CN"/>
              </w:rPr>
              <w:t>功能</w:t>
            </w:r>
            <w:r>
              <w:rPr>
                <w:rFonts w:hint="eastAsia" w:cs="宋体" w:asciiTheme="minorEastAsia" w:hAnsiTheme="minorEastAsia" w:eastAsiaTheme="minorEastAsia"/>
                <w:b/>
                <w:sz w:val="24"/>
                <w:highlight w:val="none"/>
              </w:rPr>
              <w:t>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cs="宋体" w:asciiTheme="minorEastAsia" w:hAnsiTheme="minorEastAsia" w:eastAsiaTheme="minorEastAsia"/>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cs="宋体" w:asciiTheme="minorEastAsia" w:hAnsiTheme="minorEastAsia" w:eastAsiaTheme="minorEastAsia"/>
                <w:highlight w:val="none"/>
                <w:lang w:eastAsia="zh-CN"/>
              </w:rPr>
            </w:pPr>
            <w:r>
              <w:rPr>
                <w:rFonts w:hint="eastAsia" w:cs="宋体" w:asciiTheme="minorEastAsia" w:hAnsiTheme="minorEastAsia" w:eastAsiaTheme="minorEastAsia"/>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cs="宋体" w:asciiTheme="minorEastAsia" w:hAnsiTheme="minorEastAsia" w:eastAsiaTheme="minorEastAsia"/>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w:t>
            </w:r>
            <w:r>
              <w:rPr>
                <w:rFonts w:hint="default" w:cs="宋体" w:asciiTheme="minorEastAsia" w:hAnsiTheme="minorEastAsia" w:eastAsiaTheme="minorEastAsia"/>
                <w:sz w:val="24"/>
                <w:highlight w:val="none"/>
                <w:u w:val="single"/>
                <w:lang w:val="en-US"/>
              </w:rPr>
              <w:t>9511007</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_Toc164416483"/>
      <w:bookmarkStart w:id="12" w:name="第三部分"/>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r>
        <w:rPr>
          <w:rFonts w:hint="eastAsia" w:cs="宋体" w:asciiTheme="minorEastAsia" w:hAnsiTheme="minorEastAsia" w:eastAsiaTheme="minorEastAsia"/>
          <w:b/>
          <w:sz w:val="24"/>
          <w:highlight w:val="none"/>
          <w:lang w:eastAsia="zh-CN"/>
        </w:rPr>
        <w:t>（本项目不适用）</w:t>
      </w:r>
      <w:r>
        <w:rPr>
          <w:rFonts w:hint="eastAsia" w:cs="宋体" w:asciiTheme="minorEastAsia" w:hAnsiTheme="minorEastAsia" w:eastAsiaTheme="minorEastAsia"/>
          <w:b/>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w:t>
      </w:r>
      <w:r>
        <w:rPr>
          <w:rFonts w:hint="default" w:cs="宋体" w:asciiTheme="minorEastAsia" w:hAnsiTheme="minorEastAsia" w:eastAsiaTheme="minorEastAsia"/>
          <w:sz w:val="24"/>
          <w:highlight w:val="none"/>
          <w:lang w:val="en-US"/>
        </w:rPr>
        <w:t>3</w:t>
      </w:r>
      <w:r>
        <w:rPr>
          <w:rFonts w:hint="eastAsia" w:cs="宋体" w:asciiTheme="minorEastAsia" w:hAnsiTheme="minorEastAsia" w:eastAsiaTheme="minorEastAsia"/>
          <w:sz w:val="24"/>
          <w:highlight w:val="none"/>
        </w:rPr>
        <w:t>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4"/>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val="zh-CN"/>
        </w:rPr>
        <w:t>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15"/>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28"/>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28"/>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28"/>
        <w:snapToGrid w:val="0"/>
        <w:spacing w:before="0" w:line="360" w:lineRule="auto"/>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28"/>
        <w:spacing w:before="0" w:line="360" w:lineRule="auto"/>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28"/>
        <w:spacing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4"/>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5"/>
        <w:spacing w:line="360" w:lineRule="auto"/>
        <w:ind w:firstLine="360" w:firstLineChars="1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28"/>
        <w:spacing w:before="0"/>
        <w:ind w:firstLine="48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17.4在投标截止时间起至投标有效期届满，供应商投标文件不可撤销。</w:t>
      </w:r>
    </w:p>
    <w:p>
      <w:pPr>
        <w:pStyle w:val="128"/>
        <w:spacing w:before="0"/>
        <w:ind w:firstLine="643"/>
        <w:rPr>
          <w:rFonts w:cs="宋体" w:asciiTheme="minorEastAsia" w:hAnsiTheme="minorEastAsia" w:eastAsiaTheme="minorEastAsia"/>
          <w:b/>
          <w:sz w:val="32"/>
          <w:highlight w:val="none"/>
        </w:rPr>
      </w:pPr>
    </w:p>
    <w:p>
      <w:pPr>
        <w:pStyle w:val="128"/>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4"/>
        <w:spacing w:before="0" w:line="360" w:lineRule="auto"/>
        <w:ind w:left="0" w:leftChars="0" w:firstLine="0" w:firstLineChars="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4"/>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leftChars="0" w:firstLine="0" w:firstLineChars="0"/>
        <w:contextualSpacing/>
        <w:rPr>
          <w:rFonts w:ascii="宋体" w:hAnsi="宋体" w:cs="宋体"/>
          <w:b/>
          <w:color w:val="auto"/>
          <w:sz w:val="24"/>
          <w:szCs w:val="20"/>
          <w:highlight w:val="none"/>
        </w:rPr>
      </w:pPr>
      <w:r>
        <w:rPr>
          <w:rFonts w:hint="eastAsia" w:ascii="宋体" w:hAnsi="宋体" w:cs="宋体"/>
          <w:b/>
          <w:color w:val="auto"/>
          <w:sz w:val="24"/>
          <w:szCs w:val="20"/>
          <w:highlight w:val="none"/>
        </w:rPr>
        <w:t>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left="0" w:leftChars="0"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28"/>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28"/>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pStyle w:val="3"/>
        <w:ind w:left="0" w:firstLine="480" w:firstLineChars="200"/>
        <w:rPr>
          <w:rFonts w:hint="eastAsia" w:cs="宋体" w:asciiTheme="minorEastAsia" w:hAnsiTheme="minorEastAsia" w:eastAsiaTheme="minorEastAsia"/>
          <w:b w:val="0"/>
          <w:bCs w:val="0"/>
          <w:snapToGrid w:val="0"/>
          <w:kern w:val="28"/>
          <w:sz w:val="24"/>
          <w:highlight w:val="none"/>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rPr>
          <w:highlight w:val="none"/>
          <w:lang w:val="en-US"/>
        </w:rPr>
      </w:pPr>
    </w:p>
    <w:p>
      <w:pPr>
        <w:snapToGrid w:val="0"/>
        <w:spacing w:line="360" w:lineRule="auto"/>
        <w:ind w:firstLine="3357" w:firstLineChars="1045"/>
        <w:rPr>
          <w:rFonts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28"/>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b/>
          <w:szCs w:val="24"/>
          <w:highlight w:val="none"/>
          <w:lang w:val="en-US" w:eastAsia="zh-CN"/>
        </w:rPr>
        <w:t>8</w:t>
      </w:r>
      <w:r>
        <w:rPr>
          <w:rFonts w:hint="eastAsia" w:cs="宋体" w:asciiTheme="minorEastAsia" w:hAnsiTheme="minorEastAsia" w:eastAsiaTheme="minorEastAsia"/>
          <w:b/>
          <w:szCs w:val="24"/>
          <w:highlight w:val="none"/>
        </w:rPr>
        <w:t>.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.1电子交易平台发生故障而无法登录访问的； </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.2电子交易平台应用或数据库出现错误，不能进行正常操作的；</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.3电子交易平台发现严重安全漏洞，有潜在泄密危险的；</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.4病毒发作导致不能进行正常操作的； </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.5其他无法保证电子交易的公平、公正和安全的情况。</w:t>
      </w:r>
    </w:p>
    <w:p>
      <w:pPr>
        <w:pStyle w:val="128"/>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bookmarkEnd w:id="11"/>
    <w:bookmarkEnd w:id="12"/>
    <w:bookmarkEnd w:id="13"/>
    <w:p>
      <w:pPr>
        <w:snapToGrid w:val="0"/>
        <w:spacing w:line="360" w:lineRule="auto"/>
        <w:ind w:left="120" w:leftChars="57" w:firstLine="482" w:firstLineChars="150"/>
        <w:jc w:val="center"/>
        <w:rPr>
          <w:rFonts w:ascii="宋体" w:hAnsi="宋体" w:cs="宋体"/>
          <w:b/>
          <w:sz w:val="32"/>
          <w:highlight w:val="none"/>
        </w:rPr>
      </w:pPr>
      <w:bookmarkStart w:id="15" w:name="第四部分"/>
      <w:r>
        <w:rPr>
          <w:rFonts w:hint="eastAsia" w:ascii="宋体" w:hAnsi="宋体" w:cs="宋体"/>
          <w:b/>
          <w:sz w:val="32"/>
          <w:highlight w:val="none"/>
        </w:rPr>
        <w:t>九、验收</w:t>
      </w:r>
    </w:p>
    <w:p>
      <w:pPr>
        <w:pStyle w:val="25"/>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bookmarkStart w:id="16" w:name="_Hlt75236290"/>
      <w:bookmarkEnd w:id="16"/>
      <w:bookmarkStart w:id="17" w:name="_Hlt74729768"/>
      <w:bookmarkEnd w:id="17"/>
      <w:bookmarkStart w:id="18" w:name="_Hlt74707468"/>
      <w:bookmarkEnd w:id="18"/>
      <w:bookmarkStart w:id="19" w:name="_Hlt75236101"/>
      <w:bookmarkEnd w:id="19"/>
      <w:bookmarkStart w:id="20" w:name="_Hlt74714665"/>
      <w:bookmarkEnd w:id="20"/>
      <w:bookmarkStart w:id="21" w:name="_Hlt68072990"/>
      <w:bookmarkEnd w:id="21"/>
      <w:bookmarkStart w:id="22" w:name="_Hlt68403820"/>
      <w:bookmarkEnd w:id="22"/>
      <w:bookmarkStart w:id="23" w:name="_Hlt75236011"/>
      <w:bookmarkEnd w:id="23"/>
      <w:bookmarkStart w:id="24" w:name="_Hlt74730295"/>
      <w:bookmarkEnd w:id="24"/>
      <w:bookmarkStart w:id="25" w:name="_Hlt68057669"/>
      <w:bookmarkEnd w:id="25"/>
      <w:bookmarkStart w:id="26" w:name="_Hlt68073093"/>
      <w:bookmarkEnd w:id="26"/>
      <w:bookmarkStart w:id="27" w:name="_Hlt68072998"/>
      <w:bookmarkEnd w:id="27"/>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第三部分   采购需求</w:t>
      </w:r>
    </w:p>
    <w:p>
      <w:pPr>
        <w:adjustRightInd/>
        <w:spacing w:before="120" w:beforeLines="50" w:after="120" w:afterLines="50" w:line="360" w:lineRule="auto"/>
        <w:jc w:val="left"/>
        <w:outlineLvl w:val="1"/>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属于实质性要求条款的，已用符号“▲”标明，否则属于非实质性要求。</w:t>
      </w:r>
    </w:p>
    <w:p>
      <w:pPr>
        <w:pStyle w:val="3"/>
        <w:keepNext w:val="0"/>
        <w:rPr>
          <w:rFonts w:ascii="宋体" w:hAnsi="宋体" w:eastAsia="宋体" w:cs="宋体"/>
          <w:sz w:val="24"/>
          <w:szCs w:val="24"/>
          <w:highlight w:val="none"/>
        </w:rPr>
      </w:pPr>
      <w:r>
        <w:rPr>
          <w:rFonts w:hint="eastAsia" w:ascii="宋体" w:hAnsi="宋体" w:eastAsia="宋体" w:cs="宋体"/>
          <w:sz w:val="24"/>
          <w:szCs w:val="24"/>
          <w:highlight w:val="none"/>
        </w:rPr>
        <w:t>一、项目概况</w:t>
      </w:r>
    </w:p>
    <w:p>
      <w:pPr>
        <w:spacing w:line="360" w:lineRule="auto"/>
        <w:ind w:firstLine="480" w:firstLineChars="200"/>
        <w:rPr>
          <w:rFonts w:ascii="宋体" w:hAnsi="宋体"/>
          <w:color w:val="000000"/>
          <w:sz w:val="24"/>
          <w:highlight w:val="none"/>
        </w:rPr>
      </w:pPr>
      <w:r>
        <w:rPr>
          <w:rFonts w:hint="eastAsia" w:ascii="宋体" w:hAnsi="宋体"/>
          <w:bCs/>
          <w:color w:val="000000"/>
          <w:kern w:val="0"/>
          <w:sz w:val="24"/>
          <w:highlight w:val="none"/>
        </w:rPr>
        <w:t>西湖区卫生健康区域信息平台为了完善全区卫生网络安全体系建设，同时满足日常区域医学影像业务增长需求</w:t>
      </w:r>
      <w:r>
        <w:rPr>
          <w:rFonts w:hint="eastAsia" w:ascii="宋体" w:hAnsi="宋体"/>
          <w:color w:val="000000"/>
          <w:sz w:val="24"/>
          <w:highlight w:val="none"/>
        </w:rPr>
        <w:t>。此次项目通过安全服务扩容、安全监控系统建立以及区域医学影像平台扩容，进一步优化提升区域信息平台的工作。</w:t>
      </w:r>
    </w:p>
    <w:p>
      <w:pPr>
        <w:pStyle w:val="3"/>
        <w:keepNext w:val="0"/>
        <w:rPr>
          <w:rFonts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val="en-US"/>
        </w:rPr>
        <w:t>建设内容</w:t>
      </w:r>
      <w:r>
        <w:rPr>
          <w:rFonts w:hint="eastAsia" w:ascii="宋体" w:hAnsi="宋体" w:eastAsia="宋体" w:cs="宋体"/>
          <w:sz w:val="24"/>
          <w:szCs w:val="24"/>
          <w:highlight w:val="none"/>
        </w:rPr>
        <w:t>：</w:t>
      </w:r>
    </w:p>
    <w:p>
      <w:pPr>
        <w:spacing w:line="360" w:lineRule="auto"/>
        <w:ind w:firstLine="480" w:firstLineChars="200"/>
        <w:rPr>
          <w:rFonts w:hAnsi="宋体" w:cs="宋体"/>
          <w:bCs/>
          <w:sz w:val="24"/>
          <w:highlight w:val="none"/>
        </w:rPr>
      </w:pPr>
      <w:r>
        <w:rPr>
          <w:rFonts w:hint="eastAsia" w:ascii="宋体" w:hAnsi="宋体"/>
          <w:bCs/>
          <w:color w:val="000000"/>
          <w:kern w:val="0"/>
          <w:sz w:val="24"/>
          <w:highlight w:val="none"/>
        </w:rPr>
        <w:t>本期项目将针对西湖区区域卫生信息平台部分节点进行扩容，满足整体区域卫生健康信息系统业务需求，</w:t>
      </w:r>
      <w:r>
        <w:rPr>
          <w:rFonts w:ascii="宋体" w:hAnsi="宋体"/>
          <w:bCs/>
          <w:color w:val="000000"/>
          <w:kern w:val="0"/>
          <w:sz w:val="24"/>
          <w:highlight w:val="none"/>
        </w:rPr>
        <w:t>其中包括：</w:t>
      </w:r>
      <w:r>
        <w:rPr>
          <w:rFonts w:hint="eastAsia" w:hAnsi="宋体" w:cs="宋体"/>
          <w:bCs/>
          <w:sz w:val="24"/>
          <w:highlight w:val="none"/>
        </w:rPr>
        <w:t>日志审计扩容服务，主机安全监测系统许可扩容服务，终端网络安全监控、医院端安全监控集成，终端网络安全监控运维一体机，区域医学影像SAN网络扩容，医学影像数据存储归档系统扩容服务，医学影像备份一体机扩容，项目不得少于</w:t>
      </w:r>
      <w:r>
        <w:rPr>
          <w:rFonts w:hAnsi="宋体" w:cs="宋体"/>
          <w:bCs/>
          <w:sz w:val="24"/>
          <w:highlight w:val="none"/>
        </w:rPr>
        <w:t>3</w:t>
      </w:r>
      <w:r>
        <w:rPr>
          <w:rFonts w:hint="eastAsia" w:hAnsi="宋体" w:cs="宋体"/>
          <w:bCs/>
          <w:sz w:val="24"/>
          <w:highlight w:val="none"/>
        </w:rPr>
        <w:t>年7×24小时免费售后技术服务，并且提供如下系统安全集成服务方案：</w:t>
      </w:r>
    </w:p>
    <w:p>
      <w:pPr>
        <w:spacing w:line="360" w:lineRule="auto"/>
        <w:ind w:firstLine="480" w:firstLineChars="200"/>
        <w:rPr>
          <w:rFonts w:hint="eastAsia" w:hAnsi="宋体" w:cs="宋体"/>
          <w:bCs/>
          <w:sz w:val="24"/>
          <w:highlight w:val="none"/>
        </w:rPr>
      </w:pPr>
      <w:r>
        <w:rPr>
          <w:rFonts w:hint="eastAsia" w:hAnsi="宋体" w:cs="宋体"/>
          <w:bCs/>
          <w:sz w:val="24"/>
          <w:highlight w:val="none"/>
        </w:rPr>
        <w:t>1、提供终端安全和主机安全监测及安全管理系统融合多维度安全防御服务方案；</w:t>
      </w:r>
    </w:p>
    <w:p>
      <w:pPr>
        <w:spacing w:line="360" w:lineRule="auto"/>
        <w:ind w:firstLine="480" w:firstLineChars="200"/>
        <w:rPr>
          <w:rFonts w:hint="eastAsia" w:hAnsi="宋体" w:cs="宋体"/>
          <w:bCs/>
          <w:sz w:val="24"/>
          <w:highlight w:val="none"/>
        </w:rPr>
      </w:pPr>
      <w:r>
        <w:rPr>
          <w:rFonts w:hAnsi="宋体" w:cs="宋体"/>
          <w:bCs/>
          <w:sz w:val="24"/>
          <w:highlight w:val="none"/>
        </w:rPr>
        <w:t>2、</w:t>
      </w:r>
      <w:r>
        <w:rPr>
          <w:rFonts w:hint="eastAsia" w:hAnsi="宋体" w:cs="宋体"/>
          <w:bCs/>
          <w:sz w:val="24"/>
          <w:highlight w:val="none"/>
        </w:rPr>
        <w:t>提供升级后影像系统数据存储复制和联动服务方案；</w:t>
      </w:r>
    </w:p>
    <w:p>
      <w:pPr>
        <w:spacing w:line="360" w:lineRule="auto"/>
        <w:ind w:firstLine="480" w:firstLineChars="200"/>
        <w:rPr>
          <w:rFonts w:hint="eastAsia" w:hAnsi="宋体" w:cs="宋体"/>
          <w:bCs/>
          <w:sz w:val="24"/>
          <w:highlight w:val="none"/>
        </w:rPr>
      </w:pPr>
      <w:r>
        <w:rPr>
          <w:rFonts w:hAnsi="宋体" w:cs="宋体"/>
          <w:bCs/>
          <w:sz w:val="24"/>
          <w:highlight w:val="none"/>
        </w:rPr>
        <w:t>3、</w:t>
      </w:r>
      <w:r>
        <w:rPr>
          <w:rFonts w:hint="eastAsia" w:hAnsi="宋体" w:cs="宋体"/>
          <w:bCs/>
          <w:sz w:val="24"/>
          <w:highlight w:val="none"/>
        </w:rPr>
        <w:t>提供主机安全监测及安全管理系统和现有EDR部署在同一台主机中功能冲突问题的服务方案；</w:t>
      </w:r>
    </w:p>
    <w:p>
      <w:pPr>
        <w:spacing w:line="360" w:lineRule="auto"/>
        <w:ind w:firstLine="480" w:firstLineChars="200"/>
        <w:rPr>
          <w:rFonts w:hint="eastAsia" w:hAnsi="宋体" w:cs="宋体"/>
          <w:bCs/>
          <w:sz w:val="24"/>
          <w:highlight w:val="none"/>
        </w:rPr>
      </w:pPr>
      <w:r>
        <w:rPr>
          <w:rFonts w:hAnsi="宋体" w:cs="宋体"/>
          <w:bCs/>
          <w:sz w:val="24"/>
          <w:highlight w:val="none"/>
        </w:rPr>
        <w:t>4、</w:t>
      </w:r>
      <w:r>
        <w:rPr>
          <w:rFonts w:hint="eastAsia" w:hAnsi="宋体" w:cs="宋体"/>
          <w:bCs/>
          <w:sz w:val="24"/>
          <w:highlight w:val="none"/>
        </w:rPr>
        <w:t>提供医学影像病历库数据存储扩容并调整业务数据访问的详细服务方案；</w:t>
      </w:r>
    </w:p>
    <w:p>
      <w:pPr>
        <w:spacing w:line="360" w:lineRule="auto"/>
        <w:ind w:firstLine="480" w:firstLineChars="200"/>
        <w:rPr>
          <w:rFonts w:hint="eastAsia" w:hAnsi="宋体" w:cs="宋体"/>
          <w:bCs/>
          <w:sz w:val="24"/>
          <w:highlight w:val="none"/>
        </w:rPr>
      </w:pPr>
      <w:r>
        <w:rPr>
          <w:rFonts w:hAnsi="宋体" w:cs="宋体"/>
          <w:bCs/>
          <w:sz w:val="24"/>
          <w:highlight w:val="none"/>
        </w:rPr>
        <w:t>5、</w:t>
      </w:r>
      <w:r>
        <w:rPr>
          <w:rFonts w:hint="eastAsia" w:hAnsi="宋体" w:cs="宋体"/>
          <w:bCs/>
          <w:sz w:val="24"/>
          <w:highlight w:val="none"/>
        </w:rPr>
        <w:t>提供与现有医学影像病历库数据存储设备实现对医学影像病历库业务进行在线数据和近线数据联动服务方案；</w:t>
      </w:r>
    </w:p>
    <w:p>
      <w:pPr>
        <w:spacing w:line="360" w:lineRule="auto"/>
        <w:ind w:firstLine="480" w:firstLineChars="200"/>
        <w:rPr>
          <w:rFonts w:ascii="宋体" w:hAnsi="宋体"/>
          <w:bCs/>
          <w:color w:val="000000"/>
          <w:kern w:val="0"/>
          <w:sz w:val="24"/>
          <w:highlight w:val="none"/>
        </w:rPr>
      </w:pPr>
      <w:r>
        <w:rPr>
          <w:rFonts w:hAnsi="宋体" w:cs="宋体"/>
          <w:bCs/>
          <w:sz w:val="24"/>
          <w:highlight w:val="none"/>
        </w:rPr>
        <w:t>6、</w:t>
      </w:r>
      <w:r>
        <w:rPr>
          <w:rFonts w:hint="eastAsia" w:hAnsi="宋体" w:cs="宋体"/>
          <w:bCs/>
          <w:sz w:val="24"/>
          <w:highlight w:val="none"/>
        </w:rPr>
        <w:t>提供医院终端网络安全技术解决方案、平台和医院端对于终端安全共同运维和管理服务方案。</w:t>
      </w:r>
    </w:p>
    <w:p>
      <w:pPr>
        <w:pStyle w:val="3"/>
        <w:keepNext w:val="0"/>
        <w:rPr>
          <w:rFonts w:ascii="宋体" w:hAnsi="宋体" w:eastAsia="宋体" w:cs="宋体"/>
          <w:sz w:val="24"/>
          <w:szCs w:val="24"/>
          <w:highlight w:val="none"/>
        </w:rPr>
      </w:pPr>
      <w:r>
        <w:rPr>
          <w:rFonts w:ascii="宋体" w:hAnsi="宋体" w:eastAsia="宋体" w:cs="宋体"/>
          <w:sz w:val="24"/>
          <w:szCs w:val="24"/>
          <w:highlight w:val="none"/>
        </w:rPr>
        <w:t>三、服务</w:t>
      </w:r>
      <w:r>
        <w:rPr>
          <w:rFonts w:hint="eastAsia" w:ascii="宋体" w:hAnsi="宋体" w:eastAsia="宋体" w:cs="宋体"/>
          <w:sz w:val="24"/>
          <w:szCs w:val="24"/>
          <w:highlight w:val="none"/>
        </w:rPr>
        <w:t>项目清单</w:t>
      </w:r>
    </w:p>
    <w:tbl>
      <w:tblPr>
        <w:tblStyle w:val="62"/>
        <w:tblW w:w="5000" w:type="pct"/>
        <w:jc w:val="center"/>
        <w:tblLayout w:type="autofit"/>
        <w:tblCellMar>
          <w:top w:w="0" w:type="dxa"/>
          <w:left w:w="108" w:type="dxa"/>
          <w:bottom w:w="0" w:type="dxa"/>
          <w:right w:w="108" w:type="dxa"/>
        </w:tblCellMar>
      </w:tblPr>
      <w:tblGrid>
        <w:gridCol w:w="742"/>
        <w:gridCol w:w="5072"/>
        <w:gridCol w:w="1286"/>
        <w:gridCol w:w="1395"/>
      </w:tblGrid>
      <w:tr>
        <w:tblPrEx>
          <w:tblCellMar>
            <w:top w:w="0" w:type="dxa"/>
            <w:left w:w="108" w:type="dxa"/>
            <w:bottom w:w="0" w:type="dxa"/>
            <w:right w:w="108" w:type="dxa"/>
          </w:tblCellMar>
        </w:tblPrEx>
        <w:trPr>
          <w:trHeight w:val="270"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序号</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功能分类</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ind w:firstLine="240" w:firstLineChars="100"/>
              <w:jc w:val="center"/>
              <w:rPr>
                <w:rFonts w:ascii="宋体" w:hAnsi="宋体"/>
                <w:color w:val="000000"/>
                <w:sz w:val="24"/>
                <w:szCs w:val="20"/>
                <w:highlight w:val="none"/>
              </w:rPr>
            </w:pPr>
            <w:r>
              <w:rPr>
                <w:rFonts w:hint="eastAsia" w:ascii="宋体" w:hAnsi="宋体"/>
                <w:color w:val="000000"/>
                <w:sz w:val="24"/>
                <w:szCs w:val="20"/>
                <w:highlight w:val="none"/>
              </w:rPr>
              <w:t>单位</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数量</w:t>
            </w:r>
          </w:p>
        </w:tc>
      </w:tr>
      <w:tr>
        <w:tblPrEx>
          <w:tblCellMar>
            <w:top w:w="0" w:type="dxa"/>
            <w:left w:w="108" w:type="dxa"/>
            <w:bottom w:w="0" w:type="dxa"/>
            <w:right w:w="108" w:type="dxa"/>
          </w:tblCellMar>
        </w:tblPrEx>
        <w:trPr>
          <w:trHeight w:val="270"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日志审计扩容服务</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项</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p>
        </w:tc>
      </w:tr>
      <w:tr>
        <w:tblPrEx>
          <w:tblCellMar>
            <w:top w:w="0" w:type="dxa"/>
            <w:left w:w="108" w:type="dxa"/>
            <w:bottom w:w="0" w:type="dxa"/>
            <w:right w:w="108" w:type="dxa"/>
          </w:tblCellMar>
        </w:tblPrEx>
        <w:trPr>
          <w:trHeight w:val="270"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2</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s="宋体"/>
                <w:color w:val="000000"/>
                <w:kern w:val="0"/>
                <w:sz w:val="24"/>
                <w:highlight w:val="none"/>
              </w:rPr>
              <w:t>主机安全监测系统许可扩容服务</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项</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1</w:t>
            </w:r>
          </w:p>
        </w:tc>
      </w:tr>
      <w:tr>
        <w:tblPrEx>
          <w:tblCellMar>
            <w:top w:w="0" w:type="dxa"/>
            <w:left w:w="108" w:type="dxa"/>
            <w:bottom w:w="0" w:type="dxa"/>
            <w:right w:w="108" w:type="dxa"/>
          </w:tblCellMar>
        </w:tblPrEx>
        <w:trPr>
          <w:trHeight w:val="267"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3</w:t>
            </w:r>
          </w:p>
        </w:tc>
        <w:tc>
          <w:tcPr>
            <w:tcW w:w="298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jc w:val="center"/>
              <w:rPr>
                <w:rFonts w:ascii="宋体" w:hAnsi="宋体"/>
                <w:color w:val="000000"/>
                <w:sz w:val="24"/>
                <w:szCs w:val="20"/>
                <w:highlight w:val="none"/>
              </w:rPr>
            </w:pPr>
            <w:r>
              <w:rPr>
                <w:rFonts w:hint="eastAsia" w:ascii="宋体" w:hAnsi="宋体"/>
                <w:color w:val="000000"/>
                <w:sz w:val="24"/>
                <w:szCs w:val="20"/>
                <w:highlight w:val="none"/>
              </w:rPr>
              <w:t>终端网络安全监控服务</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台</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1</w:t>
            </w:r>
          </w:p>
        </w:tc>
      </w:tr>
      <w:tr>
        <w:tblPrEx>
          <w:tblCellMar>
            <w:top w:w="0" w:type="dxa"/>
            <w:left w:w="108" w:type="dxa"/>
            <w:bottom w:w="0" w:type="dxa"/>
            <w:right w:w="108" w:type="dxa"/>
          </w:tblCellMar>
        </w:tblPrEx>
        <w:trPr>
          <w:trHeight w:val="354" w:hRule="atLeast"/>
          <w:jc w:val="center"/>
        </w:trPr>
        <w:tc>
          <w:tcPr>
            <w:tcW w:w="437" w:type="pct"/>
            <w:tcBorders>
              <w:top w:val="nil"/>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4</w:t>
            </w:r>
          </w:p>
        </w:tc>
        <w:tc>
          <w:tcPr>
            <w:tcW w:w="2985" w:type="pct"/>
            <w:tcBorders>
              <w:top w:val="nil"/>
              <w:left w:val="nil"/>
              <w:bottom w:val="single" w:color="auto" w:sz="4" w:space="0"/>
              <w:right w:val="single" w:color="auto" w:sz="4" w:space="0"/>
            </w:tcBorders>
            <w:shd w:val="clear" w:color="auto" w:fill="auto"/>
            <w:noWrap w:val="0"/>
            <w:vAlign w:val="center"/>
          </w:tcPr>
          <w:p>
            <w:pPr>
              <w:adjustRightInd/>
              <w:jc w:val="center"/>
              <w:rPr>
                <w:rFonts w:ascii="宋体" w:hAnsi="宋体"/>
                <w:color w:val="000000"/>
                <w:sz w:val="24"/>
                <w:szCs w:val="20"/>
                <w:highlight w:val="none"/>
              </w:rPr>
            </w:pPr>
            <w:r>
              <w:rPr>
                <w:rFonts w:hint="eastAsia" w:ascii="宋体" w:hAnsi="宋体"/>
                <w:color w:val="000000"/>
                <w:sz w:val="24"/>
                <w:szCs w:val="20"/>
                <w:highlight w:val="none"/>
              </w:rPr>
              <w:t>医院端安全监控集成</w:t>
            </w:r>
          </w:p>
        </w:tc>
        <w:tc>
          <w:tcPr>
            <w:tcW w:w="757" w:type="pct"/>
            <w:tcBorders>
              <w:top w:val="nil"/>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台</w:t>
            </w:r>
          </w:p>
        </w:tc>
        <w:tc>
          <w:tcPr>
            <w:tcW w:w="821" w:type="pct"/>
            <w:tcBorders>
              <w:top w:val="nil"/>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r>
              <w:rPr>
                <w:rFonts w:ascii="宋体" w:hAnsi="宋体"/>
                <w:color w:val="000000"/>
                <w:sz w:val="24"/>
                <w:szCs w:val="20"/>
                <w:highlight w:val="none"/>
              </w:rPr>
              <w:t>1</w:t>
            </w:r>
          </w:p>
        </w:tc>
      </w:tr>
      <w:tr>
        <w:tblPrEx>
          <w:tblCellMar>
            <w:top w:w="0" w:type="dxa"/>
            <w:left w:w="108" w:type="dxa"/>
            <w:bottom w:w="0" w:type="dxa"/>
            <w:right w:w="108" w:type="dxa"/>
          </w:tblCellMar>
        </w:tblPrEx>
        <w:trPr>
          <w:trHeight w:val="382"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5</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jc w:val="center"/>
              <w:rPr>
                <w:rFonts w:ascii="宋体" w:hAnsi="宋体"/>
                <w:color w:val="000000"/>
                <w:sz w:val="24"/>
                <w:szCs w:val="20"/>
                <w:highlight w:val="none"/>
              </w:rPr>
            </w:pPr>
            <w:r>
              <w:rPr>
                <w:rFonts w:hint="eastAsia" w:ascii="宋体" w:hAnsi="宋体"/>
                <w:color w:val="000000"/>
                <w:sz w:val="24"/>
                <w:szCs w:val="20"/>
                <w:highlight w:val="none"/>
              </w:rPr>
              <w:t>终端网络安全监控运维一体机</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台</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p>
        </w:tc>
      </w:tr>
      <w:tr>
        <w:tblPrEx>
          <w:tblCellMar>
            <w:top w:w="0" w:type="dxa"/>
            <w:left w:w="108" w:type="dxa"/>
            <w:bottom w:w="0" w:type="dxa"/>
            <w:right w:w="108" w:type="dxa"/>
          </w:tblCellMar>
        </w:tblPrEx>
        <w:trPr>
          <w:trHeight w:val="382"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6</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Cs/>
                <w:sz w:val="24"/>
                <w:szCs w:val="32"/>
                <w:highlight w:val="none"/>
              </w:rPr>
            </w:pPr>
            <w:r>
              <w:rPr>
                <w:rFonts w:hint="eastAsia" w:ascii="宋体" w:hAnsi="宋体"/>
                <w:bCs/>
                <w:sz w:val="24"/>
                <w:szCs w:val="32"/>
                <w:highlight w:val="none"/>
              </w:rPr>
              <w:t>区域医学影像SAN网络扩容</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台</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2</w:t>
            </w:r>
          </w:p>
        </w:tc>
      </w:tr>
      <w:tr>
        <w:tblPrEx>
          <w:tblCellMar>
            <w:top w:w="0" w:type="dxa"/>
            <w:left w:w="108" w:type="dxa"/>
            <w:bottom w:w="0" w:type="dxa"/>
            <w:right w:w="108" w:type="dxa"/>
          </w:tblCellMar>
        </w:tblPrEx>
        <w:trPr>
          <w:trHeight w:val="382"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7</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jc w:val="center"/>
              <w:rPr>
                <w:rFonts w:ascii="宋体" w:hAnsi="宋体" w:cs="宋体"/>
                <w:color w:val="000000"/>
                <w:kern w:val="0"/>
                <w:sz w:val="24"/>
                <w:highlight w:val="none"/>
              </w:rPr>
            </w:pPr>
            <w:r>
              <w:rPr>
                <w:rFonts w:hint="eastAsia" w:ascii="宋体" w:hAnsi="宋体" w:cs="宋体"/>
                <w:color w:val="000000"/>
                <w:kern w:val="0"/>
                <w:sz w:val="24"/>
                <w:highlight w:val="none"/>
              </w:rPr>
              <w:t>医学影像数据存储归档系统扩容服务</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项</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p>
        </w:tc>
      </w:tr>
      <w:tr>
        <w:tblPrEx>
          <w:tblCellMar>
            <w:top w:w="0" w:type="dxa"/>
            <w:left w:w="108" w:type="dxa"/>
            <w:bottom w:w="0" w:type="dxa"/>
            <w:right w:w="108" w:type="dxa"/>
          </w:tblCellMar>
        </w:tblPrEx>
        <w:trPr>
          <w:trHeight w:val="382" w:hRule="atLeast"/>
          <w:jc w:val="center"/>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ascii="宋体" w:hAnsi="宋体"/>
                <w:color w:val="000000"/>
                <w:sz w:val="24"/>
                <w:szCs w:val="20"/>
                <w:highlight w:val="none"/>
              </w:rPr>
              <w:t>8</w:t>
            </w:r>
          </w:p>
        </w:tc>
        <w:tc>
          <w:tcPr>
            <w:tcW w:w="2985" w:type="pct"/>
            <w:tcBorders>
              <w:top w:val="single" w:color="auto" w:sz="4" w:space="0"/>
              <w:left w:val="nil"/>
              <w:bottom w:val="single" w:color="auto" w:sz="4" w:space="0"/>
              <w:right w:val="single" w:color="auto" w:sz="4" w:space="0"/>
            </w:tcBorders>
            <w:shd w:val="clear" w:color="auto" w:fill="auto"/>
            <w:noWrap/>
            <w:vAlign w:val="center"/>
          </w:tcPr>
          <w:p>
            <w:pPr>
              <w:adjustRightInd/>
              <w:jc w:val="center"/>
              <w:rPr>
                <w:rFonts w:ascii="宋体" w:hAnsi="宋体" w:cs="宋体"/>
                <w:color w:val="000000"/>
                <w:kern w:val="0"/>
                <w:sz w:val="24"/>
                <w:highlight w:val="none"/>
              </w:rPr>
            </w:pPr>
            <w:r>
              <w:rPr>
                <w:rFonts w:hint="eastAsia" w:ascii="宋体" w:hAnsi="宋体" w:cs="宋体"/>
                <w:color w:val="000000"/>
                <w:kern w:val="0"/>
                <w:sz w:val="24"/>
                <w:highlight w:val="none"/>
              </w:rPr>
              <w:t>医学影像备份一体机扩容</w:t>
            </w:r>
          </w:p>
        </w:tc>
        <w:tc>
          <w:tcPr>
            <w:tcW w:w="757" w:type="pct"/>
            <w:tcBorders>
              <w:top w:val="single" w:color="auto" w:sz="4" w:space="0"/>
              <w:left w:val="nil"/>
              <w:bottom w:val="single" w:color="auto" w:sz="4" w:space="0"/>
              <w:right w:val="single" w:color="auto" w:sz="4" w:space="0"/>
            </w:tcBorders>
            <w:shd w:val="clear" w:color="auto" w:fill="auto"/>
            <w:noWrap w:val="0"/>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项</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pacing w:line="276" w:lineRule="auto"/>
              <w:jc w:val="center"/>
              <w:rPr>
                <w:rFonts w:ascii="宋体" w:hAnsi="宋体"/>
                <w:color w:val="000000"/>
                <w:sz w:val="24"/>
                <w:szCs w:val="20"/>
                <w:highlight w:val="none"/>
              </w:rPr>
            </w:pPr>
            <w:r>
              <w:rPr>
                <w:rFonts w:hint="eastAsia" w:ascii="宋体" w:hAnsi="宋体"/>
                <w:color w:val="000000"/>
                <w:sz w:val="24"/>
                <w:szCs w:val="20"/>
                <w:highlight w:val="none"/>
              </w:rPr>
              <w:t>1</w:t>
            </w:r>
          </w:p>
        </w:tc>
      </w:tr>
    </w:tbl>
    <w:p>
      <w:pPr>
        <w:pStyle w:val="255"/>
        <w:numPr>
          <w:ilvl w:val="0"/>
          <w:numId w:val="1"/>
        </w:numPr>
        <w:adjustRightInd/>
        <w:spacing w:line="460" w:lineRule="exact"/>
        <w:ind w:firstLineChars="0"/>
        <w:rPr>
          <w:rFonts w:ascii="宋体" w:hAnsi="宋体" w:eastAsia="宋体"/>
          <w:b/>
          <w:color w:val="000000"/>
          <w:szCs w:val="20"/>
          <w:highlight w:val="none"/>
        </w:rPr>
      </w:pPr>
      <w:r>
        <w:rPr>
          <w:rFonts w:hint="eastAsia" w:ascii="宋体" w:hAnsi="宋体" w:eastAsia="宋体"/>
          <w:b/>
          <w:color w:val="000000"/>
          <w:szCs w:val="20"/>
          <w:highlight w:val="none"/>
        </w:rPr>
        <w:t>采购内容及服务参数要求</w:t>
      </w:r>
    </w:p>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1）日志审计扩容服务</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1"/>
        <w:gridCol w:w="5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color w:val="000000"/>
                <w:sz w:val="24"/>
                <w:highlight w:val="none"/>
              </w:rPr>
              <w:t>指标项</w:t>
            </w:r>
          </w:p>
        </w:tc>
        <w:tc>
          <w:tcPr>
            <w:tcW w:w="3516"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日志审计扩容服务</w:t>
            </w:r>
          </w:p>
        </w:tc>
        <w:tc>
          <w:tcPr>
            <w:tcW w:w="3516" w:type="pct"/>
            <w:shd w:val="clear" w:color="auto" w:fill="auto"/>
            <w:noWrap w:val="0"/>
            <w:vAlign w:val="center"/>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现有日志审计设备扩容服务，扩8T容量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服务期</w:t>
            </w:r>
          </w:p>
        </w:tc>
        <w:tc>
          <w:tcPr>
            <w:tcW w:w="35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提供三年服务。</w:t>
            </w:r>
          </w:p>
        </w:tc>
      </w:tr>
    </w:tbl>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2）主机安全监测系统许可扩容服务</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1"/>
        <w:gridCol w:w="5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color w:val="000000"/>
                <w:sz w:val="24"/>
                <w:highlight w:val="none"/>
              </w:rPr>
              <w:t>指标项</w:t>
            </w:r>
          </w:p>
        </w:tc>
        <w:tc>
          <w:tcPr>
            <w:tcW w:w="3516"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sz w:val="24"/>
                <w:highlight w:val="none"/>
              </w:rPr>
              <w:t>云眼主机安全监测及安全管理系统许可扩容</w:t>
            </w:r>
          </w:p>
        </w:tc>
        <w:tc>
          <w:tcPr>
            <w:tcW w:w="3516" w:type="pct"/>
            <w:shd w:val="clear" w:color="auto" w:fill="auto"/>
            <w:noWrap w:val="0"/>
            <w:vAlign w:val="center"/>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安全狗云眼主机安全监测及安全管理系统许可扩容10个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adjustRightInd/>
              <w:jc w:val="left"/>
              <w:rPr>
                <w:rFonts w:hint="eastAsia" w:ascii="宋体" w:hAnsi="宋体" w:eastAsia="宋体" w:cs="宋体"/>
                <w:sz w:val="24"/>
                <w:highlight w:val="none"/>
              </w:rPr>
            </w:pPr>
            <w:r>
              <w:rPr>
                <w:rFonts w:hint="eastAsia" w:ascii="宋体" w:hAnsi="宋体" w:eastAsia="宋体" w:cs="宋体"/>
                <w:color w:val="000000"/>
                <w:sz w:val="24"/>
                <w:highlight w:val="none"/>
              </w:rPr>
              <w:t>服务期</w:t>
            </w:r>
          </w:p>
        </w:tc>
        <w:tc>
          <w:tcPr>
            <w:tcW w:w="3516"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提供三年服务。</w:t>
            </w:r>
          </w:p>
        </w:tc>
      </w:tr>
    </w:tbl>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3）终端网络安全监控系统服务</w:t>
      </w:r>
    </w:p>
    <w:tbl>
      <w:tblPr>
        <w:tblStyle w:val="62"/>
        <w:tblW w:w="5000"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536"/>
        <w:gridCol w:w="69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2" w:hRule="atLeast"/>
          <w:jc w:val="center"/>
        </w:trPr>
        <w:tc>
          <w:tcPr>
            <w:tcW w:w="848"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指标项</w:t>
            </w:r>
          </w:p>
        </w:tc>
        <w:tc>
          <w:tcPr>
            <w:tcW w:w="4152"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1" w:hRule="atLeast"/>
          <w:jc w:val="center"/>
        </w:trPr>
        <w:tc>
          <w:tcPr>
            <w:tcW w:w="848"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服务要求</w:t>
            </w:r>
          </w:p>
        </w:tc>
        <w:tc>
          <w:tcPr>
            <w:tcW w:w="4152"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对整个西湖区卫健局属11家社区卫生服务中心桌面安全情况进行统一监控和管理。服务所有设备功能要求如下表。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1" w:hRule="atLeast"/>
          <w:jc w:val="center"/>
        </w:trPr>
        <w:tc>
          <w:tcPr>
            <w:tcW w:w="848"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基础架构</w:t>
            </w:r>
          </w:p>
        </w:tc>
        <w:tc>
          <w:tcPr>
            <w:tcW w:w="4152"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★基于linux开发的专用系统，标准机架式硬件产品，所有功能基于 一台设备即可实现，无需额外购买服务器、操作系统及数据库等中间件，必须是以准入控制为核心功能。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74" w:hRule="atLeast"/>
          <w:jc w:val="center"/>
        </w:trPr>
        <w:tc>
          <w:tcPr>
            <w:tcW w:w="848"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性能参数</w:t>
            </w:r>
          </w:p>
        </w:tc>
        <w:tc>
          <w:tcPr>
            <w:tcW w:w="4152"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配置双电源；配置6个1000MBASE-T接口，每秒事务数（TPS)：≥7000（次/秒），最大吞吐量：≥2.8Gbps，最大并发连接数：6000（条）；终端用户认证数量：≥3000点；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6"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高可用服务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支持多种灵活的部署方式，无需改变网络结构，部署方式包括但不限于独立部署、热备部署、探针式部署、负载均衡部署、集群部署、扁平化部署、云化部署。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6"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★支持智能逃生判断及管理恢复机制，在单位时间内终端异常离线达到指定逃生阀值则放开网络管控，当终端在线数达到阀值临界点时恢复网络管控；可灵活设置策略生效时间。（功能截图 ，加盖厂商公章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提供专属逃生平台对系统服务状态进行实时评估，逃生平台策略被触发时可保障业务的稳定运行；策略包括但不限于系统服务异常等。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准入技术服务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支持策略路由、端口镜像、透明网桥、802.1X、ARP、DHCP、VLAN隔离、Portal等准入技术，支持准入技术自由组合使用，满足各种复杂网络环境。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★VLAN隔离技术须实现无客户端下的端口级准入效果，vlan隔离须采用不同正常vlan对应不同隔离vlan的方式，并可对通过小路由器、hub接入的设备实现颗粒度管控，不得采用全禁全放的风险行为。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终端通过有线或无线申请接入，可无需用户操作，自动引导终端设备至认证入网页面。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支持划定关键业务范围，针对终端用户发起的访问请求可强制要求二次认证校验。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系统管理服务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管理页面布局及内容支持自定义，内容包括但不限于系统自身接口状态、流量等。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在多管理员状态下，支持设置私有、公有规范策略。私有规范只有创建账号有权限更改、删除，公有规范所有管理员均可更改或删除。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提供移动端专属平台管理页面进行便捷管理，包括但不限于：设备快速定位、设备审核、实时报警监控、客户端卸载确认码生成等。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客户端管理服务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支持安全客户端（Agent）、安全控件、无客户端等多种模式；提供Windows、linux、MAC OS、安卓、IOS专属客户端及APP。</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提供中标麒麟(龙芯)、银河麒麟(飞腾)、统信UOS等国产操作系统专属客户端。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支持灵活的客户端卸载策略，包括但不限于万能卸载码，一对一卸载码，无需卸载码等多种模式。支持设置离线客户端策略，包括但不限于超过指定时间后客户端自动卸载，提醒用户确认是否卸载等。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客户端支持自定义菜单栏及终端用户故障诊断，诊断过程支持录屏，诊断结果支持一键压缩打包。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边界管理服务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支持自动生成全网拓扑图，5分钟自动更新一次网络拓扑信息并刷新。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能够在拓扑图上选取设备查看其基本状态信息、设备型号、所处位置、子节点、路由表、ARP表等信息；支持在界面上提供对该网络设备进行TELNET、SSH等管理；能够在网络拓扑图上由用户自定义显示的节点类型，方便用户通过不同方式查看拓扑连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支持可网管型交换机面板图形化展现各接口状态（up、down、trunk、单/多MAC等），以及各接口下联的终端详细信息（IP、地址、MAC地址等），交换机型号库100+以上。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支持自动识别、发现及阻断网络内私接的家用路由器、hub，提供网络定位功能（可直接定位接入的交换机端口 ）；可一键禁止全网的随身wifi（含软件版）使用。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身份认证服务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支持用户名密码、Ukey、指纹等认证方式，支持与AD域、LDAP、钉钉、Email联动。与钉钉等作为认证源时，终端认证自动跳转认证服务，无需打开相关app。</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★支持设置来宾专属地址段；来宾入网提供二维码、来宾码、自助申请（管理员审批）多种方式；提供来宾入网审批气泡弹窗提醒功能，被访人点击即可审批。（功能截图 ，加盖厂商公章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与AD域联动支持单点登录；支持管理员自定义域信息属性到认证设备，包括但不限于用户姓名、部门、联系电话等。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业务安全服务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支持关键业务端口映射，可设置映射的端口及选择映射的协议类型。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客户端安全基线检查服务（windows）</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IE控件、IE主页、操作系统版本、磁盘使用、计算机开关机、计算机名称、垃圾文件、服务端口、网络连接、系统时间、远程桌面、主机防火墙、p2p软件、软件黑白名单、黑白进程、系统服务、Guest来宾账户、密码策略、屏幕保护 、弱口令、共享检查。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主流的杀毒软件版本、病毒库和运行情况的检查，包括但不限于微软MSE、火绒、安天、天融信、赛门铁克、瑞星、卡巴斯基、金山毒霸、江民、NOD32、360、天擎、亚信趋势、小红伞、可牛、Avast等，支持自动下发软件及运行修复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安检规范支持评分、设置修复期限，终端用户在允许期内即使不修复可正常使用网络。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自定义安全检查项，通过检测终端文件、指定文件版本、大小、MD5，注册表的项、注册表值，进程、服务状态进行检查。通过安装包运行、访问站点、开关服务、关闭进程、执行文件、删除文件、修改注册表进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软件产品正版化检查，包括但不限于 windows、office、WPS产品的授权信息正版化检查。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系统补丁服务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准入设备具有完整的补丁管理子系统，无需第三方补丁服务器支持，自身即可以提供完整的流程化补丁管理，包括同步更新、补丁分发表等功能。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准入设备能够对补丁进行分级，分为：严重、重要、中等的类别；能够在终端的浏览器页面显示入网终端的补丁检查情况；准入系统自身能够支持windows系列补丁库、补丁检查和补丁分发安装；支持windows10补丁检查及自动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安全基线检查服务linux/国产操作系统）</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支持操作系统版本、磁盘使用、计算机名称、网络监听端口、系统时间、主机防火墙、必须安装的软件、禁止安装软件、必须允许进程、禁止运行进程、软件白名单、系统服务、密码策略、弱口令检查。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移动终端安全基线检查服务（移动终端）</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移动终端可以支持通过将指纹和用户账户绑定的方法，实现用户按压指纹认证入网。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支持禁用移动终端入网策略。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★支持移动终端必须安装app、禁止安装app、必须运行进程 、禁止运行进程及杀毒软件检查。（功能截图 ，加盖厂商公章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restart"/>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桌面安全管理服务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软件、消息分发：支持基于部门、角色（分组）、设备或ip段进行软件、消息分发，分发周期支持立即、每天、每周、每月等周期设置。针对分发的源文件支持设置保留或不保留，分发后支持重启或关闭计算机。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远程协助：支持管理员或终端用户双向发起远程协助。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IP资源管理：支持提供图形化的ip地址台账;支持一键绑定全网ip/mac；支持检查ip/组织架构绑定。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提供网络诊断工具，支持通过Web管理界面进行ping、抓包、traceroute、nslookup等。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vMerge w:val="continue"/>
            <w:tcBorders>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提供IP地址分配矩阵图，可以通过组织架构为维度查看IP地址分配矩阵图；能够直接、快捷的查看全网终端历史上线、下线、在线时长等详细的IP使用情况。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报警信息服务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支持系统报警、网络报警、终端报警等报警类型，超过20种以上自定义报警类型。支持报警信息通过Syslog、邮件进行输出。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报表输出服务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支持提供每日/周/月入网报告及终端安全评估报告。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9" w:hRule="atLeast"/>
          <w:jc w:val="center"/>
        </w:trPr>
        <w:tc>
          <w:tcPr>
            <w:tcW w:w="848" w:type="pct"/>
            <w:tcBorders>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设备联动服务</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控制器设备支持与准入平台对接，实现对下属单位接入端口的颗粒度管理。</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提供接口将数据上报于现有的准入系统进行统一分析及策略下发。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0" w:hRule="atLeast"/>
          <w:jc w:val="center"/>
        </w:trPr>
        <w:tc>
          <w:tcPr>
            <w:tcW w:w="84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服务期</w:t>
            </w:r>
          </w:p>
        </w:tc>
        <w:tc>
          <w:tcPr>
            <w:tcW w:w="4152"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提供三年服务。</w:t>
            </w:r>
          </w:p>
        </w:tc>
      </w:tr>
    </w:tbl>
    <w:p>
      <w:pPr>
        <w:widowControl/>
        <w:adjustRightInd/>
        <w:jc w:val="left"/>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4）</w:t>
      </w:r>
      <w:r>
        <w:rPr>
          <w:rFonts w:hint="eastAsia" w:ascii="宋体" w:hAnsi="宋体" w:eastAsia="宋体" w:cs="宋体"/>
          <w:b/>
          <w:color w:val="000000"/>
          <w:sz w:val="24"/>
          <w:szCs w:val="20"/>
          <w:highlight w:val="none"/>
        </w:rPr>
        <w:t>医院端安全监控集成</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00" w:type="pct"/>
            <w:shd w:val="clear" w:color="auto" w:fill="auto"/>
            <w:noWrap w:val="0"/>
            <w:vAlign w:val="center"/>
          </w:tcPr>
          <w:p>
            <w:pPr>
              <w:widowControl/>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指标项</w:t>
            </w:r>
          </w:p>
        </w:tc>
        <w:tc>
          <w:tcPr>
            <w:tcW w:w="3999" w:type="pct"/>
            <w:shd w:val="clear" w:color="auto" w:fill="auto"/>
            <w:noWrap w:val="0"/>
            <w:vAlign w:val="center"/>
          </w:tcPr>
          <w:p>
            <w:pPr>
              <w:widowControl/>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服务要求</w:t>
            </w:r>
          </w:p>
        </w:tc>
        <w:tc>
          <w:tcPr>
            <w:tcW w:w="3999" w:type="pct"/>
            <w:shd w:val="clear" w:color="auto" w:fill="auto"/>
            <w:noWrap w:val="0"/>
            <w:vAlign w:val="center"/>
          </w:tcPr>
          <w:p>
            <w:pPr>
              <w:widowControl/>
              <w:spacing w:line="273"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对局属11家社区卫生服务中心的桌面安全数据采集和接收区域平台管理控制的策略，实施安全集成服务。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基础架构</w:t>
            </w:r>
          </w:p>
        </w:tc>
        <w:tc>
          <w:tcPr>
            <w:tcW w:w="3999" w:type="pct"/>
            <w:shd w:val="clear" w:color="auto" w:fill="auto"/>
            <w:noWrap w:val="0"/>
            <w:vAlign w:val="center"/>
          </w:tcPr>
          <w:p>
            <w:pPr>
              <w:widowControl/>
              <w:spacing w:line="273"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基于Linux开发的嵌入式系统，所有功能的实现基于同一设备，无需额外的服务器及数据库。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状态展示</w:t>
            </w:r>
          </w:p>
        </w:tc>
        <w:tc>
          <w:tcPr>
            <w:tcW w:w="3999" w:type="pct"/>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支持自身基本信息展示，包括产品型号、引擎版本、系统时间、开机时间、续航使用时间等。</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支持面板信息展示，至少包括运行模式、当前状态、当前准入技术、端口状态、内存使用、用户空间、系统空间、备份空间等信息的展示。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性能参数</w:t>
            </w:r>
          </w:p>
        </w:tc>
        <w:tc>
          <w:tcPr>
            <w:tcW w:w="3999" w:type="pct"/>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与主设备配合使用；1U机架结构；配置单电源；标准配置6个1000MBASE-T接口，  最大吞吐量：≥500Mbps；支持≥200个用户终端。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桌面准入技术服务</w:t>
            </w:r>
          </w:p>
        </w:tc>
        <w:tc>
          <w:tcPr>
            <w:tcW w:w="3999" w:type="pct"/>
            <w:shd w:val="clear" w:color="auto" w:fill="auto"/>
            <w:noWrap w:val="0"/>
            <w:vAlign w:val="top"/>
          </w:tcPr>
          <w:p>
            <w:pPr>
              <w:pStyle w:val="255"/>
              <w:widowControl/>
              <w:numPr>
                <w:ilvl w:val="0"/>
                <w:numId w:val="2"/>
              </w:numPr>
              <w:adjustRightInd/>
              <w:spacing w:line="273" w:lineRule="auto"/>
              <w:ind w:firstLineChars="0"/>
              <w:jc w:val="left"/>
              <w:rPr>
                <w:rFonts w:hint="eastAsia" w:ascii="宋体" w:hAnsi="宋体" w:eastAsia="宋体" w:cs="宋体"/>
                <w:color w:val="000000"/>
                <w:highlight w:val="none"/>
              </w:rPr>
            </w:pPr>
            <w:r>
              <w:rPr>
                <w:rFonts w:hint="eastAsia" w:ascii="宋体" w:hAnsi="宋体" w:eastAsia="宋体" w:cs="宋体"/>
                <w:color w:val="000000"/>
                <w:highlight w:val="none"/>
              </w:rPr>
              <w:t>支持vlan切换、策略路由、透明网桥准入技术</w:t>
            </w:r>
          </w:p>
          <w:p>
            <w:pPr>
              <w:pStyle w:val="255"/>
              <w:widowControl/>
              <w:numPr>
                <w:ilvl w:val="0"/>
                <w:numId w:val="2"/>
              </w:numPr>
              <w:adjustRightInd/>
              <w:spacing w:line="273" w:lineRule="auto"/>
              <w:ind w:firstLineChars="0"/>
              <w:jc w:val="left"/>
              <w:rPr>
                <w:rFonts w:hint="eastAsia" w:ascii="宋体" w:hAnsi="宋体" w:eastAsia="宋体" w:cs="宋体"/>
                <w:color w:val="000000"/>
                <w:highlight w:val="none"/>
              </w:rPr>
            </w:pPr>
            <w:r>
              <w:rPr>
                <w:rFonts w:hint="eastAsia" w:ascii="宋体" w:hAnsi="宋体" w:eastAsia="宋体" w:cs="宋体"/>
                <w:color w:val="000000"/>
                <w:highlight w:val="none"/>
              </w:rPr>
              <w:t>支持运行模式切换，可选择正常模式、紧急模式</w:t>
            </w:r>
          </w:p>
          <w:p>
            <w:pPr>
              <w:pStyle w:val="255"/>
              <w:widowControl/>
              <w:numPr>
                <w:ilvl w:val="0"/>
                <w:numId w:val="2"/>
              </w:numPr>
              <w:adjustRightInd/>
              <w:spacing w:line="273" w:lineRule="auto"/>
              <w:ind w:firstLineChars="0"/>
              <w:jc w:val="left"/>
              <w:rPr>
                <w:rFonts w:hint="eastAsia" w:ascii="宋体" w:hAnsi="宋体" w:eastAsia="宋体" w:cs="宋体"/>
                <w:color w:val="000000"/>
                <w:highlight w:val="none"/>
              </w:rPr>
            </w:pPr>
            <w:r>
              <w:rPr>
                <w:rFonts w:hint="eastAsia" w:ascii="宋体" w:hAnsi="宋体" w:eastAsia="宋体" w:cs="宋体"/>
                <w:color w:val="000000"/>
                <w:highlight w:val="none"/>
              </w:rPr>
              <w:t>提供多样化的配置选项，包括但不限于个性化配置、全局配置</w:t>
            </w:r>
          </w:p>
          <w:p>
            <w:pPr>
              <w:pStyle w:val="255"/>
              <w:widowControl/>
              <w:numPr>
                <w:ilvl w:val="0"/>
                <w:numId w:val="2"/>
              </w:numPr>
              <w:adjustRightInd/>
              <w:spacing w:line="273" w:lineRule="auto"/>
              <w:ind w:firstLineChars="0"/>
              <w:jc w:val="left"/>
              <w:rPr>
                <w:rFonts w:hint="eastAsia" w:ascii="宋体" w:hAnsi="宋体" w:eastAsia="宋体" w:cs="宋体"/>
                <w:color w:val="000000"/>
                <w:highlight w:val="none"/>
              </w:rPr>
            </w:pPr>
            <w:r>
              <w:rPr>
                <w:rFonts w:hint="eastAsia" w:ascii="宋体" w:hAnsi="宋体" w:eastAsia="宋体" w:cs="宋体"/>
                <w:color w:val="000000"/>
                <w:highlight w:val="none"/>
              </w:rPr>
              <w:t>须支持，策略路由端口配置选项（采用一进一出模式，单进单出方式）</w:t>
            </w:r>
          </w:p>
          <w:p>
            <w:pPr>
              <w:pStyle w:val="255"/>
              <w:widowControl/>
              <w:numPr>
                <w:ilvl w:val="0"/>
                <w:numId w:val="2"/>
              </w:numPr>
              <w:adjustRightInd/>
              <w:spacing w:line="273" w:lineRule="auto"/>
              <w:ind w:firstLineChars="0"/>
              <w:jc w:val="left"/>
              <w:rPr>
                <w:rFonts w:hint="eastAsia" w:ascii="宋体" w:hAnsi="宋体" w:eastAsia="宋体" w:cs="宋体"/>
                <w:color w:val="000000"/>
                <w:highlight w:val="none"/>
              </w:rPr>
            </w:pPr>
            <w:r>
              <w:rPr>
                <w:rFonts w:hint="eastAsia" w:ascii="宋体" w:hAnsi="宋体" w:eastAsia="宋体" w:cs="宋体"/>
                <w:color w:val="000000"/>
                <w:highlight w:val="none"/>
              </w:rPr>
              <w:t>提供交换机管理列表，支持添加交换机（添加设备类型包括但不限于：交换机、路由器、防火墙、网闸、IPS、IDS、上网行为管理、无线路由器、VPN、UTM、打印机、IP电话、服务器等）。基本信息包括但不限于设备类型、设备厂家、设备名称、IP地址、控制器关联、设备所在位置、所属部门、登录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网络准入技术服务</w:t>
            </w:r>
          </w:p>
        </w:tc>
        <w:tc>
          <w:tcPr>
            <w:tcW w:w="3999" w:type="pct"/>
            <w:shd w:val="clear" w:color="auto" w:fill="auto"/>
            <w:noWrap w:val="0"/>
            <w:vAlign w:val="center"/>
          </w:tcPr>
          <w:p>
            <w:pPr>
              <w:widowControl/>
              <w:numPr>
                <w:ilvl w:val="0"/>
                <w:numId w:val="3"/>
              </w:numPr>
              <w:adjustRightInd/>
              <w:spacing w:line="273" w:lineRule="auto"/>
              <w:jc w:val="left"/>
              <w:rPr>
                <w:rFonts w:hint="eastAsia" w:ascii="宋体" w:hAnsi="宋体" w:eastAsia="宋体" w:cs="宋体"/>
                <w:color w:val="000000"/>
                <w:sz w:val="24"/>
                <w:highlight w:val="none"/>
              </w:rPr>
            </w:pPr>
            <w:bookmarkStart w:id="28" w:name="OLE_LINK16"/>
            <w:bookmarkStart w:id="29" w:name="OLE_LINK15"/>
            <w:r>
              <w:rPr>
                <w:rFonts w:hint="eastAsia" w:ascii="宋体" w:hAnsi="宋体" w:eastAsia="宋体" w:cs="宋体"/>
                <w:color w:val="000000"/>
                <w:sz w:val="24"/>
                <w:highlight w:val="none"/>
              </w:rPr>
              <w:t>准入设备</w:t>
            </w:r>
            <w:bookmarkEnd w:id="28"/>
            <w:bookmarkEnd w:id="29"/>
            <w:r>
              <w:rPr>
                <w:rFonts w:hint="eastAsia" w:ascii="宋体" w:hAnsi="宋体" w:eastAsia="宋体" w:cs="宋体"/>
                <w:color w:val="000000"/>
                <w:sz w:val="24"/>
                <w:highlight w:val="none"/>
              </w:rPr>
              <w:t>支持基于多厂商Virtual Gateway的VLAN隔离技术，实现无客户端下端口级准入控制，不得改变现有网络环境不得改变现有的网络环境（包括但不限于不得另行在网内开启DHCP服务、采用ARP干扰等）,隔离终端采用VLAN切换的方式，须一个正常vlan对应一个隔离vlan。</w:t>
            </w:r>
          </w:p>
          <w:p>
            <w:pPr>
              <w:widowControl/>
              <w:numPr>
                <w:ilvl w:val="0"/>
                <w:numId w:val="3"/>
              </w:numPr>
              <w:adjustRightInd/>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采用隔离vlan技术时须支持对小路由、hub的管理，可对其下接入的终端实现颗粒度管控。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客户端准务服务</w:t>
            </w:r>
          </w:p>
        </w:tc>
        <w:tc>
          <w:tcPr>
            <w:tcW w:w="3999" w:type="pct"/>
            <w:shd w:val="clear" w:color="auto" w:fill="auto"/>
            <w:noWrap w:val="0"/>
            <w:vAlign w:val="center"/>
          </w:tcPr>
          <w:p>
            <w:pPr>
              <w:widowControl/>
              <w:autoSpaceDE w:val="0"/>
              <w:autoSpaceDN w:val="0"/>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客户端提供菜单，提供终端故障诊断工具，终端用户点击后即可对自身被准入故障原因进行诊断。须包含本机基本准入情况信息（控件是否安装、控件的状态、功能是否正常、控件所使用端口是否正常、网卡、ip、客户端心跳等状态息）；客户端与服务器通信状态信息，提供arp列表显示，客户端自身服务模块状态自己诊断信息。所有信息支持一键打包，支持自诊断过程录像功能以提交管理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系统调试日志服务</w:t>
            </w:r>
          </w:p>
        </w:tc>
        <w:tc>
          <w:tcPr>
            <w:tcW w:w="3999" w:type="pct"/>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支持调试日志保存时间配置，包括但不限于当天日志下载、调试日志列表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网络诊断工具服务</w:t>
            </w:r>
          </w:p>
        </w:tc>
        <w:tc>
          <w:tcPr>
            <w:tcW w:w="3999" w:type="pct"/>
            <w:shd w:val="clear" w:color="auto" w:fill="auto"/>
            <w:noWrap w:val="0"/>
            <w:vAlign w:val="top"/>
          </w:tcPr>
          <w:p>
            <w:pPr>
              <w:widowControl/>
              <w:tabs>
                <w:tab w:val="left" w:pos="2465"/>
              </w:tabs>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至少提供Ping工具、抓包工具、traceroute、nslookup、调试工具putty下载、抓包到文件等运维具。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流量曲线服务</w:t>
            </w:r>
          </w:p>
        </w:tc>
        <w:tc>
          <w:tcPr>
            <w:tcW w:w="3999" w:type="pct"/>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支持根据接口查看当前接受速度和发送速度的图形化展示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产品snmp信息定制服务</w:t>
            </w:r>
          </w:p>
        </w:tc>
        <w:tc>
          <w:tcPr>
            <w:tcW w:w="3999"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支持snmp信息个性化定制，包括但不限于设备共同体、设备名称、设备联系人、设备位置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000" w:type="pct"/>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★设备联动服务</w:t>
            </w:r>
          </w:p>
        </w:tc>
        <w:tc>
          <w:tcPr>
            <w:tcW w:w="3999" w:type="pct"/>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必须与平台准入控制联动工作，所有管理工作在平台进行，配置自动下发，当平台宕机后支持容灾。实现对医院接入端口的颗粒度管理。</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提供接口将数据上报于现有的准入系统进行统一分析及策略下发。（原厂证明，加盖厂商公章）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服务期</w:t>
            </w:r>
          </w:p>
        </w:tc>
        <w:tc>
          <w:tcPr>
            <w:tcW w:w="3999"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提供三年服务。</w:t>
            </w:r>
          </w:p>
        </w:tc>
      </w:tr>
    </w:tbl>
    <w:p>
      <w:pPr>
        <w:pStyle w:val="3"/>
        <w:tabs>
          <w:tab w:val="clear" w:pos="432"/>
        </w:tabs>
        <w:ind w:left="0" w:firstLine="0"/>
        <w:rPr>
          <w:rFonts w:hint="eastAsia" w:ascii="宋体" w:hAnsi="宋体" w:eastAsia="宋体" w:cs="宋体"/>
          <w:b w:val="0"/>
          <w:bCs w:val="0"/>
          <w:sz w:val="24"/>
          <w:highlight w:val="none"/>
        </w:rPr>
      </w:pPr>
      <w:r>
        <w:rPr>
          <w:rFonts w:hint="eastAsia" w:ascii="宋体" w:hAnsi="宋体" w:eastAsia="宋体" w:cs="宋体"/>
          <w:sz w:val="24"/>
          <w:highlight w:val="none"/>
        </w:rPr>
        <w:t>5）终端网络安全监控运维一体机</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 w:type="pct"/>
            <w:tcBorders>
              <w:top w:val="single" w:color="auto" w:sz="4" w:space="0"/>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指标项</w:t>
            </w:r>
          </w:p>
        </w:tc>
        <w:tc>
          <w:tcPr>
            <w:tcW w:w="4065" w:type="pct"/>
            <w:tcBorders>
              <w:top w:val="single" w:color="auto" w:sz="4" w:space="0"/>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 w:type="pct"/>
            <w:tcBorders>
              <w:top w:val="single" w:color="auto" w:sz="4" w:space="0"/>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运维服务</w:t>
            </w:r>
          </w:p>
        </w:tc>
        <w:tc>
          <w:tcPr>
            <w:tcW w:w="4065" w:type="pct"/>
            <w:tcBorders>
              <w:top w:val="single" w:color="auto" w:sz="4" w:space="0"/>
              <w:left w:val="single" w:color="auto" w:sz="4" w:space="0"/>
              <w:bottom w:val="single" w:color="auto" w:sz="4" w:space="0"/>
              <w:right w:val="single" w:color="auto" w:sz="4" w:space="0"/>
            </w:tcBorders>
            <w:noWrap w:val="0"/>
            <w:vAlign w:val="top"/>
          </w:tcPr>
          <w:p>
            <w:pPr>
              <w:spacing w:line="273"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采用专用设备，对</w:t>
            </w:r>
            <w:r>
              <w:rPr>
                <w:rFonts w:hint="eastAsia" w:ascii="宋体" w:hAnsi="宋体" w:eastAsia="宋体" w:cs="宋体"/>
                <w:b/>
                <w:bCs/>
                <w:sz w:val="24"/>
                <w:szCs w:val="32"/>
                <w:highlight w:val="none"/>
              </w:rPr>
              <w:t>终端网络安全监控进行一体化监控和运维服务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 w:type="pct"/>
            <w:vMerge w:val="restart"/>
            <w:tcBorders>
              <w:top w:val="single" w:color="auto" w:sz="4" w:space="0"/>
              <w:left w:val="single" w:color="auto" w:sz="4" w:space="0"/>
              <w:right w:val="single" w:color="auto" w:sz="4" w:space="0"/>
            </w:tcBorders>
            <w:noWrap w:val="0"/>
            <w:vAlign w:val="center"/>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数据分析服务</w:t>
            </w:r>
          </w:p>
        </w:tc>
        <w:tc>
          <w:tcPr>
            <w:tcW w:w="4065" w:type="pct"/>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支持系统报警、网络报警、终端报警等报警类型，超过20种以上自定义报警类型。支持报警信息通过Syslog、邮件进行输出。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 w:type="pct"/>
            <w:vMerge w:val="continue"/>
            <w:tcBorders>
              <w:left w:val="single" w:color="auto" w:sz="4" w:space="0"/>
              <w:right w:val="single" w:color="auto" w:sz="4" w:space="0"/>
            </w:tcBorders>
            <w:noWrap w:val="0"/>
            <w:vAlign w:val="center"/>
          </w:tcPr>
          <w:p>
            <w:pPr>
              <w:spacing w:line="273" w:lineRule="auto"/>
              <w:jc w:val="center"/>
              <w:rPr>
                <w:rFonts w:hint="eastAsia" w:ascii="宋体" w:hAnsi="宋体" w:eastAsia="宋体" w:cs="宋体"/>
                <w:b/>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noWrap w:val="0"/>
            <w:vAlign w:val="center"/>
          </w:tcPr>
          <w:p>
            <w:pPr>
              <w:spacing w:line="273"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支持提供每日/周/月入网报告及终端安全评估报告。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5" w:type="pct"/>
            <w:vMerge w:val="continue"/>
            <w:tcBorders>
              <w:left w:val="single" w:color="auto" w:sz="4" w:space="0"/>
              <w:bottom w:val="single" w:color="auto" w:sz="4" w:space="0"/>
              <w:right w:val="single" w:color="auto" w:sz="4" w:space="0"/>
            </w:tcBorders>
            <w:noWrap w:val="0"/>
            <w:vAlign w:val="center"/>
          </w:tcPr>
          <w:p>
            <w:pPr>
              <w:spacing w:line="273" w:lineRule="auto"/>
              <w:jc w:val="center"/>
              <w:rPr>
                <w:rFonts w:hint="eastAsia" w:ascii="宋体" w:hAnsi="宋体" w:eastAsia="宋体" w:cs="宋体"/>
                <w:b/>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控制器设备支持与准入平台对接，实现对下属单位接入端口的颗粒度管理。</w:t>
            </w:r>
          </w:p>
          <w:p>
            <w:pPr>
              <w:spacing w:line="273"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提供接口将数据上报于现有的准入系统进行统一分析及策略下发。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35" w:type="pct"/>
            <w:vMerge w:val="restart"/>
            <w:tcBorders>
              <w:top w:val="single" w:color="auto" w:sz="4" w:space="0"/>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分析设备参数</w:t>
            </w:r>
          </w:p>
        </w:tc>
        <w:tc>
          <w:tcPr>
            <w:tcW w:w="4065" w:type="pct"/>
            <w:tcBorders>
              <w:top w:val="single" w:color="auto" w:sz="4" w:space="0"/>
              <w:left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英特尔至强处理器第三代2路CPU配置</w:t>
            </w:r>
          </w:p>
          <w:p>
            <w:pPr>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本次单台配置至少2颗24核 Intel  5318Y 2.1G CPU或以上配置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配置32个DIMM插槽，支持RDIMM，LRDIMM，NVDIMM-N内存，支持16个PMem内存</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本次单台配置≥512G DDR4内存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支持RAID 0,1,5,6,10,50，配置2GB Cache，最大支持8GB Cache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最大支持16颗 2.5英寸硬盘插槽或8颗3.5英寸硬盘插槽,支持服务器生命周期结束或者挪作它用时一键删除硬盘/SSD所有信息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本次单台配置≥2块600G 10K 2.5英寸 SAS热插拔硬盘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支持两块M.2 SSD组成Raid1用于安装系统，最大支持240G SSD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本次单台配置≥8端口千兆网卡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35"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本次单台配置≥2块单端口16Gb 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35"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数据分析管理服务</w:t>
            </w:r>
          </w:p>
          <w:p>
            <w:pPr>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移动管理</w:t>
            </w:r>
          </w:p>
        </w:tc>
        <w:tc>
          <w:tcPr>
            <w:tcW w:w="4065" w:type="pct"/>
            <w:tcBorders>
              <w:top w:val="nil"/>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无需额外软件代理，单一界面支持100台服务器管理，支持硬件故障检测，电源、电压、风扇监控,温度监控,远程开关机,报错日志管理。 支持CPU,内存，硬盘，电源，风扇故障前预告警功能。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虚拟光驱、虚拟介质重定向等操作；支持SNMP，IPMI和Redfish；支持IPv6。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主板内部提供冗余SD卡槽位,用户可选择增配2张SD卡,配置成冗余方式,用来安装操作系统或者虚拟化系统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主板内部集成可管理存储空间，集成管理软件及驱动, 可实现在线升级，可实现无需安装软件直接管理服务器,提供快速无盘布署和管理功能，提供单界面即可完成所有管理服务的管理软件；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前面板上配备液晶屏，可显示默认或定制信息，包括IP地址、服务器名称、支持服务编号等。如果系统发生故障，该液晶屏上将显示关于故障的具体信息；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5"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能够通过手机和平板电脑管理服务器，可以通过Wifi或蓝牙做现场的资产清点；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导轨</w:t>
            </w: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通用滑动机架式导轨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电源</w:t>
            </w: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本次单台配置≥2只冗余热插拔电源,功率≥800w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GPU支持</w:t>
            </w: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支持≥3个内部全宽双高300W或者≥6个内部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3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服务期</w:t>
            </w: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提供三年服务。</w:t>
            </w:r>
          </w:p>
        </w:tc>
      </w:tr>
    </w:tbl>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6）区域医学影像SAN网络扩容</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8" w:type="pct"/>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指标项</w:t>
            </w:r>
          </w:p>
        </w:tc>
        <w:tc>
          <w:tcPr>
            <w:tcW w:w="4062" w:type="pct"/>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r>
              <w:rPr>
                <w:rFonts w:hint="eastAsia" w:ascii="宋体" w:hAnsi="宋体" w:eastAsia="宋体" w:cs="宋体"/>
                <w:b/>
                <w:bCs/>
                <w:sz w:val="24"/>
                <w:highlight w:val="none"/>
              </w:rPr>
              <w:t>服务要求</w:t>
            </w:r>
          </w:p>
        </w:tc>
        <w:tc>
          <w:tcPr>
            <w:tcW w:w="40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szCs w:val="32"/>
                <w:highlight w:val="none"/>
              </w:rPr>
            </w:pPr>
            <w:r>
              <w:rPr>
                <w:rFonts w:hint="eastAsia" w:ascii="宋体" w:hAnsi="宋体" w:eastAsia="宋体" w:cs="宋体"/>
                <w:b/>
                <w:bCs/>
                <w:sz w:val="24"/>
                <w:highlight w:val="none"/>
              </w:rPr>
              <w:t>对</w:t>
            </w:r>
            <w:r>
              <w:rPr>
                <w:rFonts w:hint="eastAsia" w:ascii="宋体" w:hAnsi="宋体" w:eastAsia="宋体" w:cs="宋体"/>
                <w:b/>
                <w:bCs/>
                <w:sz w:val="24"/>
                <w:szCs w:val="32"/>
                <w:highlight w:val="none"/>
              </w:rPr>
              <w:t>区域医学影像SAN网络进行改造扩容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8" w:type="pct"/>
            <w:vMerge w:val="restart"/>
            <w:tcBorders>
              <w:top w:val="single" w:color="auto" w:sz="4" w:space="0"/>
              <w:left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r>
              <w:rPr>
                <w:rFonts w:hint="eastAsia" w:ascii="宋体" w:hAnsi="宋体" w:eastAsia="宋体" w:cs="宋体"/>
                <w:b/>
                <w:bCs/>
                <w:sz w:val="24"/>
                <w:highlight w:val="none"/>
              </w:rPr>
              <w:t>SAN网络改造和扩展服务</w:t>
            </w:r>
          </w:p>
        </w:tc>
        <w:tc>
          <w:tcPr>
            <w:tcW w:w="40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r>
              <w:rPr>
                <w:rFonts w:hint="eastAsia" w:ascii="宋体" w:hAnsi="宋体" w:eastAsia="宋体" w:cs="宋体"/>
                <w:b/>
                <w:bCs/>
                <w:sz w:val="24"/>
                <w:highlight w:val="none"/>
              </w:rPr>
              <w:t>梳理现有SAN网络架构，对现有设备和端口进行梳理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r>
              <w:rPr>
                <w:rFonts w:hint="eastAsia" w:ascii="宋体" w:hAnsi="宋体" w:eastAsia="宋体" w:cs="宋体"/>
                <w:b/>
                <w:bCs/>
                <w:sz w:val="24"/>
                <w:highlight w:val="none"/>
              </w:rPr>
              <w:t>对现有SAN网络的端口和Zone进行优化整改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8" w:type="pct"/>
            <w:vMerge w:val="continue"/>
            <w:tcBorders>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b/>
                <w:bCs/>
                <w:sz w:val="24"/>
                <w:highlight w:val="none"/>
              </w:rPr>
            </w:pPr>
            <w:r>
              <w:rPr>
                <w:rFonts w:hint="eastAsia" w:ascii="宋体" w:hAnsi="宋体" w:eastAsia="宋体" w:cs="宋体"/>
                <w:b/>
                <w:bCs/>
                <w:sz w:val="24"/>
                <w:highlight w:val="none"/>
              </w:rPr>
              <w:t>对现有SAN网络设备进行扩容和级联调优。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8" w:type="pct"/>
            <w:vMerge w:val="restart"/>
            <w:tcBorders>
              <w:top w:val="single" w:color="auto" w:sz="4" w:space="0"/>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r>
              <w:rPr>
                <w:rFonts w:hint="eastAsia" w:ascii="宋体" w:hAnsi="宋体" w:eastAsia="宋体" w:cs="宋体"/>
                <w:kern w:val="0"/>
                <w:sz w:val="24"/>
                <w:highlight w:val="none"/>
              </w:rPr>
              <w:t>SAN网络扩容功能要求，对原有SAN网络进行合并、统一管理。</w:t>
            </w: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交换机模式(默认): 24个端口，可通过按需增强端口许可证，以12端口的增量增加为12和24个通用(E、F、M、FL或N)端口 接入网关默认端口映射：16个F_Port、8个 N_Port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本次激活24端口，配置24个16GB光纤模块，含24根原厂5米多模FC跳线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完全fabric架构，最多可有239台交换机，配置级联许可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FOS fabric: 56个域、19个跃点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M-EOS fabric: 31个域、3个跃点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较大型fabric架构可按需配置；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支持基于帧的干线合并，在可选许可下每条ISL干线最多8个16 Gbit/sec端口；每条ISL干线最高速率达68 Gbit/sec (8端口×8.5 Gbit/sec [线速]) ，运用Fabric OS中所包含的DPS功能，实现基于交换的跨ISL负载平衡。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408 Gbit/sec: 24端口× 8.5 Gbit/sec (线速) × 2 (全双工)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采用8 Gbit/sec速率下无争用、直通路由 本地交换端口为700纳米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2112字节净负荷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可动态分配700帧，每端口最多为484帧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配置冗余电源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Class 2、Class 3、Class F (交换机间帧)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FL_Port、F_Port、M_Port (镜像端口)、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E_Port,、EX_Port (光纤通道集成路由);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基于交换机类型的自我发现(U_Port); 可选端口类型控制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8 Gbit/sec: 要求可热插拔、小型可热插拔(SFP)、LC连接器; 8 Gbit/sec 短波激光(SwL); 8Gbit/sec 长波激光(LwL); 8 Gbit/sec  超长波激光(ELwL);  最大距离取决于光缆和端口速率 16 Gbit/sec: 要求可热插拔SFP+、LC连接器；短波激光(SwL);最大距离取决于光缆和端口速率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restart"/>
            <w:tcBorders>
              <w:top w:val="single" w:color="auto" w:sz="4" w:space="0"/>
              <w:left w:val="single" w:color="auto" w:sz="4" w:space="0"/>
              <w:right w:val="single" w:color="auto" w:sz="4" w:space="0"/>
            </w:tcBorders>
            <w:shd w:val="clear" w:color="auto" w:fill="auto"/>
            <w:noWrap w:val="0"/>
            <w:vAlign w:val="center"/>
          </w:tcPr>
          <w:p>
            <w:pPr>
              <w:rPr>
                <w:rFonts w:hint="eastAsia" w:ascii="宋体" w:hAnsi="宋体" w:eastAsia="宋体" w:cs="宋体"/>
                <w:kern w:val="0"/>
                <w:sz w:val="24"/>
                <w:highlight w:val="none"/>
              </w:rPr>
            </w:pPr>
            <w:r>
              <w:rPr>
                <w:rFonts w:hint="eastAsia" w:ascii="宋体" w:hAnsi="宋体" w:eastAsia="宋体" w:cs="宋体"/>
                <w:kern w:val="0"/>
                <w:sz w:val="24"/>
                <w:highlight w:val="none"/>
              </w:rPr>
              <w:t>SAN网络安全和管理服务</w:t>
            </w: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Telnet,HTTP,SNMP v1/v3 (FE MIB, FC management MIB); 审核、系统日志、变更管理追踪; EZSwitchSetup向导;高级web工具;EFCM标准版/企业版9.x(可选);  Fabric Manager（可选:仅FOS环境); 符合SMI-S标准, SMI-S脚本工具集、管理域；面向选定的插件功能的试用版许可证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vMerge w:val="continue"/>
            <w:tcBorders>
              <w:left w:val="single" w:color="auto" w:sz="4" w:space="0"/>
              <w:right w:val="single" w:color="auto" w:sz="4" w:space="0"/>
            </w:tcBorders>
            <w:shd w:val="clear" w:color="auto" w:fill="auto"/>
            <w:noWrap w:val="0"/>
            <w:vAlign w:val="center"/>
          </w:tcPr>
          <w:p>
            <w:pPr>
              <w:widowControl/>
              <w:rPr>
                <w:rFonts w:hint="eastAsia" w:ascii="宋体" w:hAnsi="宋体" w:eastAsia="宋体" w:cs="宋体"/>
                <w:kern w:val="0"/>
                <w:sz w:val="24"/>
                <w:highlight w:val="none"/>
              </w:rPr>
            </w:pP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rPr>
                <w:rFonts w:hint="eastAsia" w:ascii="宋体" w:hAnsi="宋体" w:eastAsia="宋体" w:cs="宋体"/>
                <w:kern w:val="0"/>
                <w:sz w:val="24"/>
                <w:highlight w:val="none"/>
              </w:rPr>
            </w:pPr>
            <w:r>
              <w:rPr>
                <w:rFonts w:hint="eastAsia" w:ascii="宋体" w:hAnsi="宋体" w:eastAsia="宋体" w:cs="宋体"/>
                <w:kern w:val="0"/>
                <w:sz w:val="24"/>
                <w:highlight w:val="none"/>
              </w:rPr>
              <w:t>SSL, SSh v2, HTTPS, LDAP, RADIUS,  基于角色的访问控制(RBAC), DH-CHAP (交换机与终端设备间),  端口绑定, 交换机绑定, 安全RPC, Secure Copy (SCP), Trusted Switch, IPSec, IP过滤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3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宋体" w:hAnsi="宋体" w:eastAsia="宋体" w:cs="宋体"/>
                <w:kern w:val="0"/>
                <w:sz w:val="24"/>
                <w:highlight w:val="none"/>
              </w:rPr>
            </w:pPr>
            <w:r>
              <w:rPr>
                <w:rFonts w:hint="eastAsia" w:ascii="宋体" w:hAnsi="宋体" w:eastAsia="宋体" w:cs="宋体"/>
                <w:color w:val="000000"/>
                <w:sz w:val="24"/>
                <w:highlight w:val="none"/>
              </w:rPr>
              <w:t>服务期</w:t>
            </w:r>
          </w:p>
        </w:tc>
        <w:tc>
          <w:tcPr>
            <w:tcW w:w="4062"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rPr>
                <w:rFonts w:hint="eastAsia" w:ascii="宋体" w:hAnsi="宋体" w:eastAsia="宋体" w:cs="宋体"/>
                <w:kern w:val="0"/>
                <w:sz w:val="24"/>
                <w:highlight w:val="none"/>
              </w:rPr>
            </w:pPr>
            <w:r>
              <w:rPr>
                <w:rFonts w:hint="eastAsia" w:ascii="宋体" w:hAnsi="宋体" w:eastAsia="宋体" w:cs="宋体"/>
                <w:color w:val="000000"/>
                <w:sz w:val="24"/>
                <w:highlight w:val="none"/>
              </w:rPr>
              <w:t>提供三年服务。</w:t>
            </w:r>
          </w:p>
        </w:tc>
      </w:tr>
    </w:tbl>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7）医学影像数据存储归档系统扩容服务</w:t>
      </w:r>
    </w:p>
    <w:tbl>
      <w:tblPr>
        <w:tblStyle w:val="6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2"/>
        <w:gridCol w:w="7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737"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指标</w:t>
            </w:r>
          </w:p>
        </w:tc>
        <w:tc>
          <w:tcPr>
            <w:tcW w:w="4263" w:type="pc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737" w:type="pct"/>
            <w:vMerge w:val="restart"/>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业务数据分块联动服务要求</w:t>
            </w:r>
          </w:p>
        </w:tc>
        <w:tc>
          <w:tcPr>
            <w:tcW w:w="4263" w:type="pct"/>
            <w:shd w:val="clear" w:color="auto" w:fill="auto"/>
            <w:noWrap w:val="0"/>
            <w:vAlign w:val="center"/>
          </w:tcPr>
          <w:p>
            <w:pPr>
              <w:widowControl/>
              <w:adjustRightInd/>
              <w:rPr>
                <w:rFonts w:hint="eastAsia" w:ascii="宋体" w:hAnsi="宋体" w:eastAsia="宋体" w:cs="宋体"/>
                <w:b/>
                <w:bCs/>
                <w:color w:val="000000"/>
                <w:kern w:val="0"/>
                <w:sz w:val="24"/>
                <w:highlight w:val="none"/>
              </w:rPr>
            </w:pPr>
            <w:r>
              <w:rPr>
                <w:rFonts w:hint="eastAsia" w:ascii="宋体" w:hAnsi="宋体" w:eastAsia="宋体" w:cs="宋体"/>
                <w:b/>
                <w:bCs/>
                <w:sz w:val="24"/>
                <w:szCs w:val="32"/>
                <w:highlight w:val="none"/>
              </w:rPr>
              <w:t>对医学影像病历库数据进行存储和归档扩容和实施服务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jc w:val="center"/>
        </w:trPr>
        <w:tc>
          <w:tcPr>
            <w:tcW w:w="737" w:type="pct"/>
            <w:vMerge w:val="continue"/>
            <w:shd w:val="clear" w:color="auto" w:fill="auto"/>
            <w:noWrap w:val="0"/>
            <w:vAlign w:val="center"/>
          </w:tcPr>
          <w:p>
            <w:pPr>
              <w:widowControl/>
              <w:adjustRightInd/>
              <w:jc w:val="center"/>
              <w:rPr>
                <w:rFonts w:hint="eastAsia" w:ascii="宋体" w:hAnsi="宋体" w:eastAsia="宋体" w:cs="宋体"/>
                <w:b/>
                <w:bCs/>
                <w:color w:val="000000"/>
                <w:kern w:val="0"/>
                <w:sz w:val="24"/>
                <w:highlight w:val="none"/>
              </w:rPr>
            </w:pPr>
          </w:p>
        </w:tc>
        <w:tc>
          <w:tcPr>
            <w:tcW w:w="4263" w:type="pct"/>
            <w:shd w:val="clear" w:color="auto" w:fill="auto"/>
            <w:noWrap w:val="0"/>
            <w:vAlign w:val="top"/>
          </w:tcPr>
          <w:p>
            <w:pPr>
              <w:widowControl/>
              <w:adjustRightInd/>
              <w:jc w:val="left"/>
              <w:rPr>
                <w:rFonts w:hint="eastAsia" w:ascii="宋体" w:hAnsi="宋体" w:eastAsia="宋体" w:cs="宋体"/>
                <w:b/>
                <w:bCs/>
                <w:sz w:val="24"/>
                <w:szCs w:val="32"/>
                <w:highlight w:val="none"/>
              </w:rPr>
            </w:pPr>
            <w:r>
              <w:rPr>
                <w:rFonts w:hint="eastAsia" w:ascii="宋体" w:hAnsi="宋体" w:eastAsia="宋体" w:cs="宋体"/>
                <w:b/>
                <w:color w:val="000000"/>
                <w:sz w:val="24"/>
                <w:highlight w:val="none"/>
              </w:rPr>
              <w:t>对医学影像病历库业务进行数据分区调整，通过和原有</w:t>
            </w:r>
            <w:r>
              <w:rPr>
                <w:rFonts w:hint="eastAsia" w:ascii="宋体" w:hAnsi="宋体" w:eastAsia="宋体" w:cs="宋体"/>
                <w:b/>
                <w:bCs/>
                <w:sz w:val="24"/>
                <w:szCs w:val="32"/>
                <w:highlight w:val="none"/>
              </w:rPr>
              <w:t>医学影像病历库数据存储和归档系统联动。</w:t>
            </w:r>
            <w:r>
              <w:rPr>
                <w:rFonts w:hint="eastAsia" w:ascii="宋体" w:hAnsi="宋体" w:eastAsia="宋体" w:cs="宋体"/>
                <w:b/>
                <w:color w:val="000000"/>
                <w:sz w:val="24"/>
                <w:highlight w:val="none"/>
              </w:rPr>
              <w:t>业务数据分为在线数据和近线数据。 通过调整业务系统内部的原代码，将数据存储策略调整为数据每达到规定的阀值或达到相应的工作日后。自动完成在线路据到近线数据的迁移。使业务在线数据保持最新，并访问速度最优化。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restart"/>
            <w:shd w:val="clear" w:color="auto" w:fill="auto"/>
            <w:noWrap w:val="0"/>
            <w:vAlign w:val="center"/>
          </w:tcPr>
          <w:p>
            <w:pPr>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存储和归档系统功能要求</w:t>
            </w: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考虑到提高数据中心空间利用率和未来扩展性，要求投标产品为高密度大容量存储系统，设备高度≤2U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冗余双控制器架构，控制器为双活工作模式，可支持FC、iSCSI、SAS等协议，支持FC和iSCSI SFP+端口通过命令随意转换。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内存：存储控制器内存配置≥32GB（不含任何性能加速模块或NAS缓存、FlashCache、PAM卡，SSD Cache等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双控制器可支持≥8个16Gb/32Gb FC，10Gb/25Gb iSCSI SFP+，SAS 12Gb接口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磁盘扩展能力：支持扩展≥276块热插拔SAS硬盘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单套存储最大容量支持≥4.6PB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本次配置≥8个32Gb FC 主机接口（配套相应32Gb光模块）。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RAID保护：支持多种工业标准RAID保护技术，包括单盘失效、双盘失效保护技术，包括RAID0/1/10/5/6/及动态磁盘池（RAID2.0）技术。支持RAID组动态扩展，在线升级等；要求存储系统支持全局动态热备技术，在配置RAID2.0时，磁盘热备功能通过磁盘剩余空间实现，无需占用单独热备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双控制器配置不少于24个2.5寸槽位高密盘柜；本次配置≥12块1.92TB SAS SSD硬盘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配置多路径软件，提供服务器与存储阵列之间冗余数据路径的故障转移管理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737" w:type="pct"/>
            <w:vMerge w:val="continue"/>
            <w:shd w:val="clear" w:color="auto" w:fill="auto"/>
            <w:noWrap w:val="0"/>
            <w:vAlign w:val="center"/>
          </w:tcPr>
          <w:p>
            <w:pPr>
              <w:widowControl/>
              <w:adjustRightInd/>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支持操作系统Windows 20</w:t>
            </w:r>
            <w:r>
              <w:rPr>
                <w:rFonts w:hint="default" w:ascii="宋体" w:hAnsi="宋体" w:cs="宋体"/>
                <w:color w:val="000000"/>
                <w:kern w:val="0"/>
                <w:sz w:val="24"/>
                <w:highlight w:val="none"/>
                <w:lang w:val="en-US"/>
              </w:rPr>
              <w:t>1</w:t>
            </w:r>
            <w:r>
              <w:rPr>
                <w:rFonts w:hint="eastAsia" w:ascii="宋体" w:hAnsi="宋体" w:eastAsia="宋体" w:cs="宋体"/>
                <w:color w:val="000000"/>
                <w:kern w:val="0"/>
                <w:sz w:val="24"/>
                <w:highlight w:val="none"/>
              </w:rPr>
              <w:t>2、2019 和 2016 RHEL 8.2 和 7.8 SLES 15.2 和 12.5 VMware 7.0 和 6.7 Citrix XenServer 8.x 和 7.x，支持 VMware vCenter 插件，可通过 vCenter管理存储阵列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restart"/>
            <w:shd w:val="clear" w:color="auto" w:fill="auto"/>
            <w:noWrap w:val="0"/>
            <w:vAlign w:val="center"/>
          </w:tcPr>
          <w:p>
            <w:pPr>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存储和归档服务要求</w:t>
            </w: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支持HTML5 GUI、CLI、REST 界面管理，配置中文图形化存储管理软件，对存储系统的各项指标进行管理、调整和监测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支持服务器Cluster集群功能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支持硬件故障检测,诊断功能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配置自动分层功能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1）支持在逻辑卷内实现根据数据热度的双向调度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 支持SSD和HDD的冷热数据自动迁移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1）配置全容量许可精简功能，实现存储空间超分配，后续扩容无需额外购买许可（需提供厂商官网 或官网彩页截图证明并盖章）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配置SSD读缓存功能，最大可支持不低于4TB SSD数据读缓存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配置远程复制功能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 支持IP及光纤远程复制功能：可以实现异步复制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 支持一对多或者多对一的复制模式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配置全容量许可快照功能，有效预防各种软故障的发生，快照无需预留空间，后续扩容无需额外购买许可，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每套系统最大支持快照数量不少于1024个（需提供厂商官网 或官网彩页截图证明并盖章）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配置全容量许可的卷复制功能，后续扩容无需额外购买许可（需提供厂商官网 或官网彩页截图证明并盖章）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1）配置存储性能收集分析工具，支持图形化界面操作，对存储的容量、带宽、延时、IOPS、队列深度和主机端的CPU、内存、磁盘容量以及主机操作系统版本摘要等进行能收集分析，并形成图形化专业报表；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2）支持本地和远程Windows、Linux和Unix、虚拟机VMWARE, KVM, XenServer, Hyper-V等操作系统；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配置冗余电源、冗余风扇、冗余控制器，支持在线可热插拔更换，保证系统内无任何单点故障的隐患，电源功率≥580W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冗余风扇模块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37" w:type="pct"/>
            <w:vMerge w:val="continue"/>
            <w:shd w:val="clear" w:color="auto" w:fill="auto"/>
            <w:noWrap w:val="0"/>
            <w:vAlign w:val="center"/>
          </w:tcPr>
          <w:p>
            <w:pPr>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提供同型号或同系列产品的MTBF值，要求不低于15万小时MTBF证明。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737" w:type="pct"/>
            <w:vMerge w:val="continue"/>
            <w:shd w:val="clear" w:color="auto" w:fill="auto"/>
            <w:noWrap w:val="0"/>
            <w:vAlign w:val="center"/>
          </w:tcPr>
          <w:p>
            <w:pPr>
              <w:widowControl/>
              <w:adjustRightInd/>
              <w:jc w:val="left"/>
              <w:rPr>
                <w:rFonts w:hint="eastAsia" w:ascii="宋体" w:hAnsi="宋体" w:eastAsia="宋体" w:cs="宋体"/>
                <w:color w:val="000000"/>
                <w:kern w:val="0"/>
                <w:sz w:val="24"/>
                <w:highlight w:val="none"/>
              </w:rPr>
            </w:pP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本次随服务器主机配置一套同一品牌的SDS 软件，提供4TB 可用容量，支持SMB/NFS/iSCSI 协议，提供HTML5 GUI 界面、读缓存功能、异步复制功能、快照功能等，需提供官方彩页或官网功能截图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737"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服务</w:t>
            </w:r>
          </w:p>
        </w:tc>
        <w:tc>
          <w:tcPr>
            <w:tcW w:w="4263" w:type="pct"/>
            <w:shd w:val="clear" w:color="auto" w:fill="auto"/>
            <w:noWrap w:val="0"/>
            <w:vAlign w:val="center"/>
          </w:tcPr>
          <w:p>
            <w:pPr>
              <w:widowControl/>
              <w:adjustRightInd/>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提供3年服务</w:t>
            </w:r>
          </w:p>
        </w:tc>
      </w:tr>
    </w:tbl>
    <w:p>
      <w:pPr>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8）医学影像备份一体机扩容</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5" w:type="pct"/>
            <w:tcBorders>
              <w:top w:val="single" w:color="auto" w:sz="4" w:space="0"/>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指标项</w:t>
            </w:r>
          </w:p>
        </w:tc>
        <w:tc>
          <w:tcPr>
            <w:tcW w:w="4065" w:type="pct"/>
            <w:tcBorders>
              <w:top w:val="single" w:color="auto" w:sz="4" w:space="0"/>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35" w:type="pct"/>
            <w:vMerge w:val="restart"/>
            <w:tcBorders>
              <w:top w:val="single" w:color="auto" w:sz="4" w:space="0"/>
              <w:left w:val="single" w:color="auto" w:sz="4" w:space="0"/>
              <w:right w:val="single" w:color="auto" w:sz="4" w:space="0"/>
            </w:tcBorders>
            <w:noWrap w:val="0"/>
            <w:vAlign w:val="top"/>
          </w:tcPr>
          <w:p>
            <w:pPr>
              <w:spacing w:line="273"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服务要求</w:t>
            </w:r>
          </w:p>
        </w:tc>
        <w:tc>
          <w:tcPr>
            <w:tcW w:w="4065" w:type="pct"/>
            <w:tcBorders>
              <w:top w:val="single" w:color="auto" w:sz="4" w:space="0"/>
              <w:left w:val="single" w:color="auto" w:sz="4" w:space="0"/>
              <w:right w:val="single" w:color="auto" w:sz="4" w:space="0"/>
            </w:tcBorders>
            <w:noWrap w:val="0"/>
            <w:vAlign w:val="top"/>
          </w:tcPr>
          <w:p>
            <w:pPr>
              <w:spacing w:line="273"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对医学影像病历系统进行双机备份服务，和原有业务系统联动，进行系统互备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5" w:type="pct"/>
            <w:vMerge w:val="continue"/>
            <w:tcBorders>
              <w:left w:val="single" w:color="auto" w:sz="4" w:space="0"/>
              <w:bottom w:val="single" w:color="auto" w:sz="4" w:space="0"/>
              <w:right w:val="single" w:color="auto" w:sz="4" w:space="0"/>
            </w:tcBorders>
            <w:noWrap w:val="0"/>
            <w:vAlign w:val="top"/>
          </w:tcPr>
          <w:p>
            <w:pPr>
              <w:spacing w:line="273" w:lineRule="auto"/>
              <w:jc w:val="center"/>
              <w:rPr>
                <w:rFonts w:hint="eastAsia" w:ascii="宋体" w:hAnsi="宋体" w:eastAsia="宋体" w:cs="宋体"/>
                <w:b/>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noWrap w:val="0"/>
            <w:vAlign w:val="top"/>
          </w:tcPr>
          <w:p>
            <w:pPr>
              <w:spacing w:line="273"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在不同的设备上，业务可以自由平滑迁移，不影响业务访问。实现在线服务时不断线迁移业务系统，达到灾备的目的。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英特尔至强处理器第三代2路CPU配置</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本次单台配置至少2颗24核 Intel  5318Y 2.1G CPU或以上配置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配置32个DIMM插槽，支持RDIMM，LRDIMM，NVDIMM-N内存，支持16个PMem内存</w:t>
            </w:r>
          </w:p>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本次单台配置≥512G DDR4 3200MT/s内存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支持RAID 0,1,5,6,10,50，配置2GB Cache，最大支持8GB Cache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最大支持16颗 2.5英寸硬盘插槽或8颗3.5英寸硬盘插槽,支持服务器生命周期结束或者挪作它用时一键删除硬盘/SSD所有信息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本次单台配置≥2块600G 10K 2.5英寸 SAS热插拔硬盘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支持两块M.2 SSD组成Raid1用于安装系统，最大支持240G SSD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本次单台配置≥8端口千兆网卡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35"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本次单台配置≥2块单端口16Gb 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35" w:type="pct"/>
            <w:vMerge w:val="restart"/>
            <w:tcBorders>
              <w:top w:val="nil"/>
              <w:left w:val="single" w:color="auto" w:sz="4" w:space="0"/>
              <w:bottom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备份系统功能要求</w:t>
            </w:r>
          </w:p>
        </w:tc>
        <w:tc>
          <w:tcPr>
            <w:tcW w:w="4065" w:type="pct"/>
            <w:tcBorders>
              <w:top w:val="nil"/>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无需额外软件代理，单一界面支持100台服务器管理，支持硬件故障检测，电源、电压、风扇监控,温度监控,远程开关机,报错日志管理。 支持CPU,内存，硬盘，电源，风扇故障前预告警功能。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虚拟光驱、虚拟介质重定向等操作；支持SNMP，IPMI和Redfish；支持IPv6。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主板内部提供冗余SD卡槽位,用户可选择增配2张SD卡,配置成冗余方式,用来安装操作系统或者虚拟化系统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主板内部集成可管理存储空间，集成管理软件及驱动, 可实现在线升级，可实现无需安装软件直接管理服务器,提供快速无盘布署和管理功能，提供单界面即可完成所有管理服务的管理软件；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前面板上配备液晶屏，可显示默认或定制信息，包括IP地址、服务器名称、支持服务编号等。如果系统发生故障，该液晶屏上将显示关于故障的具体信息；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能够通过手机和平板电脑管理服务器，可以通过Wifi或蓝牙做现场的资产清点；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通用滑动机架式导轨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35" w:type="pct"/>
            <w:vMerge w:val="continue"/>
            <w:tcBorders>
              <w:left w:val="single" w:color="auto" w:sz="4" w:space="0"/>
              <w:right w:val="single" w:color="auto" w:sz="4" w:space="0"/>
            </w:tcBorders>
            <w:shd w:val="clear" w:color="auto" w:fill="auto"/>
            <w:noWrap w:val="0"/>
            <w:vAlign w:val="center"/>
          </w:tcPr>
          <w:p>
            <w:pPr>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本次单台配置≥2只冗余热插电源,功率≥800w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35" w:type="pct"/>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73" w:lineRule="auto"/>
              <w:jc w:val="left"/>
              <w:rPr>
                <w:rFonts w:hint="eastAsia" w:ascii="宋体" w:hAnsi="宋体" w:eastAsia="宋体" w:cs="宋体"/>
                <w:color w:val="000000"/>
                <w:sz w:val="24"/>
                <w:highlight w:val="none"/>
              </w:rPr>
            </w:pP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支持≥3个内部全宽双高300W或者≥6个内部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3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质保服务</w:t>
            </w:r>
          </w:p>
        </w:tc>
        <w:tc>
          <w:tcPr>
            <w:tcW w:w="4065"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273"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提供三年服务。</w:t>
            </w:r>
          </w:p>
        </w:tc>
      </w:tr>
    </w:tbl>
    <w:p>
      <w:pPr>
        <w:snapToGrid w:val="0"/>
        <w:spacing w:line="360" w:lineRule="auto"/>
        <w:rPr>
          <w:rFonts w:ascii="宋体" w:hAnsi="宋体" w:cs="宋体"/>
          <w:b/>
          <w:snapToGrid w:val="0"/>
          <w:kern w:val="10"/>
          <w:sz w:val="24"/>
          <w:highlight w:val="none"/>
        </w:rPr>
      </w:pPr>
      <w:r>
        <w:rPr>
          <w:rFonts w:hint="eastAsia" w:ascii="宋体" w:hAnsi="宋体" w:cs="宋体"/>
          <w:b/>
          <w:snapToGrid w:val="0"/>
          <w:kern w:val="10"/>
          <w:sz w:val="24"/>
          <w:highlight w:val="none"/>
        </w:rPr>
        <w:t>备注：</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1、投标人可参考上述表格提供的设备技术参数及配置，也欢迎优于本项目技术需求且性能与所明确要求相当的产品参加投标。</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2、投标人应如实描述投标产品的主要指标偏离情况，若有偏离，只接受参数、性能优于招标要求的配置, 否则将被评标委员会技术扣分直至认定为投标无效。</w:t>
      </w:r>
    </w:p>
    <w:p>
      <w:pPr>
        <w:snapToGrid w:val="0"/>
        <w:spacing w:line="360" w:lineRule="auto"/>
        <w:rPr>
          <w:rFonts w:ascii="宋体" w:hAnsi="宋体" w:cs="宋体"/>
          <w:b/>
          <w:snapToGrid w:val="0"/>
          <w:kern w:val="10"/>
          <w:sz w:val="24"/>
          <w:highlight w:val="none"/>
        </w:rPr>
      </w:pPr>
      <w:r>
        <w:rPr>
          <w:rFonts w:hint="eastAsia" w:ascii="宋体" w:hAnsi="宋体" w:cs="宋体"/>
          <w:b/>
          <w:snapToGrid w:val="0"/>
          <w:kern w:val="10"/>
          <w:sz w:val="24"/>
          <w:highlight w:val="none"/>
        </w:rPr>
        <w:t>特别说明：</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 投标方及厂商必须保证所有投标产品（如光模块等）均为中华人民共和国境内合法销售的产品，并保证所有投标参数真实可信，同时承担以非法产品或虚假参数应标所带来的一切法律风险。中标单位提供的产品和服务符合国家相关安全规定及《浙江省信息技术服务外包安全管理规范》要求，如与国家相关安全规定及《浙江省信息技术服务外包安全管理规范》不符，将做违约处理，并保留以诉诸相关法律进行处理的权利。</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2.采购方会根据招标文件技术要求对中标单位所供产品进行功能及性能指标测试，如投标书中技术指标关键项说明与测试结果不符，将做违约处理，并保留以诉诸相关法律进行处理的权利。</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3. 本项目用户方可以通过设备序列号在生产厂商官方网站或生产厂商400/800电话中进行验证，并可查询设备维保期限。</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4. 投标清单中必须明确主机型号及配置各组件详细清单规格型号，无详细主机型号和组件清单型号的，视为不满足招标要求。</w:t>
      </w:r>
    </w:p>
    <w:p>
      <w:pPr>
        <w:snapToGrid w:val="0"/>
        <w:spacing w:line="360" w:lineRule="auto"/>
        <w:rPr>
          <w:rFonts w:ascii="宋体" w:hAnsi="宋体" w:cs="宋体"/>
          <w:b/>
          <w:snapToGrid w:val="0"/>
          <w:kern w:val="10"/>
          <w:sz w:val="24"/>
          <w:highlight w:val="none"/>
        </w:rPr>
      </w:pPr>
      <w:r>
        <w:rPr>
          <w:rFonts w:hint="eastAsia" w:ascii="宋体" w:hAnsi="宋体" w:cs="宋体"/>
          <w:b/>
          <w:snapToGrid w:val="0"/>
          <w:kern w:val="10"/>
          <w:sz w:val="24"/>
          <w:highlight w:val="none"/>
        </w:rPr>
        <w:t xml:space="preserve">五、项目实施服务要求  </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1、中标方应在合同签订后</w:t>
      </w:r>
      <w:r>
        <w:rPr>
          <w:rFonts w:ascii="宋体" w:hAnsi="宋体" w:cs="宋体"/>
          <w:b/>
          <w:bCs/>
          <w:kern w:val="0"/>
          <w:sz w:val="24"/>
          <w:highlight w:val="none"/>
        </w:rPr>
        <w:t>2</w:t>
      </w:r>
      <w:r>
        <w:rPr>
          <w:rFonts w:hint="eastAsia" w:ascii="宋体" w:hAnsi="宋体" w:cs="宋体"/>
          <w:b/>
          <w:bCs/>
          <w:kern w:val="0"/>
          <w:sz w:val="24"/>
          <w:highlight w:val="none"/>
        </w:rPr>
        <w:t>个月内</w:t>
      </w:r>
      <w:r>
        <w:rPr>
          <w:rFonts w:hint="eastAsia" w:ascii="宋体" w:hAnsi="宋体" w:cs="宋体"/>
          <w:kern w:val="0"/>
          <w:sz w:val="24"/>
          <w:highlight w:val="none"/>
        </w:rPr>
        <w:t>完成本项目，需提供项目详尽的实施方案和进度表。</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2、服务质量保证：</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（1）投标产品必须是符合国家技术规范和质量标准的合格产品，满足采购人的使用需求，并具有可靠的售后服务体系，质量可靠、使用安全。</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投标人保证其提供的产品中所有预装和为本项目安装的软件均为具有合法版权或使用权的正版软件且无质量瑕疵，所提供硬件产品包括相关附件为相应硬件厂家原装正品，符合国家有关规定。投标人须保证所提供产品具有合法的版权或使用权，本项目采购的产品，如在本项目范围内使用过程中出现版权或使用权纠纷，应由中标人负责，采购人不承担责任。</w:t>
      </w:r>
    </w:p>
    <w:p>
      <w:pPr>
        <w:snapToGrid w:val="0"/>
        <w:spacing w:line="360" w:lineRule="auto"/>
        <w:ind w:firstLine="360" w:firstLineChars="150"/>
        <w:rPr>
          <w:highlight w:val="none"/>
        </w:rPr>
      </w:pPr>
      <w:r>
        <w:rPr>
          <w:rFonts w:hint="eastAsia" w:ascii="宋体" w:hAnsi="宋体" w:cs="宋体"/>
          <w:kern w:val="0"/>
          <w:sz w:val="24"/>
          <w:highlight w:val="none"/>
        </w:rPr>
        <w:t>（3）采购的开发软件也同时必须满足采购单位要求。</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（4）在服务保期内，如遇软件产品升级、改版，应免费提供更新、升级服务。</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2、要求投标人提供的服务不得低于标准服务，即与投标产品制造厂商通过网站等对外公布的有效服务标准相一致（投标人不得另行制作网页）。在标准服务基础上，投标人还应达到以下标准：</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（1）当投标货物发生非人为因素严重故障时，供应商应当免费在七日内将补充或者更换的货物运抵发生故障的货物所在地，由此产生的一切相关费用由供应商负担。</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（2）服务期内所有因更换或修理设备或部件而导致设备停止运行的时间应从其服务期内扣除。</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（3）供应商在服务期内安装的任何产品，必须是其投标产品制造厂商原产的或是经其认可的。</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（4）所有的替代零配件必须是新的未使用和未经修复的，除非最终用户提供书面许可，否则不可使用此范围外的其他（非新的）配件。</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（5） 供应商必须为维修和技术支持所未能解决的问题和故障提供正式的升级方案。</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（6）在服务期内，供应商有责任解决所提供的投标设备和软件系统的任何问题，在服务期满后，当需要时，供应商仍须对因投标设备本身的固有缺陷和瑕疵承担相应责任。</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3、对产品服务要求的有效响应将被视为投标人对其所投标产品的服务承诺，如果中标，须将服务承诺列入合同的产品服务条款。</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4、投标人应在系统实施方案中描述具体的实施团队的组成、工作的内容、投入人员、项目进程表及采购人的配合等内容。在所有工作开展之前，中标方的实施人员应制定一套完整科学可行的实施方案，作为项目实施的总体计划和步骤。</w:t>
      </w:r>
    </w:p>
    <w:p>
      <w:pPr>
        <w:snapToGrid w:val="0"/>
        <w:spacing w:line="360" w:lineRule="auto"/>
        <w:ind w:firstLine="360" w:firstLineChars="150"/>
        <w:rPr>
          <w:rFonts w:ascii="宋体" w:hAnsi="宋体" w:cs="宋体"/>
          <w:kern w:val="0"/>
          <w:sz w:val="24"/>
          <w:highlight w:val="none"/>
        </w:rPr>
      </w:pPr>
      <w:r>
        <w:rPr>
          <w:rFonts w:ascii="宋体" w:hAnsi="宋体" w:cs="宋体"/>
          <w:kern w:val="0"/>
          <w:sz w:val="24"/>
          <w:highlight w:val="none"/>
        </w:rPr>
        <w:t>5</w:t>
      </w:r>
      <w:r>
        <w:rPr>
          <w:rFonts w:hint="eastAsia" w:ascii="宋体" w:hAnsi="宋体" w:cs="宋体"/>
          <w:kern w:val="0"/>
          <w:sz w:val="24"/>
          <w:highlight w:val="none"/>
        </w:rPr>
        <w:t>、售后服务要求</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（1）投标人应具有完善的质保期内及质保期外的售后服务方案。</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（2）服务期不少于3年。</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3）所提供的技术服务至少为7×24小时支持维护服务，包括邮件、电话、远程维护、现场服务等方式。对故障1小时响应，4小时以内到现场，8小时以内解决问题；若硬件出现故障，要求中标单位及时免费修复或免费更换。</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 xml:space="preserve">（4）投标人须具有本地化服务能力以及较强的专业技术队伍，在服务期内提供各方面服务，满足用户方所需的与应用软件相关的各类技术服务； </w:t>
      </w:r>
    </w:p>
    <w:p>
      <w:pPr>
        <w:snapToGrid w:val="0"/>
        <w:spacing w:line="360" w:lineRule="auto"/>
        <w:rPr>
          <w:rFonts w:ascii="宋体" w:hAnsi="宋体" w:cs="宋体"/>
          <w:b/>
          <w:snapToGrid w:val="0"/>
          <w:kern w:val="10"/>
          <w:sz w:val="24"/>
          <w:highlight w:val="none"/>
        </w:rPr>
      </w:pPr>
      <w:r>
        <w:rPr>
          <w:rFonts w:hint="eastAsia" w:ascii="宋体" w:hAnsi="宋体" w:cs="宋体"/>
          <w:b/>
          <w:snapToGrid w:val="0"/>
          <w:kern w:val="10"/>
          <w:sz w:val="24"/>
          <w:highlight w:val="none"/>
        </w:rPr>
        <w:t>六、验收要求</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文档的提交应覆盖以下内容，电子文档是成果不可分割的部分。要求如下文档：</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1、项目实施前：施工方案、项目实施计划；</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2、项目实施期间：项目实施工作单、故障诊断及排除记录、项目实施过程中衍生的其它相关资料；</w:t>
      </w:r>
    </w:p>
    <w:p>
      <w:pPr>
        <w:snapToGrid w:val="0"/>
        <w:spacing w:line="360" w:lineRule="auto"/>
        <w:ind w:firstLine="360" w:firstLineChars="150"/>
        <w:rPr>
          <w:rFonts w:ascii="宋体" w:hAnsi="宋体" w:cs="宋体"/>
          <w:kern w:val="0"/>
          <w:sz w:val="24"/>
          <w:highlight w:val="none"/>
        </w:rPr>
      </w:pPr>
      <w:r>
        <w:rPr>
          <w:rFonts w:hint="eastAsia" w:ascii="宋体" w:hAnsi="宋体" w:cs="宋体"/>
          <w:kern w:val="0"/>
          <w:sz w:val="24"/>
          <w:highlight w:val="none"/>
        </w:rPr>
        <w:t>3、项目实施后：系统试运行和自测报告、故障诊断与排除手册、工作总结报告；</w:t>
      </w:r>
    </w:p>
    <w:p>
      <w:pPr>
        <w:snapToGrid w:val="0"/>
        <w:spacing w:line="360" w:lineRule="auto"/>
        <w:ind w:firstLine="360" w:firstLineChars="150"/>
        <w:rPr>
          <w:rFonts w:ascii="宋体" w:hAnsi="宋体" w:cs="宋体"/>
          <w:kern w:val="0"/>
          <w:sz w:val="24"/>
          <w:highlight w:val="none"/>
        </w:rPr>
      </w:pPr>
      <w:r>
        <w:rPr>
          <w:rFonts w:ascii="宋体" w:hAnsi="宋体" w:cs="宋体"/>
          <w:kern w:val="0"/>
          <w:sz w:val="24"/>
          <w:highlight w:val="none"/>
        </w:rPr>
        <w:t>4</w:t>
      </w:r>
      <w:r>
        <w:rPr>
          <w:rFonts w:hint="eastAsia" w:ascii="宋体" w:hAnsi="宋体" w:cs="宋体"/>
          <w:kern w:val="0"/>
          <w:sz w:val="24"/>
          <w:highlight w:val="none"/>
        </w:rPr>
        <w:t>、其他需要提交的材料。</w:t>
      </w:r>
    </w:p>
    <w:p>
      <w:pPr>
        <w:snapToGrid w:val="0"/>
        <w:spacing w:line="360" w:lineRule="auto"/>
        <w:ind w:firstLine="360" w:firstLineChars="150"/>
        <w:rPr>
          <w:rFonts w:hint="eastAsia" w:ascii="宋体" w:hAnsi="宋体" w:eastAsia="宋体" w:cs="宋体"/>
          <w:kern w:val="0"/>
          <w:sz w:val="24"/>
          <w:highlight w:val="none"/>
          <w:lang w:val="en-US" w:eastAsia="zh-CN"/>
        </w:rPr>
      </w:pPr>
      <w:r>
        <w:rPr>
          <w:rFonts w:hint="default" w:ascii="宋体" w:hAnsi="宋体" w:eastAsia="宋体" w:cs="宋体"/>
          <w:kern w:val="0"/>
          <w:sz w:val="24"/>
          <w:highlight w:val="none"/>
          <w:lang w:val="en-US"/>
        </w:rPr>
        <w:t>5</w:t>
      </w:r>
      <w:r>
        <w:rPr>
          <w:rFonts w:hint="eastAsia" w:ascii="宋体" w:hAnsi="宋体" w:eastAsia="宋体" w:cs="宋体"/>
          <w:kern w:val="0"/>
          <w:sz w:val="24"/>
          <w:highlight w:val="none"/>
          <w:lang w:val="en-US" w:eastAsia="zh-CN"/>
        </w:rPr>
        <w:t>、其它：评分办法中评审因素相应的其它要求。</w:t>
      </w:r>
    </w:p>
    <w:p>
      <w:pPr>
        <w:rPr>
          <w:highlight w:val="none"/>
        </w:rPr>
      </w:pPr>
    </w:p>
    <w:p>
      <w:pPr>
        <w:spacing w:line="460" w:lineRule="exact"/>
        <w:jc w:val="both"/>
        <w:rPr>
          <w:rFonts w:asciiTheme="minorEastAsia" w:hAnsiTheme="minorEastAsia" w:eastAsiaTheme="minorEastAsia"/>
          <w:sz w:val="24"/>
          <w:highlight w:val="none"/>
        </w:rPr>
      </w:pPr>
    </w:p>
    <w:p>
      <w:pPr>
        <w:snapToGrid w:val="0"/>
        <w:spacing w:line="360" w:lineRule="auto"/>
        <w:rPr>
          <w:rFonts w:cs="Arial" w:asciiTheme="minorEastAsia" w:hAnsiTheme="minorEastAsia" w:eastAsiaTheme="minorEastAsia"/>
          <w:snapToGrid w:val="0"/>
          <w:kern w:val="0"/>
          <w:sz w:val="24"/>
          <w:highlight w:val="none"/>
        </w:rPr>
      </w:pPr>
    </w:p>
    <w:p>
      <w:pPr>
        <w:spacing w:line="360" w:lineRule="auto"/>
        <w:rPr>
          <w:rFonts w:cs="宋体" w:asciiTheme="minorEastAsia" w:hAnsiTheme="minorEastAsia" w:eastAsiaTheme="minorEastAsia"/>
          <w:snapToGrid w:val="0"/>
          <w:kern w:val="0"/>
          <w:sz w:val="24"/>
          <w:highlight w:val="none"/>
        </w:rPr>
      </w:pPr>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24"/>
          <w:highlight w:val="none"/>
        </w:rPr>
        <w:br w:type="page"/>
      </w:r>
      <w:r>
        <w:rPr>
          <w:rFonts w:hint="eastAsia" w:cs="宋体" w:asciiTheme="minorEastAsia" w:hAnsiTheme="minorEastAsia" w:eastAsiaTheme="minorEastAsia"/>
          <w:b/>
          <w:sz w:val="36"/>
          <w:szCs w:val="36"/>
          <w:highlight w:val="none"/>
        </w:rPr>
        <w:t xml:space="preserve">第四部分   </w:t>
      </w:r>
      <w:bookmarkStart w:id="30" w:name="_Toc184308051"/>
      <w:bookmarkEnd w:id="30"/>
      <w:bookmarkStart w:id="31" w:name="_Toc184312128"/>
      <w:bookmarkEnd w:id="31"/>
      <w:bookmarkStart w:id="32" w:name="_Toc184313310"/>
      <w:bookmarkEnd w:id="32"/>
      <w:bookmarkStart w:id="33" w:name="_Toc184314416"/>
      <w:bookmarkEnd w:id="33"/>
      <w:bookmarkStart w:id="34" w:name="_Toc184314482"/>
      <w:bookmarkEnd w:id="34"/>
      <w:bookmarkStart w:id="35" w:name="_Toc184314471"/>
      <w:bookmarkEnd w:id="35"/>
      <w:bookmarkStart w:id="36" w:name="_Toc184310344"/>
      <w:bookmarkEnd w:id="36"/>
      <w:bookmarkStart w:id="37" w:name="_Toc184313283"/>
      <w:bookmarkEnd w:id="37"/>
      <w:bookmarkStart w:id="38" w:name="_Toc184312095"/>
      <w:bookmarkEnd w:id="38"/>
      <w:bookmarkStart w:id="39" w:name="_Toc184313239"/>
      <w:bookmarkEnd w:id="39"/>
      <w:bookmarkStart w:id="40" w:name="_Toc184310279"/>
      <w:bookmarkEnd w:id="40"/>
      <w:bookmarkStart w:id="41" w:name="_Toc184308061"/>
      <w:bookmarkEnd w:id="41"/>
      <w:bookmarkStart w:id="42" w:name="_Toc184314441"/>
      <w:bookmarkEnd w:id="42"/>
      <w:bookmarkStart w:id="43" w:name="_Toc184312129"/>
      <w:bookmarkEnd w:id="43"/>
      <w:bookmarkStart w:id="44" w:name="_Toc184308083"/>
      <w:bookmarkEnd w:id="44"/>
      <w:bookmarkStart w:id="45" w:name="_Toc184312078"/>
      <w:bookmarkEnd w:id="45"/>
      <w:bookmarkStart w:id="46" w:name="_Toc184308107"/>
      <w:bookmarkEnd w:id="46"/>
      <w:bookmarkStart w:id="47" w:name="_Toc184313254"/>
      <w:bookmarkEnd w:id="47"/>
      <w:bookmarkStart w:id="48" w:name="_Toc184310306"/>
      <w:bookmarkEnd w:id="48"/>
      <w:bookmarkStart w:id="49" w:name="_Toc184310333"/>
      <w:bookmarkEnd w:id="49"/>
      <w:bookmarkStart w:id="50" w:name="_Toc184312132"/>
      <w:bookmarkEnd w:id="50"/>
      <w:bookmarkStart w:id="51" w:name="_Toc184308066"/>
      <w:bookmarkEnd w:id="51"/>
      <w:bookmarkStart w:id="52" w:name="_Toc184308094"/>
      <w:bookmarkEnd w:id="52"/>
      <w:bookmarkStart w:id="53" w:name="_Toc184313275"/>
      <w:bookmarkEnd w:id="53"/>
      <w:bookmarkStart w:id="54" w:name="_Toc184310275"/>
      <w:bookmarkEnd w:id="54"/>
      <w:bookmarkStart w:id="55" w:name="_Toc184314433"/>
      <w:bookmarkEnd w:id="55"/>
      <w:bookmarkStart w:id="56" w:name="_Toc184314476"/>
      <w:bookmarkEnd w:id="56"/>
      <w:bookmarkStart w:id="57" w:name="_Toc184312118"/>
      <w:bookmarkEnd w:id="57"/>
      <w:bookmarkStart w:id="58" w:name="_Toc184314466"/>
      <w:bookmarkEnd w:id="58"/>
      <w:bookmarkStart w:id="59" w:name="_Toc184313242"/>
      <w:bookmarkEnd w:id="59"/>
      <w:bookmarkStart w:id="60" w:name="_Toc184312136"/>
      <w:bookmarkEnd w:id="60"/>
      <w:bookmarkStart w:id="61" w:name="_Toc184314419"/>
      <w:bookmarkEnd w:id="61"/>
      <w:bookmarkStart w:id="62" w:name="_Toc184313248"/>
      <w:bookmarkEnd w:id="62"/>
      <w:bookmarkStart w:id="63" w:name="_Toc184314424"/>
      <w:bookmarkEnd w:id="63"/>
      <w:bookmarkStart w:id="64" w:name="_Toc184310340"/>
      <w:bookmarkEnd w:id="64"/>
      <w:bookmarkStart w:id="65" w:name="_Toc184310318"/>
      <w:bookmarkEnd w:id="65"/>
      <w:bookmarkStart w:id="66" w:name="_Toc184310310"/>
      <w:bookmarkEnd w:id="66"/>
      <w:bookmarkStart w:id="67" w:name="_Toc184308087"/>
      <w:bookmarkEnd w:id="67"/>
      <w:bookmarkStart w:id="68" w:name="_Toc184314456"/>
      <w:bookmarkEnd w:id="68"/>
      <w:bookmarkStart w:id="69" w:name="_Toc184312137"/>
      <w:bookmarkEnd w:id="69"/>
      <w:bookmarkStart w:id="70" w:name="_Toc184312108"/>
      <w:bookmarkEnd w:id="70"/>
      <w:bookmarkStart w:id="71" w:name="_Toc184313301"/>
      <w:bookmarkEnd w:id="71"/>
      <w:bookmarkStart w:id="72" w:name="_Toc184308059"/>
      <w:bookmarkEnd w:id="72"/>
      <w:bookmarkStart w:id="73" w:name="_Toc184314413"/>
      <w:bookmarkEnd w:id="73"/>
      <w:bookmarkStart w:id="74" w:name="_Toc184310305"/>
      <w:bookmarkEnd w:id="74"/>
      <w:bookmarkStart w:id="75" w:name="_Toc184312135"/>
      <w:bookmarkEnd w:id="75"/>
      <w:bookmarkStart w:id="76" w:name="_Toc184312068"/>
      <w:bookmarkEnd w:id="76"/>
      <w:bookmarkStart w:id="77" w:name="_Toc184308078"/>
      <w:bookmarkEnd w:id="77"/>
      <w:bookmarkStart w:id="78" w:name="_Toc184314417"/>
      <w:bookmarkEnd w:id="78"/>
      <w:bookmarkStart w:id="79" w:name="_Toc184314435"/>
      <w:bookmarkEnd w:id="79"/>
      <w:bookmarkStart w:id="80" w:name="_Toc184314442"/>
      <w:bookmarkEnd w:id="80"/>
      <w:bookmarkStart w:id="81" w:name="_Toc184310286"/>
      <w:bookmarkEnd w:id="81"/>
      <w:bookmarkStart w:id="82" w:name="_Toc184314411"/>
      <w:bookmarkEnd w:id="82"/>
      <w:bookmarkStart w:id="83" w:name="_Toc184313263"/>
      <w:bookmarkEnd w:id="83"/>
      <w:bookmarkStart w:id="84" w:name="_Toc184308108"/>
      <w:bookmarkEnd w:id="84"/>
      <w:bookmarkStart w:id="85" w:name="_Toc184310298"/>
      <w:bookmarkEnd w:id="85"/>
      <w:bookmarkStart w:id="86" w:name="_Toc184312092"/>
      <w:bookmarkEnd w:id="86"/>
      <w:bookmarkStart w:id="87" w:name="_Toc184312082"/>
      <w:bookmarkEnd w:id="87"/>
      <w:bookmarkStart w:id="88" w:name="_Toc184308056"/>
      <w:bookmarkEnd w:id="88"/>
      <w:bookmarkStart w:id="89" w:name="_Toc184310314"/>
      <w:bookmarkEnd w:id="89"/>
      <w:bookmarkStart w:id="90" w:name="_Toc184314430"/>
      <w:bookmarkEnd w:id="90"/>
      <w:bookmarkStart w:id="91" w:name="_Toc184312070"/>
      <w:bookmarkEnd w:id="91"/>
      <w:bookmarkStart w:id="92" w:name="_Toc184308063"/>
      <w:bookmarkEnd w:id="92"/>
      <w:bookmarkStart w:id="93" w:name="_Toc184313249"/>
      <w:bookmarkEnd w:id="93"/>
      <w:bookmarkStart w:id="94" w:name="_Toc184310326"/>
      <w:bookmarkEnd w:id="94"/>
      <w:bookmarkStart w:id="95" w:name="_Toc184308045"/>
      <w:bookmarkEnd w:id="95"/>
      <w:bookmarkStart w:id="96" w:name="_Toc184313276"/>
      <w:bookmarkEnd w:id="96"/>
      <w:bookmarkStart w:id="97" w:name="_Toc184314469"/>
      <w:bookmarkEnd w:id="97"/>
      <w:bookmarkStart w:id="98" w:name="_Toc184310328"/>
      <w:bookmarkEnd w:id="98"/>
      <w:bookmarkStart w:id="99" w:name="_Toc184313265"/>
      <w:bookmarkEnd w:id="99"/>
      <w:bookmarkStart w:id="100" w:name="_Toc184308069"/>
      <w:bookmarkEnd w:id="100"/>
      <w:bookmarkStart w:id="101" w:name="_Toc184310337"/>
      <w:bookmarkEnd w:id="101"/>
      <w:bookmarkStart w:id="102" w:name="_Toc184313262"/>
      <w:bookmarkEnd w:id="102"/>
      <w:bookmarkStart w:id="103" w:name="_Toc184314443"/>
      <w:bookmarkEnd w:id="103"/>
      <w:bookmarkStart w:id="104" w:name="_Toc184310338"/>
      <w:bookmarkEnd w:id="104"/>
      <w:bookmarkStart w:id="105" w:name="_Toc184314415"/>
      <w:bookmarkEnd w:id="105"/>
      <w:bookmarkStart w:id="106" w:name="_Toc184310272"/>
      <w:bookmarkEnd w:id="106"/>
      <w:bookmarkStart w:id="107" w:name="_Toc184314426"/>
      <w:bookmarkEnd w:id="107"/>
      <w:bookmarkStart w:id="108" w:name="_Toc184308067"/>
      <w:bookmarkEnd w:id="108"/>
      <w:bookmarkStart w:id="109" w:name="_Toc184313245"/>
      <w:bookmarkEnd w:id="109"/>
      <w:bookmarkStart w:id="110" w:name="_Toc184313279"/>
      <w:bookmarkEnd w:id="110"/>
      <w:bookmarkStart w:id="111" w:name="_Toc184308042"/>
      <w:bookmarkEnd w:id="111"/>
      <w:bookmarkStart w:id="112" w:name="_Toc184312101"/>
      <w:bookmarkEnd w:id="112"/>
      <w:bookmarkStart w:id="113" w:name="_Toc184312106"/>
      <w:bookmarkEnd w:id="113"/>
      <w:bookmarkStart w:id="114" w:name="_Toc184313289"/>
      <w:bookmarkEnd w:id="114"/>
      <w:bookmarkStart w:id="115" w:name="_Toc184314467"/>
      <w:bookmarkEnd w:id="115"/>
      <w:bookmarkStart w:id="116" w:name="_Toc184314449"/>
      <w:bookmarkEnd w:id="116"/>
      <w:bookmarkStart w:id="117" w:name="_Toc184312087"/>
      <w:bookmarkEnd w:id="117"/>
      <w:bookmarkStart w:id="118" w:name="_Toc184308105"/>
      <w:bookmarkEnd w:id="118"/>
      <w:bookmarkStart w:id="119" w:name="_Toc184308055"/>
      <w:bookmarkEnd w:id="119"/>
      <w:bookmarkStart w:id="120" w:name="_Toc184314418"/>
      <w:bookmarkEnd w:id="120"/>
      <w:bookmarkStart w:id="121" w:name="_Toc184312097"/>
      <w:bookmarkEnd w:id="121"/>
      <w:bookmarkStart w:id="122" w:name="_Toc184312075"/>
      <w:bookmarkEnd w:id="122"/>
      <w:bookmarkStart w:id="123" w:name="_Toc184314463"/>
      <w:bookmarkEnd w:id="123"/>
      <w:bookmarkStart w:id="124" w:name="_Toc184308088"/>
      <w:bookmarkEnd w:id="124"/>
      <w:bookmarkStart w:id="125" w:name="_Toc184310285"/>
      <w:bookmarkEnd w:id="125"/>
      <w:bookmarkStart w:id="126" w:name="_Toc184308097"/>
      <w:bookmarkEnd w:id="126"/>
      <w:bookmarkStart w:id="127" w:name="_Toc184314425"/>
      <w:bookmarkEnd w:id="127"/>
      <w:bookmarkStart w:id="128" w:name="_Toc184312090"/>
      <w:bookmarkEnd w:id="128"/>
      <w:bookmarkStart w:id="129" w:name="_Toc184313238"/>
      <w:bookmarkEnd w:id="129"/>
      <w:bookmarkStart w:id="130" w:name="_Toc184310299"/>
      <w:bookmarkEnd w:id="130"/>
      <w:bookmarkStart w:id="131" w:name="_Toc184313293"/>
      <w:bookmarkEnd w:id="131"/>
      <w:bookmarkStart w:id="132" w:name="_Toc184310323"/>
      <w:bookmarkEnd w:id="132"/>
      <w:bookmarkStart w:id="133" w:name="_Toc184312067"/>
      <w:bookmarkEnd w:id="133"/>
      <w:bookmarkStart w:id="134" w:name="_Toc184313272"/>
      <w:bookmarkEnd w:id="134"/>
      <w:bookmarkStart w:id="135" w:name="_Toc184313267"/>
      <w:bookmarkEnd w:id="135"/>
      <w:bookmarkStart w:id="136" w:name="_Toc184314457"/>
      <w:bookmarkEnd w:id="136"/>
      <w:bookmarkStart w:id="137" w:name="_Toc184308091"/>
      <w:bookmarkEnd w:id="137"/>
      <w:bookmarkStart w:id="138" w:name="_Toc184313270"/>
      <w:bookmarkEnd w:id="138"/>
      <w:bookmarkStart w:id="139" w:name="_Toc184314459"/>
      <w:bookmarkEnd w:id="139"/>
      <w:bookmarkStart w:id="140" w:name="_Toc184314480"/>
      <w:bookmarkEnd w:id="140"/>
      <w:bookmarkStart w:id="141" w:name="_Toc184310320"/>
      <w:bookmarkEnd w:id="141"/>
      <w:bookmarkStart w:id="142" w:name="_Toc184314477"/>
      <w:bookmarkEnd w:id="142"/>
      <w:bookmarkStart w:id="143" w:name="_Toc184310325"/>
      <w:bookmarkEnd w:id="143"/>
      <w:bookmarkStart w:id="144" w:name="_Toc184312071"/>
      <w:bookmarkEnd w:id="144"/>
      <w:bookmarkStart w:id="145" w:name="_Toc184313299"/>
      <w:bookmarkEnd w:id="145"/>
      <w:bookmarkStart w:id="146" w:name="_Toc184313264"/>
      <w:bookmarkEnd w:id="146"/>
      <w:bookmarkStart w:id="147" w:name="_Toc184310331"/>
      <w:bookmarkEnd w:id="147"/>
      <w:bookmarkStart w:id="148" w:name="_Toc184314455"/>
      <w:bookmarkEnd w:id="148"/>
      <w:bookmarkStart w:id="149" w:name="_Toc184312110"/>
      <w:bookmarkEnd w:id="149"/>
      <w:bookmarkStart w:id="150" w:name="_Toc184310292"/>
      <w:bookmarkEnd w:id="150"/>
      <w:bookmarkStart w:id="151" w:name="_Toc184314451"/>
      <w:bookmarkEnd w:id="151"/>
      <w:bookmarkStart w:id="152" w:name="_Toc184313256"/>
      <w:bookmarkEnd w:id="152"/>
      <w:bookmarkStart w:id="153" w:name="_Toc184308103"/>
      <w:bookmarkEnd w:id="153"/>
      <w:bookmarkStart w:id="154" w:name="_Toc184314450"/>
      <w:bookmarkEnd w:id="154"/>
      <w:bookmarkStart w:id="155" w:name="_Toc184310312"/>
      <w:bookmarkEnd w:id="155"/>
      <w:bookmarkStart w:id="156" w:name="_Toc184310332"/>
      <w:bookmarkEnd w:id="156"/>
      <w:bookmarkStart w:id="157" w:name="_Toc184314410"/>
      <w:bookmarkEnd w:id="157"/>
      <w:bookmarkStart w:id="158" w:name="_Toc184312107"/>
      <w:bookmarkEnd w:id="158"/>
      <w:bookmarkStart w:id="159" w:name="_Toc184313306"/>
      <w:bookmarkEnd w:id="159"/>
      <w:bookmarkStart w:id="160" w:name="_Toc184310296"/>
      <w:bookmarkEnd w:id="160"/>
      <w:bookmarkStart w:id="161" w:name="_Toc184313261"/>
      <w:bookmarkEnd w:id="161"/>
      <w:bookmarkStart w:id="162" w:name="_Toc184310282"/>
      <w:bookmarkEnd w:id="162"/>
      <w:bookmarkStart w:id="163" w:name="_Toc184308090"/>
      <w:bookmarkEnd w:id="163"/>
      <w:bookmarkStart w:id="164" w:name="_Toc184314420"/>
      <w:bookmarkEnd w:id="164"/>
      <w:bookmarkStart w:id="165" w:name="_Toc184313241"/>
      <w:bookmarkEnd w:id="165"/>
      <w:bookmarkStart w:id="166" w:name="_Toc184312072"/>
      <w:bookmarkEnd w:id="166"/>
      <w:bookmarkStart w:id="167" w:name="_Toc184312076"/>
      <w:bookmarkEnd w:id="167"/>
      <w:bookmarkStart w:id="168" w:name="_Toc184313246"/>
      <w:bookmarkEnd w:id="168"/>
      <w:bookmarkStart w:id="169" w:name="_Toc184314472"/>
      <w:bookmarkEnd w:id="169"/>
      <w:bookmarkStart w:id="170" w:name="_Toc184310273"/>
      <w:bookmarkEnd w:id="170"/>
      <w:bookmarkStart w:id="171" w:name="_Toc184308052"/>
      <w:bookmarkEnd w:id="171"/>
      <w:bookmarkStart w:id="172" w:name="_Toc184310302"/>
      <w:bookmarkEnd w:id="172"/>
      <w:bookmarkStart w:id="173" w:name="_Toc184310343"/>
      <w:bookmarkEnd w:id="173"/>
      <w:bookmarkStart w:id="174" w:name="_Toc184308050"/>
      <w:bookmarkEnd w:id="174"/>
      <w:bookmarkStart w:id="175" w:name="_Toc184312079"/>
      <w:bookmarkEnd w:id="175"/>
      <w:bookmarkStart w:id="176" w:name="_Toc184314428"/>
      <w:bookmarkEnd w:id="176"/>
      <w:bookmarkStart w:id="177" w:name="_Toc184308081"/>
      <w:bookmarkEnd w:id="177"/>
      <w:bookmarkStart w:id="178" w:name="_Toc184314432"/>
      <w:bookmarkEnd w:id="178"/>
      <w:bookmarkStart w:id="179" w:name="_Toc184312073"/>
      <w:bookmarkEnd w:id="179"/>
      <w:bookmarkStart w:id="180" w:name="_Toc184308104"/>
      <w:bookmarkEnd w:id="180"/>
      <w:bookmarkStart w:id="181" w:name="_Toc184313243"/>
      <w:bookmarkEnd w:id="181"/>
      <w:bookmarkStart w:id="182" w:name="_Toc184312121"/>
      <w:bookmarkEnd w:id="182"/>
      <w:bookmarkStart w:id="183" w:name="_Toc184312112"/>
      <w:bookmarkEnd w:id="183"/>
      <w:bookmarkStart w:id="184" w:name="_Toc184314475"/>
      <w:bookmarkEnd w:id="184"/>
      <w:bookmarkStart w:id="185" w:name="_Toc184310304"/>
      <w:bookmarkEnd w:id="185"/>
      <w:bookmarkStart w:id="186" w:name="_Toc184312086"/>
      <w:bookmarkEnd w:id="186"/>
      <w:bookmarkStart w:id="187" w:name="_Toc184312077"/>
      <w:bookmarkEnd w:id="187"/>
      <w:bookmarkStart w:id="188" w:name="_Toc184313257"/>
      <w:bookmarkEnd w:id="188"/>
      <w:bookmarkStart w:id="189" w:name="_Toc184308100"/>
      <w:bookmarkEnd w:id="189"/>
      <w:bookmarkStart w:id="190" w:name="_Toc184314431"/>
      <w:bookmarkEnd w:id="190"/>
      <w:bookmarkStart w:id="191" w:name="_Toc184308064"/>
      <w:bookmarkEnd w:id="191"/>
      <w:bookmarkStart w:id="192" w:name="_Toc184310301"/>
      <w:bookmarkEnd w:id="192"/>
      <w:bookmarkStart w:id="193" w:name="_Toc184312120"/>
      <w:bookmarkEnd w:id="193"/>
      <w:bookmarkStart w:id="194" w:name="_Toc184312096"/>
      <w:bookmarkEnd w:id="194"/>
      <w:bookmarkStart w:id="195" w:name="_Toc184308095"/>
      <w:bookmarkEnd w:id="195"/>
      <w:bookmarkStart w:id="196" w:name="_Toc184312114"/>
      <w:bookmarkEnd w:id="196"/>
      <w:bookmarkStart w:id="197" w:name="_Toc184308047"/>
      <w:bookmarkEnd w:id="197"/>
      <w:bookmarkStart w:id="198" w:name="_Toc184314446"/>
      <w:bookmarkEnd w:id="198"/>
      <w:bookmarkStart w:id="199" w:name="_Toc184310334"/>
      <w:bookmarkEnd w:id="199"/>
      <w:bookmarkStart w:id="200" w:name="_Toc184310289"/>
      <w:bookmarkEnd w:id="200"/>
      <w:bookmarkStart w:id="201" w:name="_Toc184308054"/>
      <w:bookmarkEnd w:id="201"/>
      <w:bookmarkStart w:id="202" w:name="_Toc184310308"/>
      <w:bookmarkEnd w:id="202"/>
      <w:bookmarkStart w:id="203" w:name="_Toc184308046"/>
      <w:bookmarkEnd w:id="203"/>
      <w:bookmarkStart w:id="204" w:name="_Toc184313260"/>
      <w:bookmarkEnd w:id="204"/>
      <w:bookmarkStart w:id="205" w:name="_Toc184308076"/>
      <w:bookmarkEnd w:id="205"/>
      <w:bookmarkStart w:id="206" w:name="_Toc184312091"/>
      <w:bookmarkEnd w:id="206"/>
      <w:bookmarkStart w:id="207" w:name="_Toc184308079"/>
      <w:bookmarkEnd w:id="207"/>
      <w:bookmarkStart w:id="208" w:name="_Toc184313296"/>
      <w:bookmarkEnd w:id="208"/>
      <w:bookmarkStart w:id="209" w:name="_Toc184314445"/>
      <w:bookmarkEnd w:id="209"/>
      <w:bookmarkStart w:id="210" w:name="_Toc184310281"/>
      <w:bookmarkEnd w:id="210"/>
      <w:bookmarkStart w:id="211" w:name="_Toc184313250"/>
      <w:bookmarkEnd w:id="211"/>
      <w:bookmarkStart w:id="212" w:name="_Toc184313300"/>
      <w:bookmarkEnd w:id="212"/>
      <w:bookmarkStart w:id="213" w:name="_Toc184313277"/>
      <w:bookmarkEnd w:id="213"/>
      <w:bookmarkStart w:id="214" w:name="_Toc184308086"/>
      <w:bookmarkEnd w:id="214"/>
      <w:bookmarkStart w:id="215" w:name="_Toc184313268"/>
      <w:bookmarkEnd w:id="215"/>
      <w:bookmarkStart w:id="216" w:name="_Toc184308080"/>
      <w:bookmarkEnd w:id="216"/>
      <w:bookmarkStart w:id="217" w:name="_Toc184310284"/>
      <w:bookmarkEnd w:id="217"/>
      <w:bookmarkStart w:id="218" w:name="_Toc184312123"/>
      <w:bookmarkEnd w:id="218"/>
      <w:bookmarkStart w:id="219" w:name="_Toc184310336"/>
      <w:bookmarkEnd w:id="219"/>
      <w:bookmarkStart w:id="220" w:name="_Toc184314427"/>
      <w:bookmarkEnd w:id="220"/>
      <w:bookmarkStart w:id="221" w:name="_Toc184310293"/>
      <w:bookmarkEnd w:id="221"/>
      <w:bookmarkStart w:id="222" w:name="_Toc184308071"/>
      <w:bookmarkEnd w:id="222"/>
      <w:bookmarkStart w:id="223" w:name="_Toc184308106"/>
      <w:bookmarkEnd w:id="223"/>
      <w:bookmarkStart w:id="224" w:name="_Toc184310276"/>
      <w:bookmarkEnd w:id="224"/>
      <w:bookmarkStart w:id="225" w:name="_Toc184312081"/>
      <w:bookmarkEnd w:id="225"/>
      <w:bookmarkStart w:id="226" w:name="_Toc184313294"/>
      <w:bookmarkEnd w:id="226"/>
      <w:bookmarkStart w:id="227" w:name="_Toc184314423"/>
      <w:bookmarkEnd w:id="227"/>
      <w:bookmarkStart w:id="228" w:name="_Toc184308096"/>
      <w:bookmarkEnd w:id="228"/>
      <w:bookmarkStart w:id="229" w:name="_Toc184313251"/>
      <w:bookmarkEnd w:id="229"/>
      <w:bookmarkStart w:id="230" w:name="_Toc184310342"/>
      <w:bookmarkEnd w:id="230"/>
      <w:bookmarkStart w:id="231" w:name="_Toc184313291"/>
      <w:bookmarkEnd w:id="231"/>
      <w:bookmarkStart w:id="232" w:name="_Toc184312115"/>
      <w:bookmarkEnd w:id="232"/>
      <w:bookmarkStart w:id="233" w:name="_Toc184310287"/>
      <w:bookmarkEnd w:id="233"/>
      <w:bookmarkStart w:id="234" w:name="_Toc184310327"/>
      <w:bookmarkEnd w:id="234"/>
      <w:bookmarkStart w:id="235" w:name="_Toc184310274"/>
      <w:bookmarkEnd w:id="235"/>
      <w:bookmarkStart w:id="236" w:name="_Toc184314479"/>
      <w:bookmarkEnd w:id="236"/>
      <w:bookmarkStart w:id="237" w:name="_Toc184308092"/>
      <w:bookmarkEnd w:id="237"/>
      <w:bookmarkStart w:id="238" w:name="_Toc184313309"/>
      <w:bookmarkEnd w:id="238"/>
      <w:bookmarkStart w:id="239" w:name="_Toc184312093"/>
      <w:bookmarkEnd w:id="239"/>
      <w:bookmarkStart w:id="240" w:name="_Toc184313287"/>
      <w:bookmarkEnd w:id="240"/>
      <w:bookmarkStart w:id="241" w:name="_Toc184312105"/>
      <w:bookmarkEnd w:id="241"/>
      <w:bookmarkStart w:id="242" w:name="_Toc184314448"/>
      <w:bookmarkEnd w:id="242"/>
      <w:bookmarkStart w:id="243" w:name="_Toc184308044"/>
      <w:bookmarkEnd w:id="243"/>
      <w:bookmarkStart w:id="244" w:name="_Toc184308101"/>
      <w:bookmarkEnd w:id="244"/>
      <w:bookmarkStart w:id="245" w:name="_Toc184310316"/>
      <w:bookmarkEnd w:id="245"/>
      <w:bookmarkStart w:id="246" w:name="_Toc184308039"/>
      <w:bookmarkEnd w:id="246"/>
      <w:bookmarkStart w:id="247" w:name="_Toc184308036"/>
      <w:bookmarkEnd w:id="247"/>
      <w:bookmarkStart w:id="248" w:name="_Toc184312080"/>
      <w:bookmarkEnd w:id="248"/>
      <w:bookmarkStart w:id="249" w:name="_Toc184308098"/>
      <w:bookmarkEnd w:id="249"/>
      <w:bookmarkStart w:id="250" w:name="_Toc184310324"/>
      <w:bookmarkEnd w:id="250"/>
      <w:bookmarkStart w:id="251" w:name="_Toc184313308"/>
      <w:bookmarkEnd w:id="251"/>
      <w:bookmarkStart w:id="252" w:name="_Toc184313266"/>
      <w:bookmarkEnd w:id="252"/>
      <w:bookmarkStart w:id="253" w:name="_Toc184314453"/>
      <w:bookmarkEnd w:id="253"/>
      <w:bookmarkStart w:id="254" w:name="_Toc184313244"/>
      <w:bookmarkEnd w:id="254"/>
      <w:bookmarkStart w:id="255" w:name="_Toc184312122"/>
      <w:bookmarkEnd w:id="255"/>
      <w:bookmarkStart w:id="256" w:name="_Toc184312102"/>
      <w:bookmarkEnd w:id="256"/>
      <w:bookmarkStart w:id="257" w:name="_Toc184314462"/>
      <w:bookmarkEnd w:id="257"/>
      <w:bookmarkStart w:id="258" w:name="_Toc184314470"/>
      <w:bookmarkEnd w:id="258"/>
      <w:bookmarkStart w:id="259" w:name="_Toc184312126"/>
      <w:bookmarkEnd w:id="259"/>
      <w:bookmarkStart w:id="260" w:name="_Toc184308070"/>
      <w:bookmarkEnd w:id="260"/>
      <w:bookmarkStart w:id="261" w:name="_Toc184312099"/>
      <w:bookmarkEnd w:id="261"/>
      <w:bookmarkStart w:id="262" w:name="_Toc184314460"/>
      <w:bookmarkEnd w:id="262"/>
      <w:bookmarkStart w:id="263" w:name="_Toc184314422"/>
      <w:bookmarkEnd w:id="263"/>
      <w:bookmarkStart w:id="264" w:name="_Toc184308093"/>
      <w:bookmarkEnd w:id="264"/>
      <w:bookmarkStart w:id="265" w:name="_Toc184313278"/>
      <w:bookmarkEnd w:id="265"/>
      <w:bookmarkStart w:id="266" w:name="_Toc184310300"/>
      <w:bookmarkEnd w:id="266"/>
      <w:bookmarkStart w:id="267" w:name="_Toc184310335"/>
      <w:bookmarkEnd w:id="267"/>
      <w:bookmarkStart w:id="268" w:name="_Toc184313305"/>
      <w:bookmarkEnd w:id="268"/>
      <w:bookmarkStart w:id="269" w:name="_Toc184308075"/>
      <w:bookmarkEnd w:id="269"/>
      <w:bookmarkStart w:id="270" w:name="_Toc184308102"/>
      <w:bookmarkEnd w:id="270"/>
      <w:bookmarkStart w:id="271" w:name="_Toc184314461"/>
      <w:bookmarkEnd w:id="271"/>
      <w:bookmarkStart w:id="272" w:name="_Toc184312139"/>
      <w:bookmarkEnd w:id="272"/>
      <w:bookmarkStart w:id="273" w:name="_Toc184310330"/>
      <w:bookmarkEnd w:id="273"/>
      <w:bookmarkStart w:id="274" w:name="_Toc184314447"/>
      <w:bookmarkEnd w:id="274"/>
      <w:bookmarkStart w:id="275" w:name="_Toc184312085"/>
      <w:bookmarkEnd w:id="275"/>
      <w:bookmarkStart w:id="276" w:name="_Toc184308065"/>
      <w:bookmarkEnd w:id="276"/>
      <w:bookmarkStart w:id="277" w:name="_Toc184312088"/>
      <w:bookmarkEnd w:id="277"/>
      <w:bookmarkStart w:id="278" w:name="_Toc184312133"/>
      <w:bookmarkEnd w:id="278"/>
      <w:bookmarkStart w:id="279" w:name="_Toc184312116"/>
      <w:bookmarkEnd w:id="279"/>
      <w:bookmarkStart w:id="280" w:name="_Toc184314473"/>
      <w:bookmarkEnd w:id="280"/>
      <w:bookmarkStart w:id="281" w:name="_Toc184310277"/>
      <w:bookmarkEnd w:id="281"/>
      <w:bookmarkStart w:id="282" w:name="_Toc184308085"/>
      <w:bookmarkEnd w:id="282"/>
      <w:bookmarkStart w:id="283" w:name="_Toc184312111"/>
      <w:bookmarkEnd w:id="283"/>
      <w:bookmarkStart w:id="284" w:name="_Toc184312094"/>
      <w:bookmarkEnd w:id="284"/>
      <w:bookmarkStart w:id="285" w:name="_Toc184308082"/>
      <w:bookmarkEnd w:id="285"/>
      <w:bookmarkStart w:id="286" w:name="_Toc184314465"/>
      <w:bookmarkEnd w:id="286"/>
      <w:bookmarkStart w:id="287" w:name="_Toc184313307"/>
      <w:bookmarkEnd w:id="287"/>
      <w:bookmarkStart w:id="288" w:name="_Toc184313288"/>
      <w:bookmarkEnd w:id="288"/>
      <w:bookmarkStart w:id="289" w:name="_Toc184314437"/>
      <w:bookmarkEnd w:id="289"/>
      <w:bookmarkStart w:id="290" w:name="_Toc184313298"/>
      <w:bookmarkEnd w:id="290"/>
      <w:bookmarkStart w:id="291" w:name="_Toc184313290"/>
      <w:bookmarkEnd w:id="291"/>
      <w:bookmarkStart w:id="292" w:name="_Toc184314439"/>
      <w:bookmarkEnd w:id="292"/>
      <w:bookmarkStart w:id="293" w:name="_Toc184308041"/>
      <w:bookmarkEnd w:id="293"/>
      <w:bookmarkStart w:id="294" w:name="_Toc184314436"/>
      <w:bookmarkEnd w:id="294"/>
      <w:bookmarkStart w:id="295" w:name="_Toc184313285"/>
      <w:bookmarkEnd w:id="295"/>
      <w:bookmarkStart w:id="296" w:name="_Toc184312083"/>
      <w:bookmarkEnd w:id="296"/>
      <w:bookmarkStart w:id="297" w:name="_Toc184312130"/>
      <w:bookmarkEnd w:id="297"/>
      <w:bookmarkStart w:id="298" w:name="_Toc184313304"/>
      <w:bookmarkEnd w:id="298"/>
      <w:bookmarkStart w:id="299" w:name="_Toc184308084"/>
      <w:bookmarkEnd w:id="299"/>
      <w:bookmarkStart w:id="300" w:name="_Toc184312134"/>
      <w:bookmarkEnd w:id="300"/>
      <w:bookmarkStart w:id="301" w:name="_Toc184313271"/>
      <w:bookmarkEnd w:id="301"/>
      <w:bookmarkStart w:id="302" w:name="_Toc184310313"/>
      <w:bookmarkEnd w:id="302"/>
      <w:bookmarkStart w:id="303" w:name="_Toc184313253"/>
      <w:bookmarkEnd w:id="303"/>
      <w:bookmarkStart w:id="304" w:name="_Toc184313252"/>
      <w:bookmarkEnd w:id="304"/>
      <w:bookmarkStart w:id="305" w:name="_Toc184308068"/>
      <w:bookmarkEnd w:id="305"/>
      <w:bookmarkStart w:id="306" w:name="_Toc184313269"/>
      <w:bookmarkEnd w:id="306"/>
      <w:bookmarkStart w:id="307" w:name="_Toc184310341"/>
      <w:bookmarkEnd w:id="307"/>
      <w:bookmarkStart w:id="308" w:name="_Toc184313292"/>
      <w:bookmarkEnd w:id="308"/>
      <w:bookmarkStart w:id="309" w:name="_Toc184314429"/>
      <w:bookmarkEnd w:id="309"/>
      <w:bookmarkStart w:id="310" w:name="_Toc184313255"/>
      <w:bookmarkEnd w:id="310"/>
      <w:bookmarkStart w:id="311" w:name="_Toc184308038"/>
      <w:bookmarkEnd w:id="311"/>
      <w:bookmarkStart w:id="312" w:name="_Toc184308058"/>
      <w:bookmarkEnd w:id="312"/>
      <w:bookmarkStart w:id="313" w:name="_Toc184312131"/>
      <w:bookmarkEnd w:id="313"/>
      <w:bookmarkStart w:id="314" w:name="_Toc184313284"/>
      <w:bookmarkEnd w:id="314"/>
      <w:bookmarkStart w:id="315" w:name="_Toc184312104"/>
      <w:bookmarkEnd w:id="315"/>
      <w:bookmarkStart w:id="316" w:name="_Toc184308037"/>
      <w:bookmarkEnd w:id="316"/>
      <w:bookmarkStart w:id="317" w:name="_Toc184313295"/>
      <w:bookmarkEnd w:id="317"/>
      <w:bookmarkStart w:id="318" w:name="_Toc184308053"/>
      <w:bookmarkEnd w:id="318"/>
      <w:bookmarkStart w:id="319" w:name="_Toc184308060"/>
      <w:bookmarkEnd w:id="319"/>
      <w:bookmarkStart w:id="320" w:name="_Toc184313274"/>
      <w:bookmarkEnd w:id="320"/>
      <w:bookmarkStart w:id="321" w:name="_Toc184312138"/>
      <w:bookmarkEnd w:id="321"/>
      <w:bookmarkStart w:id="322" w:name="_Toc184312117"/>
      <w:bookmarkEnd w:id="322"/>
      <w:bookmarkStart w:id="323" w:name="_Toc184312113"/>
      <w:bookmarkEnd w:id="323"/>
      <w:bookmarkStart w:id="324" w:name="_Toc184313240"/>
      <w:bookmarkEnd w:id="324"/>
      <w:bookmarkStart w:id="325" w:name="_Toc184313297"/>
      <w:bookmarkEnd w:id="325"/>
      <w:bookmarkStart w:id="326" w:name="_Toc184313282"/>
      <w:bookmarkEnd w:id="326"/>
      <w:bookmarkStart w:id="327" w:name="_Toc184310307"/>
      <w:bookmarkEnd w:id="327"/>
      <w:bookmarkStart w:id="328" w:name="_Toc184310319"/>
      <w:bookmarkEnd w:id="328"/>
      <w:bookmarkStart w:id="329" w:name="_Toc184310339"/>
      <w:bookmarkEnd w:id="329"/>
      <w:bookmarkStart w:id="330" w:name="_Toc184310315"/>
      <w:bookmarkEnd w:id="330"/>
      <w:bookmarkStart w:id="331" w:name="_Toc184312074"/>
      <w:bookmarkEnd w:id="331"/>
      <w:bookmarkStart w:id="332" w:name="_Toc184314464"/>
      <w:bookmarkEnd w:id="332"/>
      <w:bookmarkStart w:id="333" w:name="_Toc184310311"/>
      <w:bookmarkEnd w:id="333"/>
      <w:bookmarkStart w:id="334" w:name="_Toc184314454"/>
      <w:bookmarkEnd w:id="334"/>
      <w:bookmarkStart w:id="335" w:name="_Toc184310280"/>
      <w:bookmarkEnd w:id="335"/>
      <w:bookmarkStart w:id="336" w:name="_Toc184314452"/>
      <w:bookmarkEnd w:id="336"/>
      <w:bookmarkStart w:id="337" w:name="_Toc184314474"/>
      <w:bookmarkEnd w:id="337"/>
      <w:bookmarkStart w:id="338" w:name="_Toc184308057"/>
      <w:bookmarkEnd w:id="338"/>
      <w:bookmarkStart w:id="339" w:name="_Toc184314481"/>
      <w:bookmarkEnd w:id="339"/>
      <w:bookmarkStart w:id="340" w:name="_Toc184312124"/>
      <w:bookmarkEnd w:id="340"/>
      <w:bookmarkStart w:id="341" w:name="_Toc184310321"/>
      <w:bookmarkEnd w:id="341"/>
      <w:bookmarkStart w:id="342" w:name="_Toc184310294"/>
      <w:bookmarkEnd w:id="342"/>
      <w:bookmarkStart w:id="343" w:name="_Toc184312127"/>
      <w:bookmarkEnd w:id="343"/>
      <w:bookmarkStart w:id="344" w:name="_Toc184313286"/>
      <w:bookmarkEnd w:id="344"/>
      <w:bookmarkStart w:id="345" w:name="_Toc184314478"/>
      <w:bookmarkEnd w:id="345"/>
      <w:bookmarkStart w:id="346" w:name="_Toc184312125"/>
      <w:bookmarkEnd w:id="346"/>
      <w:bookmarkStart w:id="347" w:name="_Toc184314434"/>
      <w:bookmarkEnd w:id="347"/>
      <w:bookmarkStart w:id="348" w:name="_Toc184314440"/>
      <w:bookmarkEnd w:id="348"/>
      <w:bookmarkStart w:id="349" w:name="_Toc184308074"/>
      <w:bookmarkEnd w:id="349"/>
      <w:bookmarkStart w:id="350" w:name="_Toc184310291"/>
      <w:bookmarkEnd w:id="350"/>
      <w:bookmarkStart w:id="351" w:name="_Toc184310322"/>
      <w:bookmarkEnd w:id="351"/>
      <w:bookmarkStart w:id="352" w:name="_Toc184308062"/>
      <w:bookmarkEnd w:id="352"/>
      <w:bookmarkStart w:id="353" w:name="_Toc184308072"/>
      <w:bookmarkEnd w:id="353"/>
      <w:bookmarkStart w:id="354" w:name="_Toc184312084"/>
      <w:bookmarkEnd w:id="354"/>
      <w:bookmarkStart w:id="355" w:name="_Toc184308077"/>
      <w:bookmarkEnd w:id="355"/>
      <w:bookmarkStart w:id="356" w:name="_Toc184313280"/>
      <w:bookmarkEnd w:id="356"/>
      <w:bookmarkStart w:id="357" w:name="_Toc184313258"/>
      <w:bookmarkEnd w:id="357"/>
      <w:bookmarkStart w:id="358" w:name="_Toc184313302"/>
      <w:bookmarkEnd w:id="358"/>
      <w:bookmarkStart w:id="359" w:name="_Toc184313247"/>
      <w:bookmarkEnd w:id="359"/>
      <w:bookmarkStart w:id="360" w:name="_Toc184312069"/>
      <w:bookmarkEnd w:id="360"/>
      <w:bookmarkStart w:id="361" w:name="_Toc184310309"/>
      <w:bookmarkEnd w:id="361"/>
      <w:bookmarkStart w:id="362" w:name="_Toc184312100"/>
      <w:bookmarkEnd w:id="362"/>
      <w:bookmarkStart w:id="363" w:name="_Toc184312098"/>
      <w:bookmarkEnd w:id="363"/>
      <w:bookmarkStart w:id="364" w:name="_Toc184310288"/>
      <w:bookmarkEnd w:id="364"/>
      <w:bookmarkStart w:id="365" w:name="_Toc184310329"/>
      <w:bookmarkEnd w:id="365"/>
      <w:bookmarkStart w:id="366" w:name="_Toc184310283"/>
      <w:bookmarkEnd w:id="366"/>
      <w:bookmarkStart w:id="367" w:name="_Toc184313303"/>
      <w:bookmarkEnd w:id="367"/>
      <w:bookmarkStart w:id="368" w:name="_Toc184308089"/>
      <w:bookmarkEnd w:id="368"/>
      <w:bookmarkStart w:id="369" w:name="_Toc184313273"/>
      <w:bookmarkEnd w:id="369"/>
      <w:bookmarkStart w:id="370" w:name="_Toc184308099"/>
      <w:bookmarkEnd w:id="370"/>
      <w:bookmarkStart w:id="371" w:name="_Toc184312109"/>
      <w:bookmarkEnd w:id="371"/>
      <w:bookmarkStart w:id="372" w:name="_Toc184308049"/>
      <w:bookmarkEnd w:id="372"/>
      <w:bookmarkStart w:id="373" w:name="_Toc184312089"/>
      <w:bookmarkEnd w:id="373"/>
      <w:bookmarkStart w:id="374" w:name="_Toc184312119"/>
      <w:bookmarkEnd w:id="374"/>
      <w:bookmarkStart w:id="375" w:name="_Toc184314468"/>
      <w:bookmarkEnd w:id="375"/>
      <w:bookmarkStart w:id="376" w:name="_Toc184314458"/>
      <w:bookmarkEnd w:id="376"/>
      <w:bookmarkStart w:id="377" w:name="_Toc184308073"/>
      <w:bookmarkEnd w:id="377"/>
      <w:bookmarkStart w:id="378" w:name="_Toc184310278"/>
      <w:bookmarkEnd w:id="378"/>
      <w:bookmarkStart w:id="379" w:name="_Toc184310317"/>
      <w:bookmarkEnd w:id="379"/>
      <w:bookmarkStart w:id="380" w:name="_Toc184310303"/>
      <w:bookmarkEnd w:id="380"/>
      <w:bookmarkStart w:id="381" w:name="_Toc184314421"/>
      <w:bookmarkEnd w:id="381"/>
      <w:bookmarkStart w:id="382" w:name="_Toc184313281"/>
      <w:bookmarkEnd w:id="382"/>
      <w:bookmarkStart w:id="383" w:name="_Toc184314414"/>
      <w:bookmarkEnd w:id="383"/>
      <w:bookmarkStart w:id="384" w:name="_Toc184314438"/>
      <w:bookmarkEnd w:id="384"/>
      <w:bookmarkStart w:id="385" w:name="_Toc184313259"/>
      <w:bookmarkEnd w:id="385"/>
      <w:bookmarkStart w:id="386" w:name="_Toc184308048"/>
      <w:bookmarkEnd w:id="386"/>
      <w:bookmarkStart w:id="387" w:name="_Toc184310297"/>
      <w:bookmarkEnd w:id="387"/>
      <w:bookmarkStart w:id="388" w:name="_Toc184310290"/>
      <w:bookmarkEnd w:id="388"/>
      <w:bookmarkStart w:id="389" w:name="_Toc184314444"/>
      <w:bookmarkEnd w:id="389"/>
      <w:bookmarkStart w:id="390" w:name="_Toc184314412"/>
      <w:bookmarkEnd w:id="390"/>
      <w:bookmarkStart w:id="391" w:name="_Toc184308043"/>
      <w:bookmarkEnd w:id="391"/>
      <w:bookmarkStart w:id="392" w:name="_Toc184308040"/>
      <w:bookmarkEnd w:id="392"/>
      <w:bookmarkStart w:id="393" w:name="_Toc184312103"/>
      <w:bookmarkEnd w:id="393"/>
      <w:bookmarkStart w:id="394" w:name="_Toc184310295"/>
      <w:bookmarkEnd w:id="394"/>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4726"/>
        <w:gridCol w:w="992"/>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98" w:type="dxa"/>
            <w:noWrap w:val="0"/>
            <w:vAlign w:val="center"/>
          </w:tcPr>
          <w:p>
            <w:pPr>
              <w:spacing w:line="360" w:lineRule="auto"/>
              <w:jc w:val="center"/>
              <w:outlineLvl w:val="0"/>
              <w:rPr>
                <w:rFonts w:ascii="宋体" w:hAnsi="宋体" w:cs="宋体"/>
                <w:bCs/>
                <w:sz w:val="24"/>
                <w:highlight w:val="none"/>
              </w:rPr>
            </w:pPr>
            <w:r>
              <w:rPr>
                <w:rFonts w:hint="eastAsia" w:ascii="宋体" w:hAnsi="宋体" w:cs="宋体"/>
                <w:bCs/>
                <w:sz w:val="24"/>
                <w:highlight w:val="none"/>
              </w:rPr>
              <w:t>序号</w:t>
            </w:r>
          </w:p>
        </w:tc>
        <w:tc>
          <w:tcPr>
            <w:tcW w:w="4726" w:type="dxa"/>
            <w:noWrap w:val="0"/>
            <w:vAlign w:val="center"/>
          </w:tcPr>
          <w:p>
            <w:pPr>
              <w:spacing w:line="360" w:lineRule="auto"/>
              <w:jc w:val="center"/>
              <w:outlineLvl w:val="0"/>
              <w:rPr>
                <w:rFonts w:ascii="宋体" w:hAnsi="宋体" w:cs="宋体"/>
                <w:bCs/>
                <w:sz w:val="24"/>
                <w:highlight w:val="none"/>
              </w:rPr>
            </w:pPr>
            <w:r>
              <w:rPr>
                <w:rFonts w:hint="eastAsia" w:ascii="宋体" w:hAnsi="宋体" w:cs="宋体"/>
                <w:bCs/>
                <w:sz w:val="24"/>
                <w:highlight w:val="none"/>
              </w:rPr>
              <w:t>评标标准</w:t>
            </w:r>
          </w:p>
        </w:tc>
        <w:tc>
          <w:tcPr>
            <w:tcW w:w="992" w:type="dxa"/>
            <w:noWrap w:val="0"/>
            <w:vAlign w:val="center"/>
          </w:tcPr>
          <w:p>
            <w:pPr>
              <w:spacing w:line="360" w:lineRule="auto"/>
              <w:outlineLvl w:val="0"/>
              <w:rPr>
                <w:rFonts w:ascii="宋体" w:hAnsi="宋体" w:cs="宋体"/>
                <w:bCs/>
                <w:sz w:val="24"/>
                <w:highlight w:val="none"/>
              </w:rPr>
            </w:pPr>
            <w:r>
              <w:rPr>
                <w:rFonts w:hint="eastAsia" w:ascii="宋体" w:hAnsi="宋体" w:cs="宋体"/>
                <w:bCs/>
                <w:sz w:val="24"/>
                <w:highlight w:val="none"/>
              </w:rPr>
              <w:t>权重</w:t>
            </w:r>
          </w:p>
        </w:tc>
        <w:tc>
          <w:tcPr>
            <w:tcW w:w="1780" w:type="dxa"/>
            <w:noWrap w:val="0"/>
            <w:vAlign w:val="top"/>
          </w:tcPr>
          <w:p>
            <w:pPr>
              <w:spacing w:line="360" w:lineRule="auto"/>
              <w:outlineLvl w:val="0"/>
              <w:rPr>
                <w:rFonts w:ascii="宋体" w:hAnsi="宋体" w:cs="宋体"/>
                <w:bCs/>
                <w:sz w:val="24"/>
                <w:highlight w:val="none"/>
              </w:rPr>
            </w:pPr>
            <w:r>
              <w:rPr>
                <w:rFonts w:hint="eastAsia" w:ascii="宋体" w:hAnsi="宋体" w:cs="宋体"/>
                <w:bCs/>
                <w:sz w:val="24"/>
                <w:highlight w:val="none"/>
              </w:rPr>
              <w:t>投标文件中评标标准相应的商务技术资料目录</w:t>
            </w:r>
            <w:r>
              <w:rPr>
                <w:rFonts w:hint="eastAsia" w:ascii="宋体" w:hAnsi="宋体" w:cs="宋体"/>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98" w:type="dxa"/>
            <w:noWrap w:val="0"/>
            <w:vAlign w:val="center"/>
          </w:tcPr>
          <w:p>
            <w:pPr>
              <w:adjustRightInd/>
              <w:spacing w:line="360" w:lineRule="auto"/>
              <w:jc w:val="center"/>
              <w:outlineLvl w:val="0"/>
              <w:rPr>
                <w:rFonts w:ascii="宋体" w:hAnsi="宋体" w:cs="宋体"/>
                <w:sz w:val="24"/>
                <w:szCs w:val="22"/>
                <w:highlight w:val="none"/>
              </w:rPr>
            </w:pPr>
            <w:r>
              <w:rPr>
                <w:rFonts w:hint="eastAsia" w:ascii="宋体" w:hAnsi="宋体" w:cs="宋体"/>
                <w:sz w:val="24"/>
                <w:szCs w:val="22"/>
                <w:highlight w:val="none"/>
              </w:rPr>
              <w:t>1</w:t>
            </w:r>
          </w:p>
        </w:tc>
        <w:tc>
          <w:tcPr>
            <w:tcW w:w="4726" w:type="dxa"/>
            <w:noWrap w:val="0"/>
            <w:vAlign w:val="center"/>
          </w:tcPr>
          <w:p>
            <w:pPr>
              <w:adjustRightInd/>
              <w:spacing w:line="360" w:lineRule="auto"/>
              <w:outlineLvl w:val="0"/>
              <w:rPr>
                <w:rFonts w:ascii="宋体" w:hAnsi="宋体" w:cs="宋体"/>
                <w:sz w:val="24"/>
                <w:szCs w:val="22"/>
                <w:highlight w:val="none"/>
              </w:rPr>
            </w:pPr>
            <w:r>
              <w:rPr>
                <w:rFonts w:hint="eastAsia" w:ascii="宋体" w:hAnsi="宋体" w:cs="宋体"/>
                <w:kern w:val="0"/>
                <w:sz w:val="24"/>
                <w:szCs w:val="22"/>
                <w:highlight w:val="none"/>
              </w:rPr>
              <w:t>业绩案例：</w:t>
            </w:r>
            <w:r>
              <w:rPr>
                <w:rFonts w:hint="eastAsia" w:ascii="宋体" w:hAnsi="宋体" w:cs="宋体"/>
                <w:sz w:val="24"/>
                <w:szCs w:val="22"/>
                <w:highlight w:val="none"/>
              </w:rPr>
              <w:t>截止投标时间近三年，投标人承担类似项目实施的成功经验情况。结合已完成的项目案例和用户反映情况，依照投标人提供的</w:t>
            </w:r>
            <w:r>
              <w:rPr>
                <w:rFonts w:hint="eastAsia" w:ascii="宋体" w:hAnsi="宋体" w:cs="宋体"/>
                <w:b/>
                <w:bCs/>
                <w:sz w:val="24"/>
                <w:szCs w:val="22"/>
                <w:highlight w:val="none"/>
              </w:rPr>
              <w:t>合同和用户验收报告</w:t>
            </w:r>
            <w:r>
              <w:rPr>
                <w:rFonts w:hint="eastAsia" w:ascii="宋体" w:hAnsi="宋体" w:cs="宋体"/>
                <w:sz w:val="24"/>
                <w:szCs w:val="22"/>
                <w:highlight w:val="none"/>
              </w:rPr>
              <w:t>。每个案例（以用户验收报告时间为准）得1分,最高得</w:t>
            </w:r>
            <w:r>
              <w:rPr>
                <w:rFonts w:hint="default" w:ascii="宋体" w:hAnsi="宋体" w:cs="宋体"/>
                <w:sz w:val="24"/>
                <w:szCs w:val="22"/>
                <w:highlight w:val="none"/>
                <w:lang w:val="en-US"/>
              </w:rPr>
              <w:t>2</w:t>
            </w:r>
            <w:r>
              <w:rPr>
                <w:rFonts w:hint="eastAsia" w:ascii="宋体" w:hAnsi="宋体" w:cs="宋体"/>
                <w:sz w:val="24"/>
                <w:szCs w:val="22"/>
                <w:highlight w:val="none"/>
              </w:rPr>
              <w:t>分。以分包方式履行政府采购合同的，还需提供该项目采购方同意分包的证明材料;如投标人提供的合同复印件等实施项目证明材料与投标主体无关或违规转包分包的，评标委员会将进行扣分直至认定投标无效。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992" w:type="dxa"/>
            <w:noWrap w:val="0"/>
            <w:vAlign w:val="center"/>
          </w:tcPr>
          <w:p>
            <w:pPr>
              <w:adjustRightInd/>
              <w:spacing w:line="360" w:lineRule="auto"/>
              <w:jc w:val="center"/>
              <w:outlineLvl w:val="0"/>
              <w:rPr>
                <w:rFonts w:ascii="宋体" w:hAnsi="宋体" w:cs="宋体"/>
                <w:sz w:val="24"/>
                <w:szCs w:val="22"/>
                <w:highlight w:val="none"/>
              </w:rPr>
            </w:pPr>
            <w:r>
              <w:rPr>
                <w:rFonts w:hint="default" w:ascii="宋体" w:hAnsi="宋体" w:cs="宋体"/>
                <w:sz w:val="24"/>
                <w:szCs w:val="22"/>
                <w:highlight w:val="none"/>
                <w:lang w:val="en-US"/>
              </w:rPr>
              <w:t>2</w:t>
            </w:r>
          </w:p>
        </w:tc>
        <w:tc>
          <w:tcPr>
            <w:tcW w:w="1780" w:type="dxa"/>
            <w:noWrap w:val="0"/>
            <w:vAlign w:val="center"/>
          </w:tcPr>
          <w:p>
            <w:pPr>
              <w:adjustRightInd/>
              <w:spacing w:line="360" w:lineRule="auto"/>
              <w:jc w:val="left"/>
              <w:outlineLvl w:val="0"/>
              <w:rPr>
                <w:rFonts w:ascii="宋体" w:hAnsi="宋体" w:cs="宋体"/>
                <w:b/>
                <w:bCs/>
                <w:sz w:val="24"/>
                <w:szCs w:val="22"/>
                <w:highlight w:val="none"/>
              </w:rPr>
            </w:pPr>
            <w:r>
              <w:rPr>
                <w:rFonts w:hint="eastAsia" w:ascii="宋体" w:hAnsi="宋体" w:cs="宋体"/>
                <w:b/>
                <w:bCs/>
                <w:sz w:val="24"/>
                <w:szCs w:val="22"/>
                <w:highlight w:val="none"/>
              </w:rPr>
              <w:t>（一）投标人业绩情况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jc w:val="center"/>
        </w:trPr>
        <w:tc>
          <w:tcPr>
            <w:tcW w:w="798" w:type="dxa"/>
            <w:noWrap w:val="0"/>
            <w:vAlign w:val="center"/>
          </w:tcPr>
          <w:p>
            <w:pPr>
              <w:adjustRightInd/>
              <w:spacing w:line="360" w:lineRule="auto"/>
              <w:jc w:val="center"/>
              <w:outlineLvl w:val="0"/>
              <w:rPr>
                <w:rFonts w:ascii="宋体" w:hAnsi="宋体" w:cs="宋体"/>
                <w:sz w:val="24"/>
                <w:szCs w:val="22"/>
                <w:highlight w:val="none"/>
              </w:rPr>
            </w:pPr>
            <w:r>
              <w:rPr>
                <w:rFonts w:hint="eastAsia" w:ascii="宋体" w:hAnsi="宋体" w:cs="宋体"/>
                <w:sz w:val="24"/>
                <w:szCs w:val="22"/>
                <w:highlight w:val="none"/>
              </w:rPr>
              <w:t>2</w:t>
            </w:r>
          </w:p>
        </w:tc>
        <w:tc>
          <w:tcPr>
            <w:tcW w:w="4726" w:type="dxa"/>
            <w:noWrap w:val="0"/>
            <w:vAlign w:val="center"/>
          </w:tcPr>
          <w:p>
            <w:pPr>
              <w:adjustRightInd/>
              <w:spacing w:line="360" w:lineRule="auto"/>
              <w:outlineLvl w:val="0"/>
              <w:rPr>
                <w:rFonts w:hint="eastAsia" w:ascii="宋体" w:hAnsi="宋体" w:cs="宋体"/>
                <w:sz w:val="24"/>
                <w:highlight w:val="none"/>
                <w:lang w:val="en-US" w:eastAsia="zh-CN"/>
              </w:rPr>
            </w:pPr>
            <w:r>
              <w:rPr>
                <w:rFonts w:hint="eastAsia" w:ascii="宋体" w:hAnsi="宋体" w:cs="宋体"/>
                <w:sz w:val="24"/>
                <w:highlight w:val="none"/>
              </w:rPr>
              <w:t>投标总体方案的功能实现及设计方案配置合理性</w:t>
            </w:r>
            <w:r>
              <w:rPr>
                <w:rFonts w:hint="eastAsia" w:ascii="宋体" w:hAnsi="宋体" w:cs="宋体"/>
                <w:sz w:val="24"/>
                <w:highlight w:val="none"/>
                <w:lang w:eastAsia="zh-CN"/>
              </w:rPr>
              <w:t>、稳定性</w:t>
            </w:r>
            <w:r>
              <w:rPr>
                <w:rFonts w:hint="eastAsia" w:ascii="宋体" w:hAnsi="宋体" w:cs="宋体"/>
                <w:sz w:val="24"/>
                <w:highlight w:val="none"/>
              </w:rPr>
              <w:t>等方面</w:t>
            </w:r>
            <w:r>
              <w:rPr>
                <w:rFonts w:hint="eastAsia" w:ascii="宋体" w:hAnsi="宋体" w:cs="宋体"/>
                <w:sz w:val="24"/>
                <w:highlight w:val="none"/>
                <w:lang w:eastAsia="zh-CN"/>
              </w:rPr>
              <w:t>与项目实际需求的满足情况</w:t>
            </w:r>
            <w:r>
              <w:rPr>
                <w:rFonts w:hint="eastAsia" w:ascii="宋体" w:hAnsi="宋体" w:cs="宋体"/>
                <w:sz w:val="24"/>
                <w:highlight w:val="none"/>
                <w:lang w:val="en-US" w:eastAsia="zh-CN"/>
              </w:rPr>
              <w:t>。</w:t>
            </w:r>
          </w:p>
          <w:p>
            <w:pPr>
              <w:adjustRightInd/>
              <w:spacing w:line="360" w:lineRule="auto"/>
              <w:outlineLvl w:val="0"/>
              <w:rPr>
                <w:rFonts w:hint="default" w:ascii="宋体" w:hAnsi="宋体" w:cs="宋体"/>
                <w:sz w:val="24"/>
                <w:highlight w:val="none"/>
                <w:lang w:val="en-US" w:eastAsia="zh-CN"/>
              </w:rPr>
            </w:pPr>
            <w:r>
              <w:rPr>
                <w:rFonts w:hint="eastAsia" w:ascii="宋体" w:hAnsi="宋体" w:cs="宋体"/>
                <w:sz w:val="24"/>
                <w:highlight w:val="none"/>
                <w:lang w:val="en-US" w:eastAsia="zh-CN"/>
              </w:rPr>
              <w:t>●针对安全现状的升级和优化方案，目标清晰</w:t>
            </w:r>
            <w:r>
              <w:rPr>
                <w:rFonts w:hint="eastAsia" w:ascii="宋体" w:hAnsi="宋体" w:cs="宋体"/>
                <w:sz w:val="24"/>
                <w:highlight w:val="none"/>
                <w:lang w:eastAsia="zh-CN"/>
              </w:rPr>
              <w:t>、合理稳定的得</w:t>
            </w:r>
            <w:r>
              <w:rPr>
                <w:rFonts w:hint="default" w:ascii="宋体" w:hAnsi="宋体" w:cs="宋体"/>
                <w:sz w:val="24"/>
                <w:highlight w:val="none"/>
                <w:lang w:val="en-US" w:eastAsia="zh-CN"/>
              </w:rPr>
              <w:t>2</w:t>
            </w:r>
            <w:r>
              <w:rPr>
                <w:rFonts w:hint="eastAsia" w:ascii="宋体" w:hAnsi="宋体" w:cs="宋体"/>
                <w:sz w:val="24"/>
                <w:highlight w:val="none"/>
                <w:lang w:eastAsia="zh-CN"/>
              </w:rPr>
              <w:t>分，清晰但较为合理稳定的得</w:t>
            </w:r>
            <w:r>
              <w:rPr>
                <w:rFonts w:hint="default" w:ascii="宋体" w:hAnsi="宋体" w:cs="宋体"/>
                <w:sz w:val="24"/>
                <w:highlight w:val="none"/>
                <w:lang w:val="en-US" w:eastAsia="zh-CN"/>
              </w:rPr>
              <w:t>1</w:t>
            </w:r>
            <w:r>
              <w:rPr>
                <w:rFonts w:hint="eastAsia" w:ascii="宋体" w:hAnsi="宋体" w:cs="宋体"/>
                <w:sz w:val="24"/>
                <w:highlight w:val="none"/>
                <w:lang w:val="en-US" w:eastAsia="zh-CN"/>
              </w:rPr>
              <w:t>分，方案有重大偏差的得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r>
              <w:rPr>
                <w:rFonts w:hint="default" w:ascii="宋体" w:hAnsi="宋体" w:cs="宋体"/>
                <w:sz w:val="24"/>
                <w:highlight w:val="none"/>
                <w:lang w:val="en-US" w:eastAsia="zh-CN"/>
              </w:rPr>
              <w:t>2</w:t>
            </w:r>
            <w:r>
              <w:rPr>
                <w:rFonts w:hint="eastAsia" w:ascii="宋体" w:hAnsi="宋体" w:cs="宋体"/>
                <w:sz w:val="24"/>
                <w:highlight w:val="none"/>
                <w:lang w:val="en-US" w:eastAsia="zh-CN"/>
              </w:rPr>
              <w:t>分）</w:t>
            </w:r>
          </w:p>
          <w:p>
            <w:pPr>
              <w:adjustRightInd/>
              <w:spacing w:line="360" w:lineRule="auto"/>
              <w:outlineLvl w:val="0"/>
              <w:rPr>
                <w:rFonts w:hint="eastAsia" w:ascii="宋体" w:hAnsi="宋体" w:eastAsia="宋体" w:cs="宋体"/>
                <w:kern w:val="0"/>
                <w:sz w:val="24"/>
                <w:szCs w:val="22"/>
                <w:highlight w:val="none"/>
                <w:lang w:val="en-US" w:eastAsia="zh-CN"/>
              </w:rPr>
            </w:pPr>
            <w:r>
              <w:rPr>
                <w:rFonts w:hint="eastAsia" w:ascii="宋体" w:hAnsi="宋体" w:cs="宋体"/>
                <w:sz w:val="24"/>
                <w:highlight w:val="none"/>
                <w:lang w:val="en-US" w:eastAsia="zh-CN"/>
              </w:rPr>
              <w:t>●针对医学影像病例系统现状的存储扩容和改造、影像备份归档方案，目标清晰、稳定完整的得</w:t>
            </w:r>
            <w:r>
              <w:rPr>
                <w:rFonts w:hint="default" w:ascii="宋体" w:hAnsi="宋体" w:cs="宋体"/>
                <w:sz w:val="24"/>
                <w:highlight w:val="none"/>
                <w:lang w:val="en-US" w:eastAsia="zh-CN"/>
              </w:rPr>
              <w:t>2</w:t>
            </w:r>
            <w:r>
              <w:rPr>
                <w:rFonts w:hint="eastAsia" w:ascii="宋体" w:hAnsi="宋体" w:cs="宋体"/>
                <w:sz w:val="24"/>
                <w:highlight w:val="none"/>
                <w:lang w:val="en-US" w:eastAsia="zh-CN"/>
              </w:rPr>
              <w:t>分，清晰但较为稳定</w:t>
            </w:r>
            <w:r>
              <w:rPr>
                <w:rFonts w:hint="eastAsia" w:ascii="宋体" w:hAnsi="宋体" w:cs="宋体"/>
                <w:sz w:val="24"/>
                <w:highlight w:val="none"/>
                <w:lang w:eastAsia="zh-CN"/>
              </w:rPr>
              <w:t>的得</w:t>
            </w:r>
            <w:r>
              <w:rPr>
                <w:rFonts w:hint="default" w:ascii="宋体" w:hAnsi="宋体" w:cs="宋体"/>
                <w:sz w:val="24"/>
                <w:highlight w:val="none"/>
                <w:lang w:val="en-US" w:eastAsia="zh-CN"/>
              </w:rPr>
              <w:t>1</w:t>
            </w:r>
            <w:r>
              <w:rPr>
                <w:rFonts w:hint="eastAsia" w:ascii="宋体" w:hAnsi="宋体" w:cs="宋体"/>
                <w:sz w:val="24"/>
                <w:highlight w:val="none"/>
                <w:lang w:eastAsia="zh-CN"/>
              </w:rPr>
              <w:t>分，</w:t>
            </w:r>
            <w:r>
              <w:rPr>
                <w:rFonts w:hint="eastAsia" w:ascii="宋体" w:hAnsi="宋体" w:cs="宋体"/>
                <w:sz w:val="24"/>
                <w:highlight w:val="none"/>
                <w:lang w:val="en-US" w:eastAsia="zh-CN"/>
              </w:rPr>
              <w:t>方案有重大偏差的得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r>
              <w:rPr>
                <w:rFonts w:hint="default" w:ascii="宋体" w:hAnsi="宋体" w:cs="宋体"/>
                <w:sz w:val="24"/>
                <w:highlight w:val="none"/>
                <w:lang w:val="en-US" w:eastAsia="zh-CN"/>
              </w:rPr>
              <w:t>(2</w:t>
            </w:r>
            <w:r>
              <w:rPr>
                <w:rFonts w:hint="eastAsia" w:ascii="宋体" w:hAnsi="宋体" w:cs="宋体"/>
                <w:sz w:val="24"/>
                <w:highlight w:val="none"/>
                <w:lang w:val="en-US" w:eastAsia="zh-CN"/>
              </w:rPr>
              <w:t>分）。</w:t>
            </w:r>
          </w:p>
        </w:tc>
        <w:tc>
          <w:tcPr>
            <w:tcW w:w="992" w:type="dxa"/>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4</w:t>
            </w:r>
          </w:p>
        </w:tc>
        <w:tc>
          <w:tcPr>
            <w:tcW w:w="1780" w:type="dxa"/>
            <w:vMerge w:val="restart"/>
            <w:noWrap w:val="0"/>
            <w:vAlign w:val="center"/>
          </w:tcPr>
          <w:p>
            <w:pPr>
              <w:adjustRightInd/>
              <w:spacing w:line="360" w:lineRule="auto"/>
              <w:jc w:val="left"/>
              <w:outlineLvl w:val="0"/>
              <w:rPr>
                <w:rFonts w:ascii="宋体" w:hAnsi="宋体" w:cs="宋体"/>
                <w:b/>
                <w:bCs/>
                <w:sz w:val="24"/>
                <w:szCs w:val="22"/>
                <w:highlight w:val="none"/>
              </w:rPr>
            </w:pPr>
            <w:r>
              <w:rPr>
                <w:rFonts w:hint="eastAsia" w:ascii="宋体" w:hAnsi="宋体" w:cs="宋体"/>
                <w:b/>
                <w:sz w:val="24"/>
                <w:highlight w:val="none"/>
              </w:rPr>
              <w:t>（二）技术总体方案科学性和完整性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98" w:type="dxa"/>
            <w:noWrap w:val="0"/>
            <w:vAlign w:val="center"/>
          </w:tcPr>
          <w:p>
            <w:pPr>
              <w:adjustRightInd/>
              <w:spacing w:line="360" w:lineRule="auto"/>
              <w:jc w:val="center"/>
              <w:outlineLvl w:val="0"/>
              <w:rPr>
                <w:rFonts w:hint="eastAsia" w:ascii="宋体" w:hAnsi="宋体" w:cs="宋体"/>
                <w:sz w:val="24"/>
                <w:szCs w:val="22"/>
                <w:highlight w:val="none"/>
              </w:rPr>
            </w:pPr>
          </w:p>
        </w:tc>
        <w:tc>
          <w:tcPr>
            <w:tcW w:w="4726" w:type="dxa"/>
            <w:noWrap w:val="0"/>
            <w:vAlign w:val="center"/>
          </w:tcPr>
          <w:p>
            <w:pPr>
              <w:adjustRightInd/>
              <w:spacing w:line="360" w:lineRule="auto"/>
              <w:outlineLvl w:val="0"/>
              <w:rPr>
                <w:rFonts w:hint="eastAsia" w:ascii="宋体" w:hAnsi="宋体" w:cs="宋体"/>
                <w:color w:val="auto"/>
                <w:sz w:val="24"/>
                <w:highlight w:val="none"/>
                <w:lang w:eastAsia="zh-CN"/>
              </w:rPr>
            </w:pPr>
            <w:r>
              <w:rPr>
                <w:rFonts w:hint="eastAsia" w:ascii="宋体" w:hAnsi="宋体" w:cs="宋体"/>
                <w:color w:val="auto"/>
                <w:sz w:val="24"/>
                <w:highlight w:val="none"/>
              </w:rPr>
              <w:t>对</w:t>
            </w:r>
            <w:r>
              <w:rPr>
                <w:rFonts w:hint="eastAsia" w:ascii="宋体" w:hAnsi="宋体" w:cs="宋体"/>
                <w:color w:val="auto"/>
                <w:sz w:val="24"/>
                <w:highlight w:val="none"/>
                <w:lang w:eastAsia="zh-CN"/>
              </w:rPr>
              <w:t>用户现有的网络和数据安全现状理解的</w:t>
            </w:r>
            <w:r>
              <w:rPr>
                <w:rFonts w:hint="eastAsia" w:ascii="宋体" w:hAnsi="宋体" w:cs="宋体"/>
                <w:color w:val="auto"/>
                <w:sz w:val="24"/>
                <w:highlight w:val="none"/>
              </w:rPr>
              <w:t>全面、详尽、准确</w:t>
            </w:r>
            <w:r>
              <w:rPr>
                <w:rFonts w:hint="eastAsia" w:ascii="宋体" w:hAnsi="宋体" w:cs="宋体"/>
                <w:color w:val="auto"/>
                <w:sz w:val="24"/>
                <w:highlight w:val="none"/>
                <w:lang w:eastAsia="zh-CN"/>
              </w:rPr>
              <w:t>程度；</w:t>
            </w:r>
            <w:r>
              <w:rPr>
                <w:rFonts w:hint="eastAsia" w:ascii="宋体" w:hAnsi="宋体" w:cs="宋体"/>
                <w:color w:val="auto"/>
                <w:sz w:val="24"/>
                <w:highlight w:val="none"/>
              </w:rPr>
              <w:t>考虑实际使用需求</w:t>
            </w:r>
            <w:r>
              <w:rPr>
                <w:rFonts w:hint="eastAsia" w:ascii="宋体" w:hAnsi="宋体" w:cs="宋体"/>
                <w:color w:val="auto"/>
                <w:sz w:val="24"/>
                <w:highlight w:val="none"/>
                <w:lang w:eastAsia="zh-CN"/>
              </w:rPr>
              <w:t>程度；对网络拓扑、网络设备和安全设备信息等情况的介绍程度。理解全面详尽准确、充分考虑到实际使用需求</w:t>
            </w:r>
          </w:p>
          <w:p>
            <w:pPr>
              <w:adjustRightInd/>
              <w:spacing w:line="360" w:lineRule="auto"/>
              <w:outlineLvl w:val="0"/>
              <w:rPr>
                <w:rFonts w:hint="eastAsia" w:ascii="宋体" w:hAnsi="宋体" w:cs="宋体"/>
                <w:color w:val="auto"/>
                <w:sz w:val="24"/>
                <w:highlight w:val="none"/>
                <w:lang w:eastAsia="zh-CN"/>
              </w:rPr>
            </w:pPr>
            <w:r>
              <w:rPr>
                <w:rFonts w:hint="eastAsia" w:ascii="宋体" w:hAnsi="宋体" w:cs="宋体"/>
                <w:sz w:val="24"/>
                <w:highlight w:val="none"/>
                <w:lang w:val="en-US" w:eastAsia="zh-CN"/>
              </w:rPr>
              <w:t>●</w:t>
            </w:r>
            <w:r>
              <w:rPr>
                <w:rFonts w:hint="eastAsia" w:ascii="宋体" w:hAnsi="宋体" w:cs="宋体"/>
                <w:color w:val="auto"/>
                <w:sz w:val="24"/>
                <w:highlight w:val="none"/>
                <w:lang w:eastAsia="zh-CN"/>
              </w:rPr>
              <w:t>对现有安全体系、网络拓扑、网络设备等情况介绍完整、合理的得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分，对情况介绍不够完整、合理的得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w:t>
            </w:r>
            <w:r>
              <w:rPr>
                <w:rFonts w:hint="eastAsia" w:ascii="宋体" w:hAnsi="宋体" w:cs="宋体"/>
                <w:sz w:val="24"/>
                <w:highlight w:val="none"/>
                <w:lang w:val="en-US" w:eastAsia="zh-CN"/>
              </w:rPr>
              <w:t>方案有重大偏差的得</w:t>
            </w:r>
            <w:r>
              <w:rPr>
                <w:rFonts w:hint="eastAsia" w:ascii="宋体" w:hAnsi="宋体" w:cs="宋体"/>
                <w:color w:val="auto"/>
                <w:sz w:val="24"/>
                <w:highlight w:val="none"/>
                <w:lang w:eastAsia="zh-CN"/>
              </w:rPr>
              <w:t>0分（</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w:t>
            </w:r>
          </w:p>
          <w:p>
            <w:pPr>
              <w:adjustRightInd/>
              <w:spacing w:line="360" w:lineRule="auto"/>
              <w:outlineLvl w:val="0"/>
              <w:rPr>
                <w:rFonts w:hint="eastAsia" w:ascii="宋体" w:hAnsi="宋体" w:cs="宋体"/>
                <w:sz w:val="24"/>
                <w:highlight w:val="none"/>
              </w:rPr>
            </w:pPr>
            <w:r>
              <w:rPr>
                <w:rFonts w:hint="eastAsia" w:ascii="宋体" w:hAnsi="宋体" w:cs="宋体"/>
                <w:sz w:val="24"/>
                <w:highlight w:val="none"/>
                <w:lang w:val="en-US" w:eastAsia="zh-CN"/>
              </w:rPr>
              <w:t>●对现有主机系统、医学影像病历系统存储和归档现状，系统现存问题介绍完整、合理的得4分，</w:t>
            </w:r>
            <w:r>
              <w:rPr>
                <w:rFonts w:hint="eastAsia" w:ascii="宋体" w:hAnsi="宋体" w:cs="宋体"/>
                <w:color w:val="auto"/>
                <w:sz w:val="24"/>
                <w:highlight w:val="none"/>
                <w:lang w:eastAsia="zh-CN"/>
              </w:rPr>
              <w:t>对情况介绍不够完整、合理的得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w:t>
            </w:r>
            <w:r>
              <w:rPr>
                <w:rFonts w:hint="eastAsia" w:ascii="宋体" w:hAnsi="宋体" w:cs="宋体"/>
                <w:sz w:val="24"/>
                <w:highlight w:val="none"/>
                <w:lang w:val="en-US" w:eastAsia="zh-CN"/>
              </w:rPr>
              <w:t>方案有重大偏差的得</w:t>
            </w:r>
            <w:r>
              <w:rPr>
                <w:rFonts w:hint="eastAsia" w:ascii="宋体" w:hAnsi="宋体" w:cs="宋体"/>
                <w:color w:val="auto"/>
                <w:sz w:val="24"/>
                <w:highlight w:val="none"/>
                <w:lang w:eastAsia="zh-CN"/>
              </w:rPr>
              <w:t>0分（</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w:t>
            </w:r>
            <w:r>
              <w:rPr>
                <w:rFonts w:hint="eastAsia" w:ascii="宋体" w:hAnsi="宋体" w:cs="宋体"/>
                <w:sz w:val="24"/>
                <w:highlight w:val="none"/>
                <w:lang w:val="en-US" w:eastAsia="zh-CN"/>
              </w:rPr>
              <w:t xml:space="preserve">。 </w:t>
            </w:r>
          </w:p>
        </w:tc>
        <w:tc>
          <w:tcPr>
            <w:tcW w:w="992" w:type="dxa"/>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8</w:t>
            </w:r>
          </w:p>
        </w:tc>
        <w:tc>
          <w:tcPr>
            <w:tcW w:w="1780" w:type="dxa"/>
            <w:vMerge w:val="continue"/>
            <w:noWrap w:val="0"/>
            <w:vAlign w:val="center"/>
          </w:tcPr>
          <w:p>
            <w:pPr>
              <w:adjustRightInd/>
              <w:spacing w:line="360" w:lineRule="auto"/>
              <w:jc w:val="left"/>
              <w:outlineLvl w:val="0"/>
              <w:rPr>
                <w:rFonts w:hint="eastAsia"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98" w:type="dxa"/>
            <w:noWrap w:val="0"/>
            <w:vAlign w:val="center"/>
          </w:tcPr>
          <w:p>
            <w:pPr>
              <w:adjustRightInd/>
              <w:spacing w:line="360" w:lineRule="auto"/>
              <w:jc w:val="center"/>
              <w:outlineLvl w:val="0"/>
              <w:rPr>
                <w:rFonts w:ascii="宋体" w:hAnsi="宋体" w:cs="宋体"/>
                <w:sz w:val="24"/>
                <w:szCs w:val="22"/>
                <w:highlight w:val="none"/>
              </w:rPr>
            </w:pPr>
            <w:r>
              <w:rPr>
                <w:rFonts w:hint="default" w:ascii="宋体" w:hAnsi="宋体" w:cs="宋体"/>
                <w:sz w:val="24"/>
                <w:szCs w:val="22"/>
                <w:highlight w:val="none"/>
                <w:lang w:val="en-US"/>
              </w:rPr>
              <w:t>3</w:t>
            </w:r>
          </w:p>
        </w:tc>
        <w:tc>
          <w:tcPr>
            <w:tcW w:w="4726" w:type="dxa"/>
            <w:noWrap w:val="0"/>
            <w:vAlign w:val="center"/>
          </w:tcPr>
          <w:p>
            <w:pPr>
              <w:adjustRightInd/>
              <w:spacing w:line="360" w:lineRule="auto"/>
              <w:outlineLvl w:val="0"/>
              <w:rPr>
                <w:rFonts w:hint="eastAsia" w:ascii="宋体" w:hAnsi="宋体" w:eastAsia="宋体" w:cs="宋体"/>
                <w:kern w:val="0"/>
                <w:sz w:val="24"/>
                <w:szCs w:val="22"/>
                <w:highlight w:val="none"/>
                <w:lang w:eastAsia="zh-CN"/>
              </w:rPr>
            </w:pPr>
            <w:r>
              <w:rPr>
                <w:rFonts w:hint="eastAsia" w:ascii="宋体" w:hAnsi="宋体" w:cs="宋体"/>
                <w:sz w:val="24"/>
                <w:highlight w:val="none"/>
              </w:rPr>
              <w:t>投标人对</w:t>
            </w:r>
            <w:r>
              <w:rPr>
                <w:rFonts w:hint="eastAsia" w:ascii="宋体" w:hAnsi="宋体" w:cs="宋体"/>
                <w:sz w:val="24"/>
                <w:highlight w:val="none"/>
                <w:lang w:eastAsia="zh-CN"/>
              </w:rPr>
              <w:t>主机安全监测系统、</w:t>
            </w:r>
            <w:r>
              <w:rPr>
                <w:rFonts w:hint="default" w:ascii="宋体" w:hAnsi="宋体" w:cs="宋体"/>
                <w:sz w:val="24"/>
                <w:highlight w:val="none"/>
                <w:lang w:val="en-US" w:eastAsia="zh-CN"/>
              </w:rPr>
              <w:t>SAN</w:t>
            </w:r>
            <w:r>
              <w:rPr>
                <w:rFonts w:hint="eastAsia" w:ascii="宋体" w:hAnsi="宋体" w:cs="宋体"/>
                <w:sz w:val="24"/>
                <w:highlight w:val="none"/>
                <w:lang w:val="en-US" w:eastAsia="zh-CN"/>
              </w:rPr>
              <w:t>网络、存储现状、各医院桌面安全隐患现状理解程度</w:t>
            </w:r>
            <w:r>
              <w:rPr>
                <w:rFonts w:hint="eastAsia" w:ascii="宋体" w:hAnsi="宋体" w:cs="宋体"/>
                <w:sz w:val="24"/>
                <w:highlight w:val="none"/>
                <w:lang w:eastAsia="zh-CN"/>
              </w:rPr>
              <w:t>。理解全面、完整可行的得4分，理解基本全面，较为完整可行的的得2分，理解有重大偏差的或不可行的得0分。</w:t>
            </w:r>
          </w:p>
        </w:tc>
        <w:tc>
          <w:tcPr>
            <w:tcW w:w="992" w:type="dxa"/>
            <w:noWrap w:val="0"/>
            <w:vAlign w:val="center"/>
          </w:tcPr>
          <w:p>
            <w:pPr>
              <w:adjustRightInd/>
              <w:spacing w:line="360" w:lineRule="auto"/>
              <w:jc w:val="center"/>
              <w:outlineLvl w:val="0"/>
              <w:rPr>
                <w:rFonts w:ascii="宋体" w:hAnsi="宋体" w:cs="宋体"/>
                <w:sz w:val="24"/>
                <w:szCs w:val="22"/>
                <w:highlight w:val="none"/>
              </w:rPr>
            </w:pPr>
            <w:r>
              <w:rPr>
                <w:rFonts w:hint="default" w:ascii="宋体" w:hAnsi="宋体" w:cs="宋体"/>
                <w:sz w:val="24"/>
                <w:szCs w:val="22"/>
                <w:highlight w:val="none"/>
                <w:lang w:val="en-US"/>
              </w:rPr>
              <w:t>4</w:t>
            </w:r>
          </w:p>
        </w:tc>
        <w:tc>
          <w:tcPr>
            <w:tcW w:w="1780" w:type="dxa"/>
            <w:vMerge w:val="continue"/>
            <w:noWrap w:val="0"/>
            <w:vAlign w:val="center"/>
          </w:tcPr>
          <w:p>
            <w:pPr>
              <w:adjustRightInd/>
              <w:spacing w:line="360" w:lineRule="auto"/>
              <w:jc w:val="left"/>
              <w:outlineLvl w:val="0"/>
              <w:rPr>
                <w:rFonts w:ascii="宋体" w:hAnsi="宋体" w:cs="宋体"/>
                <w:b/>
                <w:bCs/>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8" w:type="dxa"/>
            <w:vMerge w:val="restart"/>
            <w:noWrap w:val="0"/>
            <w:vAlign w:val="center"/>
          </w:tcPr>
          <w:p>
            <w:pPr>
              <w:spacing w:line="360" w:lineRule="auto"/>
              <w:jc w:val="center"/>
              <w:outlineLvl w:val="0"/>
              <w:rPr>
                <w:rFonts w:ascii="宋体" w:hAnsi="宋体" w:cs="宋体"/>
                <w:sz w:val="24"/>
                <w:szCs w:val="22"/>
                <w:highlight w:val="none"/>
              </w:rPr>
            </w:pPr>
            <w:r>
              <w:rPr>
                <w:rFonts w:hint="default" w:ascii="宋体" w:hAnsi="宋体" w:cs="宋体"/>
                <w:sz w:val="24"/>
                <w:highlight w:val="none"/>
                <w:lang w:val="en-US"/>
              </w:rPr>
              <w:t>4</w:t>
            </w:r>
          </w:p>
        </w:tc>
        <w:tc>
          <w:tcPr>
            <w:tcW w:w="4726" w:type="dxa"/>
            <w:noWrap w:val="0"/>
            <w:vAlign w:val="center"/>
          </w:tcPr>
          <w:p>
            <w:pPr>
              <w:adjustRightInd/>
              <w:spacing w:line="360" w:lineRule="auto"/>
              <w:outlineLvl w:val="0"/>
              <w:rPr>
                <w:rFonts w:hint="default" w:ascii="宋体" w:hAnsi="宋体" w:eastAsia="宋体" w:cs="宋体"/>
                <w:kern w:val="0"/>
                <w:sz w:val="24"/>
                <w:szCs w:val="22"/>
                <w:highlight w:val="none"/>
                <w:lang w:val="en-US" w:eastAsia="zh-CN"/>
              </w:rPr>
            </w:pPr>
            <w:r>
              <w:rPr>
                <w:rFonts w:hint="eastAsia" w:ascii="宋体" w:hAnsi="宋体"/>
                <w:sz w:val="24"/>
                <w:highlight w:val="none"/>
              </w:rPr>
              <w:t>结合平台和医院端的网络及安全现状情况，提供终端安全和主机安全监测及安全管理系统融合多维度安全防御解决方案</w:t>
            </w:r>
            <w:r>
              <w:rPr>
                <w:rFonts w:hint="eastAsia" w:ascii="宋体" w:hAnsi="宋体"/>
                <w:sz w:val="24"/>
                <w:highlight w:val="none"/>
                <w:lang w:eastAsia="zh-CN"/>
              </w:rPr>
              <w:t>。充分满足项目需求的得</w:t>
            </w:r>
            <w:r>
              <w:rPr>
                <w:rFonts w:hint="default" w:ascii="宋体" w:hAnsi="宋体"/>
                <w:sz w:val="24"/>
                <w:highlight w:val="none"/>
                <w:lang w:val="en-US" w:eastAsia="zh-CN"/>
              </w:rPr>
              <w:t>4</w:t>
            </w:r>
            <w:r>
              <w:rPr>
                <w:rFonts w:hint="eastAsia" w:ascii="宋体" w:hAnsi="宋体"/>
                <w:sz w:val="24"/>
                <w:highlight w:val="none"/>
                <w:lang w:eastAsia="zh-CN"/>
              </w:rPr>
              <w:t>分；部分满足项目需求的得</w:t>
            </w:r>
            <w:r>
              <w:rPr>
                <w:rFonts w:hint="default" w:ascii="宋体" w:hAnsi="宋体"/>
                <w:sz w:val="24"/>
                <w:highlight w:val="none"/>
                <w:lang w:val="en-US" w:eastAsia="zh-CN"/>
              </w:rPr>
              <w:t>2</w:t>
            </w:r>
            <w:r>
              <w:rPr>
                <w:rFonts w:hint="eastAsia" w:ascii="宋体" w:hAnsi="宋体"/>
                <w:sz w:val="24"/>
                <w:highlight w:val="none"/>
                <w:lang w:eastAsia="zh-CN"/>
              </w:rPr>
              <w:t>分，不满足的得0分。</w:t>
            </w:r>
          </w:p>
        </w:tc>
        <w:tc>
          <w:tcPr>
            <w:tcW w:w="992" w:type="dxa"/>
            <w:noWrap w:val="0"/>
            <w:vAlign w:val="center"/>
          </w:tcPr>
          <w:p>
            <w:pPr>
              <w:spacing w:line="360" w:lineRule="auto"/>
              <w:jc w:val="center"/>
              <w:outlineLvl w:val="0"/>
              <w:rPr>
                <w:rFonts w:ascii="宋体" w:hAnsi="宋体" w:cs="宋体"/>
                <w:szCs w:val="22"/>
                <w:highlight w:val="none"/>
              </w:rPr>
            </w:pPr>
            <w:r>
              <w:rPr>
                <w:rFonts w:hint="default" w:ascii="宋体" w:hAnsi="宋体" w:cs="宋体"/>
                <w:sz w:val="24"/>
                <w:highlight w:val="none"/>
                <w:lang w:val="en-US"/>
              </w:rPr>
              <w:t>4</w:t>
            </w:r>
            <w:r>
              <w:rPr>
                <w:rFonts w:ascii="宋体" w:hAnsi="宋体" w:cs="宋体"/>
                <w:szCs w:val="22"/>
                <w:highlight w:val="none"/>
              </w:rPr>
              <w:t xml:space="preserve"> </w:t>
            </w:r>
          </w:p>
        </w:tc>
        <w:tc>
          <w:tcPr>
            <w:tcW w:w="1780" w:type="dxa"/>
            <w:vMerge w:val="restart"/>
            <w:noWrap w:val="0"/>
            <w:vAlign w:val="center"/>
          </w:tcPr>
          <w:p>
            <w:pPr>
              <w:rPr>
                <w:rFonts w:ascii="宋体" w:hAnsi="宋体" w:cs="宋体"/>
                <w:b/>
                <w:bCs/>
                <w:sz w:val="24"/>
                <w:szCs w:val="22"/>
                <w:highlight w:val="none"/>
              </w:rPr>
            </w:pPr>
            <w:r>
              <w:rPr>
                <w:rFonts w:hint="eastAsia" w:ascii="宋体" w:hAnsi="宋体" w:cs="宋体"/>
                <w:b/>
                <w:bCs/>
                <w:sz w:val="24"/>
                <w:highlight w:val="none"/>
              </w:rPr>
              <w:t>（四）</w:t>
            </w:r>
            <w:r>
              <w:rPr>
                <w:rFonts w:hint="eastAsia" w:ascii="宋体" w:hAnsi="宋体"/>
                <w:b/>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widowControl/>
              <w:snapToGrid w:val="0"/>
              <w:spacing w:after="120" w:afterLines="50" w:line="460" w:lineRule="exact"/>
              <w:rPr>
                <w:rFonts w:hint="default" w:ascii="宋体" w:hAnsi="宋体" w:cs="宋体"/>
                <w:kern w:val="0"/>
                <w:sz w:val="24"/>
                <w:highlight w:val="none"/>
                <w:lang w:val="en-US"/>
              </w:rPr>
            </w:pPr>
            <w:r>
              <w:rPr>
                <w:rFonts w:hint="eastAsia" w:ascii="宋体" w:hAnsi="宋体"/>
                <w:sz w:val="24"/>
                <w:highlight w:val="none"/>
              </w:rPr>
              <w:t>结合</w:t>
            </w:r>
            <w:r>
              <w:rPr>
                <w:rFonts w:hint="eastAsia" w:ascii="宋体" w:hAnsi="宋体" w:cs="宋体"/>
                <w:color w:val="000000"/>
                <w:kern w:val="0"/>
                <w:sz w:val="24"/>
                <w:highlight w:val="none"/>
              </w:rPr>
              <w:t>医学影像系统数据存储现状，及业务运行情况，提供升级后影像系统数据存储复制和联动解决方案</w:t>
            </w:r>
            <w:r>
              <w:rPr>
                <w:rFonts w:hint="eastAsia" w:ascii="宋体" w:hAnsi="宋体" w:cs="宋体"/>
                <w:color w:val="000000"/>
                <w:kern w:val="0"/>
                <w:sz w:val="24"/>
                <w:highlight w:val="none"/>
                <w:lang w:val="en-US" w:eastAsia="zh-CN"/>
              </w:rPr>
              <w:t>。</w:t>
            </w:r>
            <w:r>
              <w:rPr>
                <w:rFonts w:hint="default" w:ascii="宋体" w:hAnsi="宋体" w:cs="宋体"/>
                <w:color w:val="000000"/>
                <w:kern w:val="0"/>
                <w:sz w:val="24"/>
                <w:highlight w:val="none"/>
                <w:lang w:val="en-US"/>
              </w:rPr>
              <w:t>充分满足项目需求的得4分；部分满足项目需求的得2分，不满足的得0分</w:t>
            </w:r>
          </w:p>
        </w:tc>
        <w:tc>
          <w:tcPr>
            <w:tcW w:w="992"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4</w:t>
            </w:r>
          </w:p>
        </w:tc>
        <w:tc>
          <w:tcPr>
            <w:tcW w:w="178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widowControl/>
              <w:snapToGrid w:val="0"/>
              <w:spacing w:after="120" w:afterLines="50" w:line="460" w:lineRule="exact"/>
              <w:rPr>
                <w:rFonts w:hint="eastAsia" w:ascii="宋体" w:hAnsi="宋体" w:eastAsia="宋体"/>
                <w:bCs/>
                <w:color w:val="000000"/>
                <w:kern w:val="0"/>
                <w:sz w:val="24"/>
                <w:highlight w:val="none"/>
                <w:lang w:eastAsia="zh-CN"/>
              </w:rPr>
            </w:pPr>
            <w:r>
              <w:rPr>
                <w:rFonts w:hint="eastAsia" w:ascii="宋体" w:hAnsi="宋体"/>
                <w:sz w:val="24"/>
                <w:highlight w:val="none"/>
              </w:rPr>
              <w:t>提供主机安全监测及安全管理系统和现有EDR部署在同一台服务器中功能冲突问题的解决方案</w:t>
            </w:r>
            <w:r>
              <w:rPr>
                <w:rFonts w:hint="eastAsia" w:ascii="宋体" w:hAnsi="宋体"/>
                <w:sz w:val="24"/>
                <w:highlight w:val="none"/>
                <w:lang w:eastAsia="zh-CN"/>
              </w:rPr>
              <w:t>。</w:t>
            </w:r>
            <w:r>
              <w:rPr>
                <w:rFonts w:hint="default" w:ascii="宋体" w:hAnsi="宋体" w:cs="宋体"/>
                <w:color w:val="000000"/>
                <w:kern w:val="0"/>
                <w:sz w:val="24"/>
                <w:highlight w:val="none"/>
                <w:lang w:val="en-US"/>
              </w:rPr>
              <w:t>充分满足项目需求的得4分；部分满足项目需求的得2分，不满足的得0分</w:t>
            </w:r>
            <w:r>
              <w:rPr>
                <w:rFonts w:hint="eastAsia" w:ascii="宋体" w:hAnsi="宋体" w:cs="宋体"/>
                <w:color w:val="000000"/>
                <w:kern w:val="0"/>
                <w:sz w:val="24"/>
                <w:highlight w:val="none"/>
                <w:lang w:val="en-US" w:eastAsia="zh-CN"/>
              </w:rPr>
              <w:t>。</w:t>
            </w:r>
          </w:p>
        </w:tc>
        <w:tc>
          <w:tcPr>
            <w:tcW w:w="992"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4</w:t>
            </w:r>
          </w:p>
        </w:tc>
        <w:tc>
          <w:tcPr>
            <w:tcW w:w="178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widowControl/>
              <w:snapToGrid w:val="0"/>
              <w:spacing w:after="120" w:afterLines="50" w:line="360" w:lineRule="auto"/>
              <w:jc w:val="left"/>
              <w:rPr>
                <w:rFonts w:hint="eastAsia" w:ascii="宋体" w:hAnsi="宋体" w:eastAsia="宋体"/>
                <w:bCs/>
                <w:color w:val="000000"/>
                <w:kern w:val="0"/>
                <w:sz w:val="24"/>
                <w:highlight w:val="none"/>
                <w:lang w:eastAsia="zh-CN"/>
              </w:rPr>
            </w:pPr>
            <w:r>
              <w:rPr>
                <w:rFonts w:hint="eastAsia" w:ascii="宋体" w:hAnsi="宋体"/>
                <w:sz w:val="24"/>
                <w:highlight w:val="none"/>
              </w:rPr>
              <w:t>提供</w:t>
            </w:r>
            <w:r>
              <w:rPr>
                <w:rFonts w:hint="eastAsia" w:ascii="宋体" w:hAnsi="宋体" w:cs="宋体"/>
                <w:color w:val="000000"/>
                <w:kern w:val="0"/>
                <w:sz w:val="24"/>
                <w:highlight w:val="none"/>
              </w:rPr>
              <w:t>医学影像病历库数据存储扩容并调整业务数据访问的详细解决方案</w:t>
            </w:r>
            <w:r>
              <w:rPr>
                <w:rFonts w:hint="eastAsia" w:ascii="宋体" w:hAnsi="宋体" w:cs="宋体"/>
                <w:color w:val="000000"/>
                <w:kern w:val="0"/>
                <w:sz w:val="24"/>
                <w:highlight w:val="none"/>
                <w:lang w:eastAsia="zh-CN"/>
              </w:rPr>
              <w:t>。</w:t>
            </w:r>
            <w:r>
              <w:rPr>
                <w:rFonts w:hint="default" w:ascii="宋体" w:hAnsi="宋体" w:cs="宋体"/>
                <w:color w:val="000000"/>
                <w:kern w:val="0"/>
                <w:sz w:val="24"/>
                <w:highlight w:val="none"/>
                <w:lang w:val="en-US"/>
              </w:rPr>
              <w:t>充分满足项目需求的得4分；部分满足项目需求的得2分，不满足的得0分</w:t>
            </w:r>
            <w:r>
              <w:rPr>
                <w:rFonts w:hint="eastAsia" w:ascii="宋体" w:hAnsi="宋体" w:cs="宋体"/>
                <w:color w:val="000000"/>
                <w:kern w:val="0"/>
                <w:sz w:val="24"/>
                <w:highlight w:val="none"/>
                <w:lang w:val="en-US" w:eastAsia="zh-CN"/>
              </w:rPr>
              <w:t>。</w:t>
            </w:r>
          </w:p>
        </w:tc>
        <w:tc>
          <w:tcPr>
            <w:tcW w:w="992"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4</w:t>
            </w:r>
          </w:p>
        </w:tc>
        <w:tc>
          <w:tcPr>
            <w:tcW w:w="178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widowControl/>
              <w:snapToGrid w:val="0"/>
              <w:spacing w:after="120" w:afterLines="50" w:line="360" w:lineRule="auto"/>
              <w:jc w:val="left"/>
              <w:rPr>
                <w:rFonts w:hint="eastAsia" w:ascii="宋体" w:hAnsi="宋体" w:eastAsia="宋体"/>
                <w:bCs/>
                <w:color w:val="000000"/>
                <w:kern w:val="0"/>
                <w:sz w:val="24"/>
                <w:highlight w:val="none"/>
                <w:lang w:val="en-US" w:eastAsia="zh-CN"/>
              </w:rPr>
            </w:pPr>
            <w:r>
              <w:rPr>
                <w:rFonts w:hint="eastAsia" w:ascii="宋体" w:hAnsi="宋体" w:cs="宋体"/>
                <w:sz w:val="24"/>
                <w:highlight w:val="none"/>
              </w:rPr>
              <w:t>提供与现有医学影像病历库数据存储设备实现对医学影像病历库业务进行数据分区调整，通过和原有医学影像病历库数据存储和归档系统联动</w:t>
            </w:r>
            <w:r>
              <w:rPr>
                <w:rFonts w:hint="eastAsia" w:ascii="宋体" w:hAnsi="宋体" w:cs="宋体"/>
                <w:sz w:val="24"/>
                <w:highlight w:val="none"/>
                <w:lang w:eastAsia="zh-CN"/>
              </w:rPr>
              <w:t>。</w:t>
            </w:r>
            <w:r>
              <w:rPr>
                <w:rFonts w:hint="default" w:ascii="宋体" w:hAnsi="宋体" w:cs="宋体"/>
                <w:color w:val="000000"/>
                <w:kern w:val="0"/>
                <w:sz w:val="24"/>
                <w:highlight w:val="none"/>
                <w:lang w:val="en-US"/>
              </w:rPr>
              <w:t>充分满足项目需求的得3分；部分满足项目需求的得1.5分，不满足的得0分</w:t>
            </w:r>
            <w:r>
              <w:rPr>
                <w:rFonts w:hint="eastAsia" w:ascii="宋体" w:hAnsi="宋体" w:cs="宋体"/>
                <w:color w:val="000000"/>
                <w:kern w:val="0"/>
                <w:sz w:val="24"/>
                <w:highlight w:val="none"/>
                <w:lang w:val="en-US" w:eastAsia="zh-CN"/>
              </w:rPr>
              <w:t>。</w:t>
            </w:r>
          </w:p>
        </w:tc>
        <w:tc>
          <w:tcPr>
            <w:tcW w:w="992"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3</w:t>
            </w:r>
          </w:p>
        </w:tc>
        <w:tc>
          <w:tcPr>
            <w:tcW w:w="178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98" w:type="dxa"/>
            <w:vMerge w:val="continue"/>
            <w:noWrap w:val="0"/>
            <w:vAlign w:val="center"/>
          </w:tcPr>
          <w:p>
            <w:pPr>
              <w:jc w:val="center"/>
              <w:rPr>
                <w:highlight w:val="none"/>
              </w:rPr>
            </w:pPr>
          </w:p>
        </w:tc>
        <w:tc>
          <w:tcPr>
            <w:tcW w:w="4726" w:type="dxa"/>
            <w:noWrap w:val="0"/>
            <w:vAlign w:val="center"/>
          </w:tcPr>
          <w:p>
            <w:pPr>
              <w:spacing w:line="360" w:lineRule="auto"/>
              <w:jc w:val="left"/>
              <w:rPr>
                <w:rFonts w:hint="eastAsia" w:eastAsia="宋体"/>
                <w:highlight w:val="none"/>
                <w:lang w:eastAsia="zh-CN"/>
              </w:rPr>
            </w:pPr>
            <w:r>
              <w:rPr>
                <w:rFonts w:hint="eastAsia" w:ascii="宋体" w:hAnsi="宋体" w:cs="宋体"/>
                <w:sz w:val="24"/>
                <w:highlight w:val="none"/>
              </w:rPr>
              <w:t>业务数据分为在线数据和近线数据，通过调整业务系统内部的原代码，将数据存储策略调整为数据每达到规定的阀值或达到相应的工作日后自动完成在线路据到近线数据的迁移，使业务在线数据保持最新，并访问速度最优化的详细解决方案。</w:t>
            </w:r>
            <w:r>
              <w:rPr>
                <w:rFonts w:hint="default" w:ascii="宋体" w:hAnsi="宋体" w:cs="宋体"/>
                <w:color w:val="000000"/>
                <w:kern w:val="0"/>
                <w:sz w:val="24"/>
                <w:highlight w:val="none"/>
                <w:lang w:val="en-US"/>
              </w:rPr>
              <w:t>充分满足项目需求的得4分；部分满足项目需求的得2分，不满足的得0分</w:t>
            </w:r>
            <w:r>
              <w:rPr>
                <w:rFonts w:hint="eastAsia" w:ascii="宋体" w:hAnsi="宋体" w:cs="宋体"/>
                <w:color w:val="000000"/>
                <w:kern w:val="0"/>
                <w:sz w:val="24"/>
                <w:highlight w:val="none"/>
                <w:lang w:val="en-US" w:eastAsia="zh-CN"/>
              </w:rPr>
              <w:t>。</w:t>
            </w:r>
          </w:p>
        </w:tc>
        <w:tc>
          <w:tcPr>
            <w:tcW w:w="992"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4</w:t>
            </w:r>
          </w:p>
        </w:tc>
        <w:tc>
          <w:tcPr>
            <w:tcW w:w="1780" w:type="dxa"/>
            <w:vMerge w:val="continue"/>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widowControl/>
              <w:snapToGrid w:val="0"/>
              <w:spacing w:after="120" w:afterLines="50" w:line="360" w:lineRule="auto"/>
              <w:jc w:val="left"/>
              <w:rPr>
                <w:rFonts w:hint="eastAsia" w:ascii="宋体" w:hAnsi="宋体" w:eastAsia="宋体"/>
                <w:bCs/>
                <w:color w:val="000000"/>
                <w:kern w:val="0"/>
                <w:sz w:val="24"/>
                <w:highlight w:val="none"/>
                <w:lang w:eastAsia="zh-CN"/>
              </w:rPr>
            </w:pPr>
            <w:r>
              <w:rPr>
                <w:rFonts w:hint="eastAsia" w:ascii="宋体" w:hAnsi="宋体" w:cs="宋体"/>
                <w:sz w:val="24"/>
                <w:highlight w:val="none"/>
              </w:rPr>
              <w:t>提供医院终端网络安全技术解决方案、平台和医院端对于终端安全共同运维和管理方案。</w:t>
            </w:r>
            <w:r>
              <w:rPr>
                <w:rFonts w:hint="default" w:ascii="宋体" w:hAnsi="宋体" w:cs="宋体"/>
                <w:color w:val="000000"/>
                <w:kern w:val="0"/>
                <w:sz w:val="24"/>
                <w:highlight w:val="none"/>
                <w:lang w:val="en-US"/>
              </w:rPr>
              <w:t>充分满足项目需求的得4分；部分满足项目需求的得2分，不满足的得0分</w:t>
            </w:r>
            <w:r>
              <w:rPr>
                <w:rFonts w:hint="eastAsia" w:ascii="宋体" w:hAnsi="宋体" w:cs="宋体"/>
                <w:color w:val="000000"/>
                <w:kern w:val="0"/>
                <w:sz w:val="24"/>
                <w:highlight w:val="none"/>
                <w:lang w:val="en-US" w:eastAsia="zh-CN"/>
              </w:rPr>
              <w:t>。</w:t>
            </w:r>
          </w:p>
        </w:tc>
        <w:tc>
          <w:tcPr>
            <w:tcW w:w="992"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4</w:t>
            </w:r>
          </w:p>
        </w:tc>
        <w:tc>
          <w:tcPr>
            <w:tcW w:w="178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798"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5</w:t>
            </w:r>
          </w:p>
        </w:tc>
        <w:tc>
          <w:tcPr>
            <w:tcW w:w="4726" w:type="dxa"/>
            <w:noWrap w:val="0"/>
            <w:vAlign w:val="center"/>
          </w:tcPr>
          <w:p>
            <w:pPr>
              <w:spacing w:line="360" w:lineRule="auto"/>
              <w:rPr>
                <w:rFonts w:ascii="宋体" w:hAnsi="宋体" w:cs="宋体"/>
                <w:sz w:val="24"/>
                <w:highlight w:val="none"/>
              </w:rPr>
            </w:pPr>
            <w:r>
              <w:rPr>
                <w:rFonts w:hint="eastAsia" w:ascii="宋体" w:hAnsi="宋体" w:cs="宋体"/>
                <w:sz w:val="24"/>
                <w:highlight w:val="none"/>
              </w:rPr>
              <w:t>投标人对招标文件服务需求的技术要求响应情况。详见招标文件第四部分：采购内容及详细招标参数要求。</w:t>
            </w:r>
          </w:p>
          <w:p>
            <w:pPr>
              <w:snapToGrid w:val="0"/>
              <w:spacing w:line="360" w:lineRule="auto"/>
              <w:ind w:firstLine="600" w:firstLineChars="250"/>
              <w:rPr>
                <w:rFonts w:ascii="宋体" w:hAnsi="宋体" w:cs="宋体"/>
                <w:sz w:val="24"/>
                <w:highlight w:val="none"/>
              </w:rPr>
            </w:pPr>
            <w:r>
              <w:rPr>
                <w:rFonts w:hint="eastAsia" w:ascii="宋体" w:hAnsi="宋体" w:cs="宋体"/>
                <w:sz w:val="24"/>
                <w:highlight w:val="none"/>
              </w:rPr>
              <w:t>带“★”的重要参数每负偏离</w:t>
            </w:r>
            <w:r>
              <w:rPr>
                <w:rFonts w:hint="eastAsia" w:ascii="宋体" w:hAnsi="宋体" w:cs="宋体"/>
                <w:sz w:val="24"/>
                <w:highlight w:val="none"/>
                <w:lang w:eastAsia="zh-CN"/>
              </w:rPr>
              <w:t>一</w:t>
            </w:r>
            <w:r>
              <w:rPr>
                <w:rFonts w:hint="eastAsia" w:ascii="宋体" w:hAnsi="宋体" w:cs="宋体"/>
                <w:sz w:val="24"/>
                <w:highlight w:val="none"/>
              </w:rPr>
              <w:t>项扣2分，其他参数，每负偏离1项扣1分，扣完为止，带“★”的重要参数均须提供相关的证明材料，</w:t>
            </w:r>
            <w:r>
              <w:rPr>
                <w:rFonts w:hint="eastAsia" w:ascii="宋体" w:hAnsi="宋体" w:cs="宋体"/>
                <w:b/>
                <w:bCs/>
                <w:sz w:val="24"/>
                <w:highlight w:val="none"/>
                <w:lang w:eastAsia="zh-CN"/>
              </w:rPr>
              <w:t>不提供证明材料等同于负偏离，该项不得分。</w:t>
            </w:r>
          </w:p>
        </w:tc>
        <w:tc>
          <w:tcPr>
            <w:tcW w:w="992"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14</w:t>
            </w:r>
          </w:p>
        </w:tc>
        <w:tc>
          <w:tcPr>
            <w:tcW w:w="1780" w:type="dxa"/>
            <w:noWrap w:val="0"/>
            <w:vAlign w:val="center"/>
          </w:tcPr>
          <w:p>
            <w:pPr>
              <w:rPr>
                <w:rFonts w:ascii="宋体" w:hAnsi="宋体"/>
                <w:sz w:val="24"/>
                <w:highlight w:val="none"/>
              </w:rPr>
            </w:pPr>
            <w:r>
              <w:rPr>
                <w:rFonts w:hint="eastAsia" w:ascii="宋体" w:hAnsi="宋体"/>
                <w:b/>
                <w:sz w:val="24"/>
                <w:highlight w:val="none"/>
              </w:rPr>
              <w:t>（五）投标服务</w:t>
            </w:r>
            <w:r>
              <w:rPr>
                <w:rFonts w:hint="eastAsia" w:ascii="宋体" w:hAnsi="宋体" w:cs="Tahoma"/>
                <w:b/>
                <w:sz w:val="24"/>
                <w:highlight w:val="none"/>
              </w:rPr>
              <w:t>与需求的吻合程度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98"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6</w:t>
            </w:r>
          </w:p>
        </w:tc>
        <w:tc>
          <w:tcPr>
            <w:tcW w:w="4726" w:type="dxa"/>
            <w:noWrap w:val="0"/>
            <w:vAlign w:val="center"/>
          </w:tcPr>
          <w:p>
            <w:pPr>
              <w:spacing w:line="360" w:lineRule="auto"/>
              <w:outlineLvl w:val="0"/>
              <w:rPr>
                <w:rFonts w:ascii="宋体" w:hAnsi="宋体" w:cs="宋体"/>
                <w:sz w:val="24"/>
                <w:highlight w:val="none"/>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具体项目整体实施方案，包括①项目实施计划进度②项目实施保障措施③项目实施培训方案④项目验收方案</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8</w:t>
            </w:r>
            <w:r>
              <w:rPr>
                <w:rFonts w:hint="eastAsia" w:ascii="宋体" w:hAnsi="宋体" w:cs="宋体"/>
                <w:color w:val="auto"/>
                <w:sz w:val="24"/>
                <w:highlight w:val="none"/>
                <w:lang w:eastAsia="zh-CN"/>
              </w:rPr>
              <w:t>分，未提供或不合理的不得分。</w:t>
            </w:r>
          </w:p>
        </w:tc>
        <w:tc>
          <w:tcPr>
            <w:tcW w:w="992"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8</w:t>
            </w:r>
          </w:p>
        </w:tc>
        <w:tc>
          <w:tcPr>
            <w:tcW w:w="1780" w:type="dxa"/>
            <w:noWrap w:val="0"/>
            <w:vAlign w:val="center"/>
          </w:tcPr>
          <w:p>
            <w:pPr>
              <w:spacing w:line="360" w:lineRule="auto"/>
              <w:jc w:val="left"/>
              <w:outlineLvl w:val="0"/>
              <w:rPr>
                <w:rFonts w:ascii="宋体" w:hAnsi="宋体"/>
                <w:b/>
                <w:bCs/>
                <w:sz w:val="24"/>
                <w:highlight w:val="none"/>
              </w:rPr>
            </w:pPr>
            <w:r>
              <w:rPr>
                <w:rFonts w:hint="eastAsia" w:ascii="宋体" w:hAnsi="宋体"/>
                <w:b/>
                <w:bCs/>
                <w:sz w:val="24"/>
                <w:highlight w:val="none"/>
              </w:rPr>
              <w:t>（六）项目实施方案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8" w:type="dxa"/>
            <w:vMerge w:val="restart"/>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7</w:t>
            </w:r>
          </w:p>
        </w:tc>
        <w:tc>
          <w:tcPr>
            <w:tcW w:w="4726" w:type="dxa"/>
            <w:noWrap w:val="0"/>
            <w:vAlign w:val="center"/>
          </w:tcPr>
          <w:p>
            <w:pPr>
              <w:spacing w:line="360" w:lineRule="auto"/>
              <w:outlineLvl w:val="0"/>
              <w:rPr>
                <w:rFonts w:hint="eastAsia" w:ascii="宋体" w:hAnsi="宋体" w:eastAsia="宋体" w:cs="宋体"/>
                <w:sz w:val="24"/>
                <w:highlight w:val="none"/>
                <w:lang w:eastAsia="zh-CN"/>
              </w:rPr>
            </w:pPr>
            <w:r>
              <w:rPr>
                <w:rFonts w:hint="eastAsia" w:ascii="宋体" w:hAnsi="宋体" w:cs="宋体"/>
                <w:sz w:val="24"/>
                <w:highlight w:val="none"/>
              </w:rPr>
              <w:t>拟担任本项目经理和技术负责人的专业素质、技术能力、证书、经验等情况</w:t>
            </w:r>
            <w:r>
              <w:rPr>
                <w:rFonts w:hint="eastAsia" w:ascii="宋体" w:hAnsi="宋体" w:cs="宋体"/>
                <w:sz w:val="24"/>
                <w:highlight w:val="none"/>
                <w:lang w:eastAsia="zh-CN"/>
              </w:rPr>
              <w:t>。</w:t>
            </w:r>
          </w:p>
        </w:tc>
        <w:tc>
          <w:tcPr>
            <w:tcW w:w="992" w:type="dxa"/>
            <w:noWrap w:val="0"/>
            <w:vAlign w:val="center"/>
          </w:tcPr>
          <w:p>
            <w:pPr>
              <w:spacing w:line="360" w:lineRule="auto"/>
              <w:jc w:val="center"/>
              <w:outlineLvl w:val="0"/>
              <w:rPr>
                <w:rFonts w:ascii="宋体" w:hAnsi="宋体" w:cs="宋体"/>
                <w:sz w:val="24"/>
                <w:highlight w:val="none"/>
              </w:rPr>
            </w:pPr>
            <w:r>
              <w:rPr>
                <w:rFonts w:ascii="宋体" w:hAnsi="宋体" w:cs="宋体"/>
                <w:sz w:val="24"/>
                <w:highlight w:val="none"/>
              </w:rPr>
              <w:t>3</w:t>
            </w:r>
          </w:p>
        </w:tc>
        <w:tc>
          <w:tcPr>
            <w:tcW w:w="1780" w:type="dxa"/>
            <w:vMerge w:val="restart"/>
            <w:noWrap w:val="0"/>
            <w:vAlign w:val="center"/>
          </w:tcPr>
          <w:p>
            <w:pPr>
              <w:spacing w:line="360" w:lineRule="auto"/>
              <w:jc w:val="left"/>
              <w:outlineLvl w:val="0"/>
              <w:rPr>
                <w:rFonts w:ascii="宋体" w:hAnsi="宋体" w:cs="宋体"/>
                <w:b/>
                <w:bCs/>
                <w:sz w:val="24"/>
                <w:highlight w:val="none"/>
              </w:rPr>
            </w:pPr>
            <w:r>
              <w:rPr>
                <w:rFonts w:hint="eastAsia" w:ascii="宋体" w:hAnsi="宋体" w:cs="宋体"/>
                <w:b/>
                <w:bCs/>
                <w:sz w:val="24"/>
                <w:highlight w:val="none"/>
              </w:rPr>
              <w:t>（七）项目团队情况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798" w:type="dxa"/>
            <w:vMerge w:val="continue"/>
            <w:noWrap w:val="0"/>
            <w:vAlign w:val="center"/>
          </w:tcPr>
          <w:p>
            <w:pPr>
              <w:spacing w:line="360" w:lineRule="auto"/>
              <w:outlineLvl w:val="0"/>
              <w:rPr>
                <w:rFonts w:ascii="宋体" w:hAnsi="宋体"/>
                <w:sz w:val="24"/>
                <w:highlight w:val="none"/>
              </w:rPr>
            </w:pPr>
          </w:p>
        </w:tc>
        <w:tc>
          <w:tcPr>
            <w:tcW w:w="4726" w:type="dxa"/>
            <w:noWrap w:val="0"/>
            <w:vAlign w:val="center"/>
          </w:tcPr>
          <w:p>
            <w:pPr>
              <w:spacing w:line="360" w:lineRule="auto"/>
              <w:outlineLvl w:val="0"/>
              <w:rPr>
                <w:rFonts w:hint="eastAsia" w:ascii="宋体" w:hAnsi="宋体" w:eastAsia="宋体" w:cs="宋体"/>
                <w:sz w:val="24"/>
                <w:highlight w:val="none"/>
                <w:lang w:eastAsia="zh-CN"/>
              </w:rPr>
            </w:pPr>
            <w:r>
              <w:rPr>
                <w:rFonts w:hint="eastAsia" w:ascii="宋体" w:hAnsi="宋体" w:cs="宋体"/>
                <w:sz w:val="24"/>
                <w:highlight w:val="none"/>
              </w:rPr>
              <w:t>项目组实施人员专业人员数量是否充足，配置是否合理，是否具有相关资质（证书、技术能力、专业分布、类似经验等情况）（参考履历表和相关资料、相关证书等）</w:t>
            </w:r>
            <w:r>
              <w:rPr>
                <w:rFonts w:hint="eastAsia" w:ascii="宋体" w:hAnsi="宋体" w:cs="宋体"/>
                <w:sz w:val="24"/>
                <w:highlight w:val="none"/>
                <w:lang w:eastAsia="zh-CN"/>
              </w:rPr>
              <w:t>。</w:t>
            </w:r>
          </w:p>
        </w:tc>
        <w:tc>
          <w:tcPr>
            <w:tcW w:w="992" w:type="dxa"/>
            <w:noWrap w:val="0"/>
            <w:vAlign w:val="center"/>
          </w:tcPr>
          <w:p>
            <w:pPr>
              <w:spacing w:line="360" w:lineRule="auto"/>
              <w:jc w:val="center"/>
              <w:outlineLvl w:val="0"/>
              <w:rPr>
                <w:rFonts w:ascii="宋体" w:hAnsi="宋体" w:cs="宋体"/>
                <w:sz w:val="24"/>
                <w:highlight w:val="none"/>
              </w:rPr>
            </w:pPr>
            <w:r>
              <w:rPr>
                <w:rFonts w:ascii="宋体" w:hAnsi="宋体" w:cs="宋体"/>
                <w:sz w:val="24"/>
                <w:highlight w:val="none"/>
              </w:rPr>
              <w:t>3</w:t>
            </w:r>
          </w:p>
        </w:tc>
        <w:tc>
          <w:tcPr>
            <w:tcW w:w="1780" w:type="dxa"/>
            <w:vMerge w:val="continue"/>
            <w:noWrap w:val="0"/>
            <w:vAlign w:val="center"/>
          </w:tcPr>
          <w:p>
            <w:pPr>
              <w:spacing w:line="360" w:lineRule="auto"/>
              <w:outlineLvl w:val="0"/>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Merge w:val="restart"/>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8</w:t>
            </w:r>
          </w:p>
        </w:tc>
        <w:tc>
          <w:tcPr>
            <w:tcW w:w="4726" w:type="dxa"/>
            <w:noWrap w:val="0"/>
            <w:vAlign w:val="center"/>
          </w:tcPr>
          <w:p>
            <w:pPr>
              <w:snapToGrid w:val="0"/>
              <w:spacing w:line="360" w:lineRule="auto"/>
              <w:jc w:val="left"/>
              <w:rPr>
                <w:rFonts w:hint="eastAsia" w:ascii="宋体" w:hAnsi="宋体" w:eastAsia="宋体" w:cs="宋体"/>
                <w:sz w:val="24"/>
                <w:highlight w:val="none"/>
                <w:lang w:val="en-US" w:eastAsia="zh-CN"/>
              </w:rPr>
            </w:pPr>
            <w:r>
              <w:rPr>
                <w:rFonts w:hint="eastAsia" w:ascii="宋体" w:hAnsi="宋体" w:cs="宋体"/>
                <w:sz w:val="24"/>
                <w:highlight w:val="none"/>
              </w:rPr>
              <w:t>投标人是否承诺提供不少于</w:t>
            </w:r>
            <w:r>
              <w:rPr>
                <w:rFonts w:hint="default" w:ascii="宋体" w:hAnsi="宋体" w:cs="宋体"/>
                <w:sz w:val="24"/>
                <w:highlight w:val="none"/>
                <w:lang w:val="en-US"/>
              </w:rPr>
              <w:t>3</w:t>
            </w:r>
            <w:r>
              <w:rPr>
                <w:rFonts w:hint="eastAsia" w:ascii="宋体" w:hAnsi="宋体" w:cs="宋体"/>
                <w:sz w:val="24"/>
                <w:highlight w:val="none"/>
              </w:rPr>
              <w:t>年的质保期，承诺得1分，不承诺不得分</w:t>
            </w:r>
            <w:r>
              <w:rPr>
                <w:rFonts w:hint="eastAsia" w:ascii="宋体" w:hAnsi="宋体" w:cs="宋体"/>
                <w:sz w:val="24"/>
                <w:highlight w:val="none"/>
                <w:lang w:eastAsia="zh-CN"/>
              </w:rPr>
              <w:t>。</w:t>
            </w:r>
          </w:p>
        </w:tc>
        <w:tc>
          <w:tcPr>
            <w:tcW w:w="992"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1</w:t>
            </w:r>
          </w:p>
        </w:tc>
        <w:tc>
          <w:tcPr>
            <w:tcW w:w="1780" w:type="dxa"/>
            <w:vMerge w:val="restart"/>
            <w:noWrap w:val="0"/>
            <w:vAlign w:val="center"/>
          </w:tcPr>
          <w:p>
            <w:pPr>
              <w:spacing w:line="360" w:lineRule="auto"/>
              <w:jc w:val="center"/>
              <w:outlineLvl w:val="0"/>
              <w:rPr>
                <w:rFonts w:ascii="宋体" w:hAnsi="宋体" w:cs="宋体"/>
                <w:b/>
                <w:bCs/>
                <w:sz w:val="24"/>
                <w:highlight w:val="none"/>
              </w:rPr>
            </w:pPr>
            <w:r>
              <w:rPr>
                <w:rFonts w:hint="eastAsia" w:ascii="宋体" w:hAnsi="宋体" w:cs="宋体"/>
                <w:b/>
                <w:bCs/>
                <w:sz w:val="24"/>
                <w:highlight w:val="none"/>
              </w:rPr>
              <w:t>（八）售后服务方案及承诺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98" w:type="dxa"/>
            <w:vMerge w:val="continue"/>
            <w:noWrap w:val="0"/>
            <w:vAlign w:val="center"/>
          </w:tcPr>
          <w:p>
            <w:pPr>
              <w:spacing w:line="360" w:lineRule="auto"/>
              <w:jc w:val="center"/>
              <w:outlineLvl w:val="0"/>
              <w:rPr>
                <w:rFonts w:ascii="宋体" w:hAnsi="宋体" w:cs="宋体"/>
                <w:sz w:val="24"/>
                <w:highlight w:val="none"/>
              </w:rPr>
            </w:pPr>
          </w:p>
        </w:tc>
        <w:tc>
          <w:tcPr>
            <w:tcW w:w="4726" w:type="dxa"/>
            <w:noWrap w:val="0"/>
            <w:vAlign w:val="center"/>
          </w:tcPr>
          <w:p>
            <w:pPr>
              <w:spacing w:line="360" w:lineRule="auto"/>
              <w:rPr>
                <w:rFonts w:ascii="宋体" w:hAnsi="宋体"/>
                <w:sz w:val="24"/>
                <w:highlight w:val="none"/>
              </w:rPr>
            </w:pPr>
            <w:r>
              <w:rPr>
                <w:rFonts w:hint="eastAsia" w:ascii="宋体" w:hAnsi="宋体" w:eastAsia="宋体" w:cs="宋体"/>
                <w:color w:val="auto"/>
                <w:sz w:val="24"/>
                <w:highlight w:val="none"/>
                <w:lang w:val="en-US" w:eastAsia="zh-CN"/>
              </w:rPr>
              <w:t>根据投标人提供的售后服务方案进行评价。包括：</w:t>
            </w:r>
            <w:r>
              <w:rPr>
                <w:rFonts w:hint="default"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、售后服务期内服务内容情况；</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、售后服务体系、</w:t>
            </w:r>
            <w:r>
              <w:rPr>
                <w:rFonts w:hint="eastAsia" w:ascii="宋体" w:hAnsi="宋体" w:eastAsia="宋体" w:cs="宋体"/>
                <w:color w:val="auto"/>
                <w:sz w:val="24"/>
                <w:highlight w:val="none"/>
              </w:rPr>
              <w:t>售后服务部门及维修网点</w:t>
            </w:r>
            <w:r>
              <w:rPr>
                <w:rFonts w:hint="eastAsia" w:ascii="宋体" w:hAnsi="宋体" w:cs="宋体"/>
                <w:color w:val="auto"/>
                <w:sz w:val="24"/>
                <w:highlight w:val="none"/>
                <w:lang w:eastAsia="zh-CN"/>
              </w:rPr>
              <w:t>联系电话</w:t>
            </w:r>
            <w:r>
              <w:rPr>
                <w:rFonts w:hint="default"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、服务响应及时情况；</w:t>
            </w:r>
            <w:r>
              <w:rPr>
                <w:rFonts w:hint="default"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、故障处理服务针对性程度。每符合一项得</w:t>
            </w:r>
            <w:r>
              <w:rPr>
                <w:rFonts w:hint="default" w:ascii="宋体" w:hAnsi="宋体" w:eastAsia="宋体" w:cs="宋体"/>
                <w:color w:val="auto"/>
                <w:sz w:val="24"/>
                <w:highlight w:val="none"/>
                <w:lang w:val="en-US" w:eastAsia="zh-CN"/>
              </w:rPr>
              <w:t>1.5</w:t>
            </w:r>
            <w:r>
              <w:rPr>
                <w:rFonts w:hint="eastAsia" w:ascii="宋体" w:hAnsi="宋体" w:eastAsia="宋体" w:cs="宋体"/>
                <w:color w:val="auto"/>
                <w:sz w:val="24"/>
                <w:highlight w:val="none"/>
                <w:lang w:val="en-US" w:eastAsia="zh-CN"/>
              </w:rPr>
              <w:t>分，最高得</w:t>
            </w:r>
            <w:r>
              <w:rPr>
                <w:rFonts w:hint="default"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en-US" w:eastAsia="zh-CN"/>
              </w:rPr>
              <w:t>分，未提供或不合理不得分。</w:t>
            </w:r>
          </w:p>
        </w:tc>
        <w:tc>
          <w:tcPr>
            <w:tcW w:w="992"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6</w:t>
            </w:r>
            <w:bookmarkStart w:id="407" w:name="_GoBack"/>
            <w:bookmarkEnd w:id="407"/>
          </w:p>
        </w:tc>
        <w:tc>
          <w:tcPr>
            <w:tcW w:w="1780" w:type="dxa"/>
            <w:vMerge w:val="continue"/>
            <w:noWrap w:val="0"/>
            <w:vAlign w:val="center"/>
          </w:tcPr>
          <w:p>
            <w:pPr>
              <w:spacing w:line="360" w:lineRule="auto"/>
              <w:jc w:val="center"/>
              <w:outlineLvl w:val="0"/>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8"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9</w:t>
            </w:r>
          </w:p>
        </w:tc>
        <w:tc>
          <w:tcPr>
            <w:tcW w:w="4726" w:type="dxa"/>
            <w:noWrap w:val="0"/>
            <w:vAlign w:val="top"/>
          </w:tcPr>
          <w:p>
            <w:pPr>
              <w:spacing w:line="360" w:lineRule="auto"/>
              <w:outlineLvl w:val="0"/>
              <w:rPr>
                <w:rFonts w:ascii="宋体" w:hAnsi="宋体" w:cs="宋体"/>
                <w:sz w:val="24"/>
                <w:highlight w:val="none"/>
              </w:rPr>
            </w:pPr>
            <w:r>
              <w:rPr>
                <w:rFonts w:hint="eastAsia" w:ascii="宋体" w:hAnsi="宋体" w:cs="宋体"/>
                <w:sz w:val="24"/>
                <w:highlight w:val="none"/>
              </w:rPr>
              <w:t>有效投标报价的最低价作为评标基准价，其最低报价为满分；按［投标报价得分=（评标基准价/投标报价）*</w:t>
            </w:r>
            <w:r>
              <w:rPr>
                <w:rFonts w:hint="default" w:ascii="宋体" w:hAnsi="宋体" w:cs="宋体"/>
                <w:sz w:val="24"/>
                <w:highlight w:val="none"/>
                <w:lang w:val="en-US"/>
              </w:rPr>
              <w:t>2</w:t>
            </w:r>
            <w:r>
              <w:rPr>
                <w:rFonts w:hint="eastAsia" w:ascii="宋体" w:hAnsi="宋体" w:cs="宋体"/>
                <w:sz w:val="24"/>
                <w:highlight w:val="none"/>
              </w:rPr>
              <w:t>0］的计算公式计算。</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宋体"/>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宋体"/>
                <w:sz w:val="24"/>
                <w:highlight w:val="none"/>
              </w:rPr>
              <w:t>因落实政府采购政策需要进行价格调整的，以调整后的价格计算评标基准价和投标报价。</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仿宋_GB2312"/>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992" w:type="dxa"/>
            <w:noWrap w:val="0"/>
            <w:vAlign w:val="center"/>
          </w:tcPr>
          <w:p>
            <w:pPr>
              <w:spacing w:line="360" w:lineRule="auto"/>
              <w:jc w:val="center"/>
              <w:outlineLvl w:val="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0</w:t>
            </w:r>
          </w:p>
        </w:tc>
        <w:tc>
          <w:tcPr>
            <w:tcW w:w="1780" w:type="dxa"/>
            <w:noWrap w:val="0"/>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w:t>
            </w:r>
          </w:p>
        </w:tc>
      </w:tr>
    </w:tbl>
    <w:p>
      <w:pPr>
        <w:snapToGrid w:val="0"/>
        <w:spacing w:line="360" w:lineRule="auto"/>
        <w:rPr>
          <w:rFonts w:hint="eastAsia" w:cs="宋体" w:asciiTheme="minorEastAsia" w:hAnsiTheme="minorEastAsia" w:eastAsiaTheme="minorEastAsia"/>
          <w:sz w:val="20"/>
          <w:szCs w:val="20"/>
          <w:highlight w:val="none"/>
          <w:shd w:val="clear" w:color="auto" w:fill="FFFFFF"/>
        </w:rPr>
      </w:pP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28"/>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28"/>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4.2.13投标人未提供样品或提供的样品不满足采购需求实质性条件的，投标无效；</w:t>
      </w:r>
    </w:p>
    <w:p>
      <w:pPr>
        <w:pStyle w:val="3"/>
        <w:pageBreakBefore w:val="0"/>
        <w:widowControl w:val="0"/>
        <w:kinsoku/>
        <w:wordWrap/>
        <w:overflowPunct/>
        <w:topLinePunct w:val="0"/>
        <w:autoSpaceDE/>
        <w:autoSpaceDN/>
        <w:bidi w:val="0"/>
        <w:adjustRightInd w:val="0"/>
        <w:snapToGrid w:val="0"/>
        <w:ind w:left="430" w:leftChars="205" w:firstLine="0" w:firstLineChars="0"/>
        <w:textAlignment w:val="auto"/>
        <w:rPr>
          <w:rFonts w:hint="eastAsia"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b w:val="0"/>
          <w:bCs w:val="0"/>
          <w:kern w:val="0"/>
          <w:sz w:val="24"/>
          <w:szCs w:val="24"/>
          <w:highlight w:val="none"/>
          <w:lang w:val="en-US"/>
        </w:rPr>
        <w:t>4.2.1</w:t>
      </w:r>
      <w:r>
        <w:rPr>
          <w:rFonts w:hint="default" w:cs="宋体" w:asciiTheme="minorEastAsia" w:hAnsiTheme="minorEastAsia" w:eastAsiaTheme="minorEastAsia"/>
          <w:b w:val="0"/>
          <w:bCs w:val="0"/>
          <w:kern w:val="0"/>
          <w:sz w:val="24"/>
          <w:szCs w:val="24"/>
          <w:highlight w:val="none"/>
          <w:lang w:val="en-US"/>
        </w:rPr>
        <w:t>4</w:t>
      </w:r>
      <w:r>
        <w:rPr>
          <w:rFonts w:hint="eastAsia" w:cs="宋体" w:asciiTheme="minorEastAsia" w:hAnsiTheme="minorEastAsia" w:eastAsiaTheme="minorEastAsia"/>
          <w:b w:val="0"/>
          <w:bCs w:val="0"/>
          <w:kern w:val="0"/>
          <w:sz w:val="24"/>
          <w:szCs w:val="24"/>
          <w:highlight w:val="none"/>
          <w:lang w:val="en-US"/>
        </w:rPr>
        <w:t>投标文件不满足招标文件的其它实质性要求的；</w:t>
      </w:r>
    </w:p>
    <w:p>
      <w:pPr>
        <w:pStyle w:val="3"/>
        <w:keepNext/>
        <w:keepLines/>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cs="宋体" w:asciiTheme="minorEastAsia" w:hAnsiTheme="minorEastAsia" w:eastAsiaTheme="minorEastAsia"/>
          <w:b w:val="0"/>
          <w:bCs w:val="0"/>
          <w:kern w:val="0"/>
          <w:sz w:val="24"/>
          <w:szCs w:val="24"/>
          <w:highlight w:val="none"/>
          <w:lang w:val="en-US" w:eastAsia="zh-CN" w:bidi="ar-SA"/>
        </w:rPr>
      </w:pPr>
      <w:r>
        <w:rPr>
          <w:rFonts w:hint="eastAsia" w:cs="宋体" w:asciiTheme="minorEastAsia" w:hAnsiTheme="minorEastAsia" w:eastAsiaTheme="minorEastAsia"/>
          <w:b w:val="0"/>
          <w:bCs w:val="0"/>
          <w:kern w:val="0"/>
          <w:sz w:val="24"/>
          <w:szCs w:val="24"/>
          <w:highlight w:val="none"/>
          <w:lang w:val="en-US" w:eastAsia="zh-CN" w:bidi="ar-SA"/>
        </w:rPr>
        <w:t>4.2.1</w:t>
      </w:r>
      <w:r>
        <w:rPr>
          <w:rFonts w:hint="default" w:cs="宋体" w:asciiTheme="minorEastAsia" w:hAnsiTheme="minorEastAsia" w:eastAsiaTheme="minorEastAsia"/>
          <w:b w:val="0"/>
          <w:bCs w:val="0"/>
          <w:kern w:val="0"/>
          <w:sz w:val="24"/>
          <w:szCs w:val="24"/>
          <w:highlight w:val="none"/>
          <w:lang w:val="en-US" w:eastAsia="zh-CN" w:bidi="ar-SA"/>
        </w:rPr>
        <w:t>5</w:t>
      </w:r>
      <w:r>
        <w:rPr>
          <w:rFonts w:hint="eastAsia" w:cs="宋体" w:asciiTheme="minorEastAsia" w:hAnsiTheme="minorEastAsia" w:eastAsiaTheme="minorEastAsia"/>
          <w:b w:val="0"/>
          <w:bCs w:val="0"/>
          <w:kern w:val="0"/>
          <w:sz w:val="24"/>
          <w:szCs w:val="24"/>
          <w:highlight w:val="none"/>
          <w:lang w:val="en-US" w:eastAsia="zh-CN" w:bidi="ar-SA"/>
        </w:rPr>
        <w:t>法律、法规、规章（适用本市的）及省级以上规范性文件（适用本市的）规定的其他无效情形。</w:t>
      </w:r>
    </w:p>
    <w:p>
      <w:pPr>
        <w:pStyle w:val="25"/>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5"/>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asciiTheme="minorEastAsia" w:hAnsiTheme="minorEastAsia" w:eastAsiaTheme="minorEastAsia"/>
          <w:highlight w:val="none"/>
        </w:rPr>
      </w:pPr>
    </w:p>
    <w:bookmarkEnd w:id="15"/>
    <w:p>
      <w:pPr>
        <w:widowControl/>
        <w:adjustRightInd/>
        <w:jc w:val="left"/>
        <w:rPr>
          <w:rFonts w:cs="宋体" w:asciiTheme="minorEastAsia" w:hAnsiTheme="minorEastAsia" w:eastAsiaTheme="minorEastAsia"/>
          <w:b/>
          <w:sz w:val="36"/>
          <w:szCs w:val="36"/>
          <w:highlight w:val="none"/>
        </w:rPr>
      </w:pPr>
      <w:bookmarkStart w:id="395" w:name="第五部分"/>
      <w:bookmarkStart w:id="396" w:name="_Toc86217003"/>
      <w:r>
        <w:rPr>
          <w:rFonts w:cs="宋体" w:asciiTheme="minorEastAsia" w:hAnsiTheme="minorEastAsia" w:eastAsiaTheme="minorEastAsia"/>
          <w:b/>
          <w:sz w:val="36"/>
          <w:szCs w:val="36"/>
          <w:highlight w:val="none"/>
        </w:rPr>
        <w:br w:type="page"/>
      </w:r>
    </w:p>
    <w:p>
      <w:pPr>
        <w:spacing w:line="360" w:lineRule="auto"/>
        <w:ind w:left="720" w:leftChars="343" w:firstLine="1084" w:firstLineChars="300"/>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第五部分 拟签订的合同文本</w:t>
      </w:r>
    </w:p>
    <w:p>
      <w:pPr>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合同编号：</w:t>
      </w:r>
      <w:r>
        <w:rPr>
          <w:rFonts w:hint="eastAsia" w:cs="宋体" w:asciiTheme="minorEastAsia" w:hAnsiTheme="minorEastAsia" w:eastAsiaTheme="minorEastAsia"/>
          <w:sz w:val="24"/>
          <w:highlight w:val="none"/>
          <w:u w:val="single"/>
        </w:rPr>
        <w:t xml:space="preserve">           </w:t>
      </w:r>
    </w:p>
    <w:p>
      <w:pPr>
        <w:spacing w:line="480" w:lineRule="auto"/>
        <w:jc w:val="center"/>
        <w:rPr>
          <w:rFonts w:cs="宋体" w:asciiTheme="minorEastAsia" w:hAnsiTheme="minorEastAsia" w:eastAsiaTheme="minorEastAsia"/>
          <w:b/>
          <w:sz w:val="28"/>
          <w:szCs w:val="28"/>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政府采购合同参考范本</w:t>
      </w: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（服务类）</w:t>
      </w:r>
    </w:p>
    <w:p>
      <w:pPr>
        <w:spacing w:before="120" w:line="22" w:lineRule="atLeast"/>
        <w:rPr>
          <w:rFonts w:cs="宋体" w:asciiTheme="minorEastAsia" w:hAnsiTheme="minorEastAsia" w:eastAsiaTheme="minorEastAsia"/>
          <w:sz w:val="24"/>
          <w:highlight w:val="none"/>
        </w:rPr>
      </w:pPr>
    </w:p>
    <w:p>
      <w:pPr>
        <w:pStyle w:val="3"/>
        <w:rPr>
          <w:rFonts w:asciiTheme="minorEastAsia" w:hAnsiTheme="minorEastAsia" w:eastAsiaTheme="minorEastAsia"/>
          <w:highlight w:val="none"/>
        </w:rPr>
      </w:pPr>
    </w:p>
    <w:p>
      <w:pPr>
        <w:spacing w:before="120" w:line="22" w:lineRule="atLeast"/>
        <w:ind w:left="96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项目名称：</w:t>
      </w:r>
      <w:r>
        <w:rPr>
          <w:rFonts w:hint="eastAsia" w:cs="宋体" w:asciiTheme="minorEastAsia" w:hAnsiTheme="minorEastAsia" w:eastAsiaTheme="minorEastAsia"/>
          <w:sz w:val="24"/>
          <w:highlight w:val="none"/>
          <w:u w:val="single"/>
        </w:rPr>
        <w:t xml:space="preserve">                                   </w:t>
      </w:r>
    </w:p>
    <w:p>
      <w:pPr>
        <w:pStyle w:val="596"/>
        <w:spacing w:before="120" w:line="22" w:lineRule="atLeast"/>
        <w:rPr>
          <w:rFonts w:cs="宋体" w:asciiTheme="minorEastAsia" w:hAnsiTheme="minorEastAsia" w:eastAsiaTheme="minorEastAsia"/>
          <w:szCs w:val="24"/>
          <w:highlight w:val="none"/>
        </w:rPr>
      </w:pPr>
    </w:p>
    <w:p>
      <w:pPr>
        <w:pStyle w:val="596"/>
        <w:spacing w:before="120" w:line="22" w:lineRule="atLeast"/>
        <w:rPr>
          <w:rFonts w:cs="宋体" w:asciiTheme="minorEastAsia" w:hAnsiTheme="minorEastAsia" w:eastAsiaTheme="minorEastAsia"/>
          <w:szCs w:val="24"/>
          <w:highlight w:val="none"/>
        </w:rPr>
      </w:pPr>
    </w:p>
    <w:p>
      <w:pPr>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甲方：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乙方：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签订地：</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签订日期：</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日</w:t>
      </w:r>
    </w:p>
    <w:p>
      <w:pPr>
        <w:widowControl/>
        <w:jc w:val="left"/>
        <w:rPr>
          <w:rFonts w:cs="宋体" w:asciiTheme="minorEastAsia" w:hAnsiTheme="minorEastAsia" w:eastAsiaTheme="minorEastAsia"/>
          <w:kern w:val="0"/>
          <w:sz w:val="24"/>
          <w:highlight w:val="none"/>
        </w:rPr>
        <w:sectPr>
          <w:headerReference r:id="rId8" w:type="default"/>
          <w:footerReference r:id="rId9" w:type="default"/>
          <w:pgSz w:w="11907" w:h="16840"/>
          <w:pgMar w:top="1276" w:right="1814" w:bottom="1474" w:left="1814" w:header="851" w:footer="851" w:gutter="0"/>
          <w:cols w:space="720" w:num="1"/>
        </w:sectPr>
      </w:pPr>
    </w:p>
    <w:p>
      <w:pPr>
        <w:spacing w:line="360" w:lineRule="auto"/>
        <w:ind w:firstLine="480" w:firstLineChars="2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根据《中华人民共和国政府采购法》和《中华人民共和国民法典》、地方有关法律、法规和政策，在平等、自愿、协商一致的基础上，就甲方（</w:t>
      </w:r>
      <w:r>
        <w:rPr>
          <w:rFonts w:hint="eastAsia" w:ascii="宋体" w:hAnsi="宋体" w:cs="宋体"/>
          <w:color w:val="000000"/>
          <w:sz w:val="24"/>
          <w:highlight w:val="none"/>
          <w:lang w:eastAsia="zh-CN"/>
        </w:rPr>
        <w:t>杭州市公安局西湖区分局</w:t>
      </w:r>
      <w:r>
        <w:rPr>
          <w:rFonts w:hint="eastAsia" w:ascii="宋体" w:hAnsi="宋体" w:eastAsia="宋体" w:cs="宋体"/>
          <w:color w:val="000000"/>
          <w:sz w:val="24"/>
          <w:highlight w:val="none"/>
        </w:rPr>
        <w:t>）委托乙方（</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成交供应商）对</w:t>
      </w:r>
      <w:r>
        <w:rPr>
          <w:rFonts w:hint="eastAsia" w:ascii="宋体" w:hAnsi="宋体" w:cs="宋体"/>
          <w:color w:val="000000"/>
          <w:sz w:val="24"/>
          <w:highlight w:val="none"/>
          <w:lang w:eastAsia="zh-CN"/>
        </w:rPr>
        <w:t>2023年西湖区区域医院业务系统平台扩容服务项目</w:t>
      </w:r>
      <w:r>
        <w:rPr>
          <w:rFonts w:hint="eastAsia" w:ascii="宋体" w:hAnsi="宋体" w:eastAsia="宋体" w:cs="宋体"/>
          <w:color w:val="000000"/>
          <w:sz w:val="24"/>
          <w:highlight w:val="none"/>
        </w:rPr>
        <w:t>订立本合同。</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 定义</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 “</w:t>
      </w:r>
      <w:r>
        <w:rPr>
          <w:rFonts w:hint="eastAsia" w:ascii="宋体" w:hAnsi="宋体" w:eastAsia="宋体" w:cs="宋体"/>
          <w:color w:val="000000"/>
          <w:kern w:val="0"/>
          <w:sz w:val="24"/>
          <w:highlight w:val="none"/>
          <w:lang w:val="zh-CN"/>
        </w:rPr>
        <w:t>合同”</w:t>
      </w:r>
      <w:r>
        <w:rPr>
          <w:rFonts w:hint="eastAsia" w:ascii="宋体" w:hAnsi="宋体" w:eastAsia="宋体" w:cs="宋体"/>
          <w:color w:val="000000"/>
          <w:sz w:val="24"/>
          <w:highlight w:val="none"/>
        </w:rPr>
        <w:t>即由</w:t>
      </w:r>
      <w:r>
        <w:rPr>
          <w:rFonts w:hint="eastAsia" w:ascii="宋体" w:hAnsi="宋体" w:eastAsia="宋体" w:cs="宋体"/>
          <w:color w:val="000000"/>
          <w:kern w:val="0"/>
          <w:sz w:val="24"/>
          <w:highlight w:val="none"/>
          <w:lang w:val="zh-CN"/>
        </w:rPr>
        <w:t>甲乙方</w:t>
      </w:r>
      <w:r>
        <w:rPr>
          <w:rFonts w:hint="eastAsia" w:ascii="宋体" w:hAnsi="宋体" w:eastAsia="宋体" w:cs="宋体"/>
          <w:color w:val="000000"/>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合同将由</w:t>
      </w:r>
      <w:r>
        <w:rPr>
          <w:rFonts w:hint="eastAsia" w:ascii="宋体" w:hAnsi="宋体" w:cs="宋体"/>
          <w:color w:val="000000"/>
          <w:sz w:val="24"/>
          <w:highlight w:val="none"/>
          <w:lang w:eastAsia="zh-CN"/>
        </w:rPr>
        <w:t>杭州市西湖区卫生健康局</w:t>
      </w:r>
      <w:r>
        <w:rPr>
          <w:rFonts w:hint="eastAsia" w:ascii="宋体" w:hAnsi="宋体" w:eastAsia="宋体" w:cs="宋体"/>
          <w:color w:val="000000"/>
          <w:sz w:val="24"/>
          <w:highlight w:val="none"/>
        </w:rPr>
        <w:t>（以下简称甲方）与经评审最终确定的成交供应商（以下简称乙方）结合本项目具体情况协商后签订</w:t>
      </w:r>
      <w:r>
        <w:rPr>
          <w:rFonts w:hint="eastAsia" w:ascii="宋体" w:hAnsi="宋体" w:eastAsia="宋体" w:cs="宋体"/>
          <w:color w:val="000000"/>
          <w:kern w:val="0"/>
          <w:sz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color w:val="000000"/>
          <w:sz w:val="24"/>
          <w:highlight w:val="none"/>
        </w:rPr>
        <w:t>.</w:t>
      </w:r>
      <w:r>
        <w:rPr>
          <w:rFonts w:hint="eastAsia" w:ascii="宋体" w:hAnsi="宋体" w:eastAsia="宋体" w:cs="宋体"/>
          <w:sz w:val="24"/>
          <w:highlight w:val="none"/>
        </w:rPr>
        <w:t>“服务”系指招标文件规定供应商须承担的安装、调试、技术协助、校准、培训以及其它类似的义务。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 “甲方”系指通过采购接受合同及服务的</w:t>
      </w:r>
      <w:r>
        <w:rPr>
          <w:rFonts w:hint="eastAsia" w:ascii="宋体" w:hAnsi="宋体" w:cs="宋体"/>
          <w:color w:val="000000"/>
          <w:sz w:val="24"/>
          <w:highlight w:val="none"/>
          <w:lang w:eastAsia="zh-CN"/>
        </w:rPr>
        <w:t>杭州市公安局西湖区分局</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 “乙方”系指</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 “现场”系指将要进行系统安装和运转的地点。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 “验收”系指采购人依据国家有关规定接受合同所依据的程序和条件。</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 适用范围</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本合同条款适用与本次采购活动。项目实施范围详见附件——投标文件和投标文件及补充文件、承诺书等。</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3．项目</w:t>
      </w:r>
      <w:r>
        <w:rPr>
          <w:rFonts w:hint="eastAsia" w:ascii="宋体" w:hAnsi="宋体" w:cs="宋体"/>
          <w:b/>
          <w:sz w:val="24"/>
          <w:highlight w:val="none"/>
          <w:lang w:eastAsia="zh-CN"/>
        </w:rPr>
        <w:t>服务及</w:t>
      </w:r>
      <w:r>
        <w:rPr>
          <w:rFonts w:hint="eastAsia" w:ascii="宋体" w:hAnsi="宋体" w:eastAsia="宋体" w:cs="宋体"/>
          <w:b/>
          <w:sz w:val="24"/>
          <w:highlight w:val="none"/>
        </w:rPr>
        <w:t>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1</w:t>
      </w:r>
      <w:r>
        <w:rPr>
          <w:rFonts w:hint="eastAsia" w:ascii="宋体" w:hAnsi="宋体" w:cs="宋体"/>
          <w:sz w:val="24"/>
          <w:highlight w:val="none"/>
        </w:rPr>
        <w:t>乙方在投标文件中所列的开发产品等应与实际安装实施的产品完全一致，并提供相关证明。如发现产品与投标</w:t>
      </w:r>
      <w:r>
        <w:rPr>
          <w:rFonts w:hint="eastAsia" w:ascii="宋体" w:hAnsi="宋体" w:cs="宋体"/>
          <w:sz w:val="24"/>
          <w:highlight w:val="none"/>
          <w:lang w:eastAsia="zh-CN"/>
        </w:rPr>
        <w:t>文件</w:t>
      </w:r>
      <w:r>
        <w:rPr>
          <w:rFonts w:hint="eastAsia" w:ascii="宋体" w:hAnsi="宋体" w:cs="宋体"/>
          <w:sz w:val="24"/>
          <w:highlight w:val="none"/>
        </w:rPr>
        <w:t>等资料不符，甲方有权更换，其一切后果及费用由乙方承担。如发现不符合功能性能要求、质量要求等情况由乙方负责重新开发或补足，并不得影响</w:t>
      </w:r>
      <w:r>
        <w:rPr>
          <w:rFonts w:hint="eastAsia" w:ascii="宋体" w:hAnsi="宋体" w:cs="宋体"/>
          <w:sz w:val="24"/>
          <w:highlight w:val="none"/>
          <w:lang w:eastAsia="zh-CN"/>
        </w:rPr>
        <w:t>使用周期</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2</w:t>
      </w:r>
      <w:r>
        <w:rPr>
          <w:rFonts w:hint="eastAsia" w:ascii="宋体" w:hAnsi="宋体" w:cs="宋体"/>
          <w:sz w:val="24"/>
          <w:highlight w:val="none"/>
        </w:rPr>
        <w:t>乙方必须按照本项目进度推进实施，按照项目需求、</w:t>
      </w:r>
      <w:r>
        <w:rPr>
          <w:rFonts w:hint="eastAsia" w:ascii="宋体" w:hAnsi="宋体" w:cs="宋体"/>
          <w:sz w:val="24"/>
          <w:szCs w:val="28"/>
          <w:highlight w:val="none"/>
        </w:rPr>
        <w:t>国家技术规范和质量标准实施项目开发和系统集成</w:t>
      </w:r>
      <w:r>
        <w:rPr>
          <w:rFonts w:hint="eastAsia" w:ascii="宋体" w:hAnsi="宋体" w:cs="宋体"/>
          <w:sz w:val="24"/>
          <w:highlight w:val="none"/>
        </w:rPr>
        <w:t>。</w:t>
      </w:r>
    </w:p>
    <w:p>
      <w:pPr>
        <w:snapToGrid w:val="0"/>
        <w:spacing w:line="360" w:lineRule="auto"/>
        <w:ind w:firstLine="540" w:firstLineChars="225"/>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3</w:t>
      </w:r>
      <w:r>
        <w:rPr>
          <w:rFonts w:hint="eastAsia" w:ascii="宋体" w:hAnsi="宋体" w:cs="宋体"/>
          <w:sz w:val="24"/>
          <w:highlight w:val="none"/>
        </w:rPr>
        <w:t>该项目的应用软件成果由甲方与乙方共同所有。但乙方对甲方提供的业务资料、技术资料应严格保密，不得扩散。</w:t>
      </w:r>
    </w:p>
    <w:p>
      <w:pPr>
        <w:spacing w:line="360" w:lineRule="auto"/>
        <w:rPr>
          <w:rFonts w:ascii="宋体" w:hAnsi="宋体" w:cs="宋体"/>
          <w:b/>
          <w:sz w:val="24"/>
          <w:highlight w:val="none"/>
        </w:rPr>
      </w:pPr>
      <w:r>
        <w:rPr>
          <w:rFonts w:hint="eastAsia" w:ascii="宋体" w:hAnsi="宋体" w:cs="宋体"/>
          <w:b/>
          <w:sz w:val="24"/>
          <w:highlight w:val="none"/>
        </w:rPr>
        <w:t>4．项目实施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4.1甲方提供项目所需的数据信息支持和必要场地。</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default" w:ascii="宋体" w:hAnsi="宋体" w:cs="宋体"/>
          <w:sz w:val="24"/>
          <w:highlight w:val="none"/>
          <w:lang w:val="en-US"/>
        </w:rPr>
        <w:t>2</w:t>
      </w:r>
      <w:r>
        <w:rPr>
          <w:rFonts w:hint="eastAsia" w:ascii="宋体" w:hAnsi="宋体" w:cs="宋体"/>
          <w:sz w:val="24"/>
          <w:highlight w:val="none"/>
        </w:rPr>
        <w:t xml:space="preserve">乙方应根据项目情况提供硬件送货安装、系统集成、软件开发、安装调试计划，项目实施进度计划，经甲、乙双方共同确定后作为双方共同执行的合同条款，乙方应按计划完工交付验收，若超过计划完工日15天以上的按超期处罚。 </w:t>
      </w:r>
    </w:p>
    <w:p>
      <w:pPr>
        <w:spacing w:line="360" w:lineRule="auto"/>
        <w:rPr>
          <w:rFonts w:ascii="宋体" w:hAnsi="宋体" w:cs="宋体"/>
          <w:b/>
          <w:sz w:val="24"/>
          <w:highlight w:val="none"/>
        </w:rPr>
      </w:pPr>
      <w:r>
        <w:rPr>
          <w:rFonts w:hint="eastAsia" w:ascii="宋体" w:hAnsi="宋体" w:cs="宋体"/>
          <w:b/>
          <w:sz w:val="24"/>
          <w:highlight w:val="none"/>
        </w:rPr>
        <w:t>5．</w:t>
      </w:r>
      <w:r>
        <w:rPr>
          <w:rFonts w:hint="eastAsia" w:ascii="宋体" w:hAnsi="宋体" w:cs="宋体"/>
          <w:b/>
          <w:bCs/>
          <w:kern w:val="0"/>
          <w:sz w:val="24"/>
          <w:highlight w:val="none"/>
          <w:lang w:val="zh-CN"/>
        </w:rPr>
        <w:t>系统维护与保修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5.1 乙方对甲方提供操作维护、管理等培训。</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5.2 乙方</w:t>
      </w:r>
      <w:r>
        <w:rPr>
          <w:rFonts w:hint="eastAsia" w:ascii="宋体" w:hAnsi="宋体" w:cs="宋体"/>
          <w:bCs/>
          <w:sz w:val="24"/>
          <w:highlight w:val="none"/>
        </w:rPr>
        <w:t>提</w:t>
      </w:r>
      <w:r>
        <w:rPr>
          <w:rFonts w:hint="eastAsia" w:ascii="宋体" w:hAnsi="宋体" w:cs="宋体"/>
          <w:sz w:val="24"/>
          <w:highlight w:val="none"/>
        </w:rPr>
        <w:t>供</w:t>
      </w:r>
      <w:r>
        <w:rPr>
          <w:rFonts w:ascii="宋体" w:hAnsi="宋体" w:cs="宋体"/>
          <w:sz w:val="24"/>
          <w:highlight w:val="none"/>
          <w:u w:val="single"/>
        </w:rPr>
        <w:t xml:space="preserve">  </w:t>
      </w:r>
      <w:r>
        <w:rPr>
          <w:rFonts w:hint="eastAsia" w:ascii="宋体" w:hAnsi="宋体" w:cs="宋体"/>
          <w:sz w:val="24"/>
          <w:highlight w:val="none"/>
        </w:rPr>
        <w:t>年 7×24小时售后技术支持服务，从服务开通</w:t>
      </w:r>
      <w:r>
        <w:rPr>
          <w:rFonts w:hint="eastAsia" w:ascii="宋体" w:hAnsi="宋体" w:cs="宋体"/>
          <w:sz w:val="24"/>
          <w:highlight w:val="none"/>
          <w:lang w:val="en-US" w:eastAsia="zh-CN"/>
        </w:rPr>
        <w:t>之</w:t>
      </w:r>
      <w:r>
        <w:rPr>
          <w:rFonts w:hint="eastAsia" w:ascii="宋体" w:hAnsi="宋体" w:cs="宋体"/>
          <w:sz w:val="24"/>
          <w:highlight w:val="none"/>
        </w:rPr>
        <w:t>日起计算。</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6．验收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7、</w:t>
      </w:r>
      <w:r>
        <w:rPr>
          <w:rFonts w:hint="eastAsia" w:ascii="宋体" w:hAnsi="宋体" w:eastAsia="宋体" w:cs="宋体"/>
          <w:b/>
          <w:sz w:val="24"/>
          <w:highlight w:val="none"/>
          <w:lang w:val="en-US"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numPr>
          <w:ilvl w:val="0"/>
          <w:numId w:val="4"/>
        </w:numPr>
        <w:spacing w:line="360" w:lineRule="auto"/>
        <w:ind w:left="0" w:leftChars="0" w:firstLine="0" w:firstLineChars="0"/>
        <w:rPr>
          <w:rFonts w:hint="eastAsia" w:ascii="宋体" w:hAnsi="宋体" w:cs="宋体"/>
          <w:b/>
          <w:sz w:val="24"/>
          <w:highlight w:val="none"/>
          <w:lang w:val="en-US" w:eastAsia="zh-CN"/>
        </w:rPr>
      </w:pPr>
      <w:r>
        <w:rPr>
          <w:rFonts w:hint="eastAsia" w:ascii="宋体" w:hAnsi="宋体" w:cs="宋体"/>
          <w:b/>
          <w:sz w:val="24"/>
          <w:highlight w:val="none"/>
          <w:lang w:val="en-US" w:eastAsia="zh-CN"/>
        </w:rPr>
        <w:t>付款方式、比例</w:t>
      </w:r>
    </w:p>
    <w:p>
      <w:pPr>
        <w:pStyle w:val="957"/>
        <w:spacing w:before="0" w:beforeAutospacing="0" w:after="0" w:afterAutospacing="0" w:line="360" w:lineRule="auto"/>
        <w:ind w:firstLine="480"/>
        <w:rPr>
          <w:rFonts w:cs="Times New Roman"/>
          <w:color w:val="auto"/>
          <w:highlight w:val="none"/>
        </w:rPr>
      </w:pPr>
      <w:r>
        <w:rPr>
          <w:rFonts w:hint="eastAsia" w:cs="Times New Roman"/>
          <w:color w:val="auto"/>
          <w:highlight w:val="none"/>
          <w:lang w:val="en-US" w:eastAsia="zh-CN"/>
        </w:rPr>
        <w:t>8.</w:t>
      </w:r>
      <w:r>
        <w:rPr>
          <w:rFonts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甲方应严格履行合同，及时组织验收，验收合格后及时将合同款支付完毕。对于满足合同约定支付条件的，甲方自收到发票后5</w:t>
      </w:r>
      <w:r>
        <w:rPr>
          <w:rFonts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ascii="宋体" w:hAnsi="宋体"/>
          <w:color w:val="auto"/>
          <w:sz w:val="24"/>
          <w:highlight w:val="none"/>
        </w:rPr>
        <w:t>2</w:t>
      </w:r>
      <w:r>
        <w:rPr>
          <w:rFonts w:hint="eastAsia" w:ascii="宋体" w:hAnsi="宋体"/>
          <w:color w:val="auto"/>
          <w:sz w:val="24"/>
          <w:highlight w:val="none"/>
        </w:rPr>
        <w:t>甲方在政府采购合同中约定预付款，对中小企业合同预付款比例原则上不低于合同金额的40％，不高于合同金额的70%（对提交预付款保函的可提高预付款比例至70%）；项目分年安排预算的，每年预付款比例不低于项目年度计划支付资金额的40％，不高于年度计划支付资金额的70%（对提交预付款保函的可提高预付款比例至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8.3</w:t>
      </w:r>
      <w:r>
        <w:rPr>
          <w:rFonts w:hint="eastAsia" w:ascii="宋体" w:hAnsi="宋体"/>
          <w:color w:val="auto"/>
          <w:sz w:val="24"/>
          <w:highlight w:val="none"/>
        </w:rPr>
        <w:t>甲方迟延支付乙方款项的，向乙方支付逾期利息。双方可约定逾期利率，约定利率不得低于合同订立时</w:t>
      </w:r>
      <w:r>
        <w:rPr>
          <w:rFonts w:ascii="宋体" w:hAnsi="宋体"/>
          <w:color w:val="auto"/>
          <w:sz w:val="24"/>
          <w:highlight w:val="none"/>
        </w:rPr>
        <w:t>1年</w:t>
      </w:r>
      <w:r>
        <w:rPr>
          <w:rFonts w:hint="eastAsia" w:ascii="宋体" w:hAnsi="宋体"/>
          <w:color w:val="auto"/>
          <w:sz w:val="24"/>
          <w:highlight w:val="none"/>
        </w:rPr>
        <w:t>期贷款市场报价利率；未作约定的，按照每日利率万分之五支付逾期利息。</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cs="宋体"/>
          <w:b/>
          <w:sz w:val="24"/>
          <w:highlight w:val="none"/>
          <w:lang w:val="en-US" w:eastAsia="zh-CN"/>
        </w:rPr>
        <w:t>8.4付款比例、时间</w:t>
      </w:r>
    </w:p>
    <w:p>
      <w:pPr>
        <w:autoSpaceDE w:val="0"/>
        <w:autoSpaceDN w:val="0"/>
        <w:adjustRightInd w:val="0"/>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1936"/>
        <w:gridCol w:w="1936"/>
        <w:gridCol w:w="176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付款期数</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付款比例</w:t>
            </w: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w:t>
            </w:r>
            <w:r>
              <w:rPr>
                <w:rFonts w:hint="eastAsia" w:ascii="宋体" w:hAnsi="宋体" w:cs="宋体"/>
                <w:kern w:val="0"/>
                <w:sz w:val="24"/>
                <w:szCs w:val="24"/>
                <w:highlight w:val="none"/>
                <w:lang w:val="zh-CN"/>
              </w:rPr>
              <w:t>）</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付款大写金额（元）</w:t>
            </w: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付款小写金额（元）</w:t>
            </w:r>
          </w:p>
        </w:tc>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第一期</w:t>
            </w:r>
          </w:p>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预付款</w:t>
            </w:r>
            <w:r>
              <w:rPr>
                <w:rFonts w:hint="eastAsia" w:ascii="宋体" w:hAnsi="宋体" w:cs="宋体"/>
                <w:kern w:val="0"/>
                <w:sz w:val="24"/>
                <w:szCs w:val="24"/>
                <w:highlight w:val="none"/>
                <w:lang w:val="zh-CN"/>
              </w:rPr>
              <w:t>）</w:t>
            </w:r>
          </w:p>
        </w:tc>
        <w:tc>
          <w:tcPr>
            <w:tcW w:w="1936" w:type="dxa"/>
            <w:noWrap w:val="0"/>
            <w:vAlign w:val="center"/>
          </w:tcPr>
          <w:p>
            <w:pPr>
              <w:autoSpaceDE w:val="0"/>
              <w:autoSpaceDN w:val="0"/>
              <w:adjustRightInd w:val="0"/>
              <w:spacing w:line="360" w:lineRule="auto"/>
              <w:jc w:val="center"/>
              <w:rPr>
                <w:rFonts w:hint="default" w:ascii="宋体" w:hAnsi="宋体" w:eastAsia="宋体" w:cs="宋体"/>
                <w:kern w:val="0"/>
                <w:sz w:val="24"/>
                <w:szCs w:val="24"/>
                <w:highlight w:val="none"/>
                <w:lang w:val="en-US"/>
              </w:rPr>
            </w:pPr>
            <w:r>
              <w:rPr>
                <w:rFonts w:hint="default" w:ascii="宋体" w:hAnsi="宋体" w:cs="宋体"/>
                <w:kern w:val="0"/>
                <w:sz w:val="24"/>
                <w:szCs w:val="24"/>
                <w:highlight w:val="none"/>
                <w:lang w:val="en-US"/>
              </w:rPr>
              <w:t>40</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eastAsia="zh-CN"/>
              </w:rPr>
            </w:pPr>
            <w:r>
              <w:rPr>
                <w:rFonts w:hint="eastAsia" w:ascii="宋体" w:hAnsi="宋体" w:eastAsia="宋体" w:cs="宋体"/>
                <w:b w:val="0"/>
                <w:bCs w:val="0"/>
                <w:i w:val="0"/>
                <w:iCs w:val="0"/>
                <w:color w:val="auto"/>
                <w:kern w:val="2"/>
                <w:sz w:val="24"/>
                <w:szCs w:val="24"/>
                <w:highlight w:val="none"/>
                <w:lang w:val="en-US" w:eastAsia="zh-CN" w:bidi="ar"/>
              </w:rPr>
              <w:t>合同生效后</w:t>
            </w:r>
            <w:r>
              <w:rPr>
                <w:rFonts w:hint="default" w:ascii="宋体" w:hAnsi="宋体" w:cs="宋体"/>
                <w:b w:val="0"/>
                <w:bCs w:val="0"/>
                <w:i w:val="0"/>
                <w:iCs w:val="0"/>
                <w:color w:val="auto"/>
                <w:kern w:val="2"/>
                <w:sz w:val="24"/>
                <w:szCs w:val="24"/>
                <w:highlight w:val="none"/>
                <w:lang w:val="en-US" w:eastAsia="zh-CN" w:bidi="ar"/>
              </w:rPr>
              <w:t>7</w:t>
            </w:r>
            <w:r>
              <w:rPr>
                <w:rFonts w:hint="eastAsia" w:ascii="宋体" w:hAnsi="宋体" w:eastAsia="宋体" w:cs="宋体"/>
                <w:b w:val="0"/>
                <w:bCs w:val="0"/>
                <w:i w:val="0"/>
                <w:iCs w:val="0"/>
                <w:color w:val="auto"/>
                <w:kern w:val="2"/>
                <w:sz w:val="24"/>
                <w:szCs w:val="24"/>
                <w:highlight w:val="none"/>
                <w:lang w:val="en-US" w:eastAsia="zh-CN" w:bidi="ar"/>
              </w:rPr>
              <w:t>个工作日内支付预付款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第二期（尾款）</w:t>
            </w:r>
          </w:p>
        </w:tc>
        <w:tc>
          <w:tcPr>
            <w:tcW w:w="1936" w:type="dxa"/>
            <w:noWrap w:val="0"/>
            <w:vAlign w:val="center"/>
          </w:tcPr>
          <w:p>
            <w:pPr>
              <w:autoSpaceDE w:val="0"/>
              <w:autoSpaceDN w:val="0"/>
              <w:adjustRightInd w:val="0"/>
              <w:spacing w:line="360" w:lineRule="auto"/>
              <w:jc w:val="center"/>
              <w:rPr>
                <w:rFonts w:hint="default" w:ascii="宋体" w:hAnsi="宋体" w:eastAsia="宋体" w:cs="宋体"/>
                <w:kern w:val="0"/>
                <w:sz w:val="24"/>
                <w:szCs w:val="24"/>
                <w:highlight w:val="none"/>
                <w:lang w:val="en-US" w:eastAsia="zh-CN"/>
              </w:rPr>
            </w:pPr>
            <w:r>
              <w:rPr>
                <w:rFonts w:hint="default" w:ascii="宋体" w:hAnsi="宋体" w:cs="宋体"/>
                <w:kern w:val="0"/>
                <w:sz w:val="24"/>
                <w:szCs w:val="24"/>
                <w:highlight w:val="none"/>
                <w:lang w:val="en-US" w:eastAsia="zh-CN"/>
              </w:rPr>
              <w:t>60</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822" w:type="dxa"/>
            <w:noWrap w:val="0"/>
            <w:vAlign w:val="center"/>
          </w:tcPr>
          <w:p>
            <w:pPr>
              <w:autoSpaceDE w:val="0"/>
              <w:autoSpaceDN w:val="0"/>
              <w:adjustRightInd w:val="0"/>
              <w:spacing w:line="360" w:lineRule="auto"/>
              <w:jc w:val="center"/>
              <w:rPr>
                <w:rFonts w:hint="eastAsia" w:ascii="宋体" w:hAnsi="宋体" w:eastAsia="宋体" w:cs="宋体"/>
                <w:b w:val="0"/>
                <w:bCs w:val="0"/>
                <w:i w:val="0"/>
                <w:iCs w:val="0"/>
                <w:color w:val="auto"/>
                <w:kern w:val="2"/>
                <w:sz w:val="24"/>
                <w:szCs w:val="24"/>
                <w:highlight w:val="none"/>
                <w:lang w:val="en-US" w:eastAsia="zh-CN" w:bidi="ar"/>
              </w:rPr>
            </w:pPr>
            <w:r>
              <w:rPr>
                <w:rFonts w:hint="eastAsia" w:ascii="宋体" w:hAnsi="宋体" w:cs="宋体"/>
                <w:kern w:val="0"/>
                <w:sz w:val="24"/>
                <w:highlight w:val="none"/>
              </w:rPr>
              <w:t>按要求如期完成项目全部建设，试运行一个月后进入验收，验收合格后</w:t>
            </w:r>
            <w:r>
              <w:rPr>
                <w:rFonts w:hint="default" w:ascii="宋体" w:hAnsi="宋体" w:cs="宋体"/>
                <w:kern w:val="0"/>
                <w:sz w:val="24"/>
                <w:highlight w:val="none"/>
                <w:lang w:val="en-US"/>
              </w:rPr>
              <w:t>15</w:t>
            </w:r>
            <w:r>
              <w:rPr>
                <w:rFonts w:hint="eastAsia" w:ascii="宋体" w:hAnsi="宋体" w:cs="宋体"/>
                <w:kern w:val="0"/>
                <w:sz w:val="24"/>
                <w:highlight w:val="none"/>
                <w:lang w:val="en-US" w:eastAsia="zh-CN"/>
              </w:rPr>
              <w:t>个工作日内</w:t>
            </w:r>
            <w:r>
              <w:rPr>
                <w:rFonts w:hint="eastAsia" w:ascii="宋体" w:hAnsi="宋体" w:cs="宋体"/>
                <w:kern w:val="0"/>
                <w:sz w:val="24"/>
                <w:highlight w:val="none"/>
              </w:rPr>
              <w:t>支付剩余款项</w:t>
            </w:r>
          </w:p>
        </w:tc>
      </w:tr>
    </w:tbl>
    <w:p>
      <w:pPr>
        <w:pStyle w:val="34"/>
        <w:spacing w:line="360" w:lineRule="auto"/>
        <w:rPr>
          <w:rFonts w:hint="eastAsia" w:ascii="宋体" w:hAnsi="宋体" w:eastAsia="宋体" w:cs="宋体"/>
          <w:b/>
          <w:sz w:val="24"/>
          <w:highlight w:val="none"/>
          <w:lang w:val="zh-CN"/>
        </w:rPr>
      </w:pPr>
      <w:r>
        <w:rPr>
          <w:rFonts w:hint="eastAsia" w:ascii="宋体" w:hAnsi="宋体" w:eastAsia="宋体" w:cs="宋体"/>
          <w:b/>
          <w:sz w:val="24"/>
          <w:highlight w:val="none"/>
        </w:rPr>
        <w:t>9</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9.1 签订合同后3个工作日内，中标人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缴纳不超过政府采购合同总额</w:t>
      </w:r>
      <w:r>
        <w:rPr>
          <w:rFonts w:hint="default" w:ascii="宋体" w:hAnsi="宋体" w:cs="宋体"/>
          <w:kern w:val="0"/>
          <w:highlight w:val="none"/>
          <w:lang w:val="en-US"/>
        </w:rPr>
        <w:t>1</w:t>
      </w:r>
      <w:r>
        <w:rPr>
          <w:rFonts w:hint="eastAsia" w:ascii="宋体" w:hAnsi="宋体" w:eastAsia="宋体" w:cs="宋体"/>
          <w:kern w:val="0"/>
          <w:highlight w:val="none"/>
          <w:lang w:val="zh-CN"/>
        </w:rPr>
        <w:t xml:space="preserve">％的履约保证金，缴纳金额: </w:t>
      </w:r>
      <w:r>
        <w:rPr>
          <w:rFonts w:hint="eastAsia" w:ascii="宋体" w:hAnsi="宋体" w:eastAsia="宋体" w:cs="宋体"/>
          <w:kern w:val="0"/>
          <w:highlight w:val="none"/>
          <w:u w:val="single"/>
          <w:lang w:val="zh-CN"/>
        </w:rPr>
        <w:t xml:space="preserve">  </w:t>
      </w:r>
      <w:r>
        <w:rPr>
          <w:rFonts w:hint="default" w:ascii="宋体" w:hAnsi="宋体" w:cs="宋体"/>
          <w:kern w:val="0"/>
          <w:highlight w:val="none"/>
          <w:u w:val="single"/>
          <w:lang w:val="en-US"/>
        </w:rPr>
        <w:t>/</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w:t>
      </w:r>
      <w:r>
        <w:rPr>
          <w:rFonts w:hint="default" w:ascii="宋体" w:hAnsi="宋体" w:cs="宋体"/>
          <w:kern w:val="0"/>
          <w:highlight w:val="none"/>
          <w:u w:val="single"/>
          <w:lang w:val="en-US"/>
        </w:rPr>
        <w:t xml:space="preserve">  /  </w:t>
      </w:r>
      <w:r>
        <w:rPr>
          <w:rFonts w:hint="eastAsia" w:ascii="宋体" w:hAnsi="宋体" w:eastAsia="宋体" w:cs="宋体"/>
          <w:kern w:val="0"/>
          <w:highlight w:val="none"/>
          <w:lang w:val="zh-CN"/>
        </w:rPr>
        <w:t>元）。</w:t>
      </w:r>
      <w:r>
        <w:rPr>
          <w:rFonts w:hint="eastAsia" w:ascii="宋体" w:hAnsi="宋体" w:eastAsia="宋体" w:cs="宋体"/>
          <w:color w:val="000000"/>
          <w:highlight w:val="none"/>
        </w:rPr>
        <w:t>采购人在项目验收合格后，若无质量和服务等问题，在5个工作日内将履约保证金原额（无息）归还中标人</w:t>
      </w:r>
      <w:r>
        <w:rPr>
          <w:rFonts w:hint="eastAsia" w:ascii="宋体" w:hAnsi="宋体" w:cs="宋体"/>
          <w:color w:val="000000"/>
          <w:highlight w:val="none"/>
          <w:lang w:eastAsia="zh-CN"/>
        </w:rPr>
        <w:t>，</w:t>
      </w:r>
      <w:r>
        <w:rPr>
          <w:rFonts w:hint="eastAsia" w:ascii="宋体" w:hAnsi="宋体" w:cs="宋体"/>
          <w:b/>
          <w:bCs/>
          <w:color w:val="000000"/>
          <w:highlight w:val="none"/>
          <w:lang w:eastAsia="zh-CN"/>
        </w:rPr>
        <w:t>本项目不收取履约保证金</w:t>
      </w:r>
      <w:r>
        <w:rPr>
          <w:rFonts w:hint="eastAsia" w:ascii="宋体" w:hAnsi="宋体" w:eastAsia="宋体" w:cs="宋体"/>
          <w:kern w:val="0"/>
          <w:highlight w:val="none"/>
          <w:lang w:val="zh-CN"/>
        </w:rPr>
        <w:t>；</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w:t>
      </w:r>
      <w:r>
        <w:rPr>
          <w:rFonts w:hint="eastAsia" w:ascii="宋体" w:hAnsi="宋体" w:cs="宋体"/>
          <w:kern w:val="0"/>
          <w:highlight w:val="none"/>
          <w:lang w:val="en-US" w:eastAsia="zh-CN"/>
        </w:rPr>
        <w:t>2</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10．延期交付与核定损失额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11．不可抗力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12.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 在履行本合同义务的期间，应运用合理的技能，认真、勤奋工作。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 在本合同期内或合同终止后，未征得有关方同意，不得泄</w:t>
      </w:r>
      <w:r>
        <w:rPr>
          <w:rFonts w:hint="eastAsia" w:ascii="宋体" w:hAnsi="宋体" w:eastAsia="宋体" w:cs="宋体"/>
          <w:kern w:val="0"/>
          <w:sz w:val="24"/>
          <w:highlight w:val="none"/>
          <w:lang w:val="en-US" w:eastAsia="zh-CN"/>
        </w:rPr>
        <w:t>露</w:t>
      </w:r>
      <w:r>
        <w:rPr>
          <w:rFonts w:hint="eastAsia" w:ascii="宋体" w:hAnsi="宋体" w:eastAsia="宋体" w:cs="宋体"/>
          <w:kern w:val="0"/>
          <w:sz w:val="24"/>
          <w:highlight w:val="none"/>
          <w:lang w:val="zh-CN"/>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12.4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hint="eastAsia" w:ascii="宋体" w:hAnsi="宋体" w:eastAsia="宋体" w:cs="宋体"/>
          <w:sz w:val="24"/>
          <w:highlight w:val="none"/>
        </w:rPr>
      </w:pPr>
      <w:r>
        <w:rPr>
          <w:rFonts w:hint="eastAsia" w:ascii="宋体" w:hAnsi="宋体" w:eastAsia="宋体" w:cs="宋体"/>
          <w:kern w:val="0"/>
          <w:sz w:val="24"/>
          <w:highlight w:val="none"/>
          <w:lang w:val="zh-CN"/>
        </w:rPr>
        <w:t>12.8</w:t>
      </w:r>
      <w:r>
        <w:rPr>
          <w:rFonts w:hint="eastAsia" w:ascii="宋体" w:hAnsi="宋体" w:eastAsia="宋体" w:cs="宋体"/>
          <w:sz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13.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13.7 甲方有权要求乙方提交工作月度报告及专项报告等。</w:t>
      </w:r>
    </w:p>
    <w:p>
      <w:pPr>
        <w:adjustRightInd w:val="0"/>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14. 合同生效、变更和终止</w:t>
      </w:r>
    </w:p>
    <w:p>
      <w:pPr>
        <w:pStyle w:val="23"/>
        <w:spacing w:line="360" w:lineRule="auto"/>
        <w:ind w:firstLine="480" w:firstLineChars="200"/>
        <w:rPr>
          <w:rFonts w:hint="eastAsia" w:ascii="宋体" w:hAnsi="宋体" w:eastAsia="宋体" w:cs="宋体"/>
          <w:highlight w:val="none"/>
          <w:lang w:val="zh-CN"/>
        </w:rPr>
      </w:pPr>
      <w:r>
        <w:rPr>
          <w:rFonts w:hint="eastAsia" w:ascii="宋体" w:hAnsi="宋体" w:eastAsia="宋体" w:cs="宋体"/>
          <w:kern w:val="0"/>
          <w:sz w:val="24"/>
          <w:highlight w:val="none"/>
          <w:lang w:val="zh-CN"/>
        </w:rPr>
        <w:t xml:space="preserve">14.1 </w:t>
      </w:r>
      <w:r>
        <w:rPr>
          <w:rFonts w:hint="eastAsia" w:ascii="宋体" w:hAnsi="宋体" w:eastAsia="宋体" w:cs="宋体"/>
          <w:sz w:val="24"/>
          <w:highlight w:val="none"/>
        </w:rPr>
        <w:t>本合同经甲乙双方法定代表人或其委托人签字盖章，并且乙方向甲方缴纳合同约定金额的履约保证金，合同在政采云平台备案后生效。</w:t>
      </w:r>
      <w:r>
        <w:rPr>
          <w:rFonts w:hint="eastAsia" w:ascii="宋体" w:hAnsi="宋体" w:eastAsia="宋体" w:cs="宋体"/>
          <w:kern w:val="0"/>
          <w:sz w:val="24"/>
          <w:highlight w:val="none"/>
          <w:lang w:val="zh-CN"/>
        </w:rPr>
        <w:t>至合同期止</w:t>
      </w:r>
      <w:r>
        <w:rPr>
          <w:rFonts w:hint="eastAsia" w:ascii="宋体" w:hAnsi="宋体" w:eastAsia="宋体" w:cs="宋体"/>
          <w:sz w:val="24"/>
          <w:highlight w:val="none"/>
        </w:rPr>
        <w:t>。</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2</w:t>
      </w:r>
      <w:r>
        <w:rPr>
          <w:rFonts w:hint="eastAsia" w:ascii="宋体" w:hAnsi="宋体" w:eastAsia="宋体" w:cs="宋体"/>
          <w:kern w:val="0"/>
          <w:sz w:val="24"/>
          <w:highlight w:val="none"/>
          <w:lang w:val="zh-CN"/>
        </w:rPr>
        <w:t xml:space="preserve">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4</w:t>
      </w:r>
      <w:r>
        <w:rPr>
          <w:rFonts w:hint="eastAsia" w:ascii="宋体" w:hAnsi="宋体" w:eastAsia="宋体" w:cs="宋体"/>
          <w:kern w:val="0"/>
          <w:sz w:val="24"/>
          <w:highlight w:val="none"/>
          <w:lang w:val="en-US"/>
        </w:rPr>
        <w:t xml:space="preserve"> </w:t>
      </w:r>
      <w:r>
        <w:rPr>
          <w:rFonts w:hint="eastAsia" w:ascii="宋体" w:hAnsi="宋体" w:eastAsia="宋体" w:cs="宋体"/>
          <w:kern w:val="0"/>
          <w:sz w:val="24"/>
          <w:highlight w:val="none"/>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hint="eastAsia" w:ascii="宋体" w:hAnsi="宋体" w:eastAsia="宋体" w:cs="宋体"/>
          <w:b w:val="0"/>
          <w:bCs w:val="0"/>
          <w:snapToGrid w:val="0"/>
          <w:color w:val="auto"/>
          <w:kern w:val="0"/>
          <w:sz w:val="24"/>
          <w:szCs w:val="24"/>
          <w:highlight w:val="none"/>
          <w:lang w:eastAsia="zh-CN"/>
        </w:rPr>
      </w:pPr>
      <w:r>
        <w:rPr>
          <w:rFonts w:hint="default" w:ascii="宋体" w:hAnsi="宋体" w:eastAsia="宋体" w:cs="宋体"/>
          <w:b w:val="0"/>
          <w:bCs w:val="0"/>
          <w:snapToGrid w:val="0"/>
          <w:color w:val="auto"/>
          <w:kern w:val="0"/>
          <w:sz w:val="24"/>
          <w:szCs w:val="24"/>
          <w:highlight w:val="none"/>
          <w:lang w:val="en-US"/>
        </w:rPr>
        <w:t>16.5</w:t>
      </w:r>
      <w:r>
        <w:rPr>
          <w:rFonts w:hint="eastAsia" w:ascii="宋体" w:hAnsi="宋体" w:eastAsia="宋体" w:cs="宋体"/>
          <w:b w:val="0"/>
          <w:bCs w:val="0"/>
          <w:snapToGrid w:val="0"/>
          <w:color w:val="auto"/>
          <w:kern w:val="0"/>
          <w:sz w:val="24"/>
          <w:szCs w:val="24"/>
          <w:highlight w:val="none"/>
        </w:rPr>
        <w:t xml:space="preserve">. </w:t>
      </w:r>
      <w:r>
        <w:rPr>
          <w:rFonts w:hint="eastAsia" w:ascii="宋体" w:hAnsi="宋体" w:eastAsia="宋体" w:cs="宋体"/>
          <w:b w:val="0"/>
          <w:bCs w:val="0"/>
          <w:snapToGrid w:val="0"/>
          <w:color w:val="auto"/>
          <w:kern w:val="0"/>
          <w:sz w:val="24"/>
          <w:szCs w:val="24"/>
          <w:highlight w:val="none"/>
          <w:lang w:eastAsia="zh-CN"/>
        </w:rPr>
        <w:t>合同转让和分包</w:t>
      </w:r>
    </w:p>
    <w:p>
      <w:pPr>
        <w:snapToGrid w:val="0"/>
        <w:spacing w:line="360" w:lineRule="auto"/>
        <w:ind w:firstLine="480" w:firstLineChars="20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合同的权利义务依法不得转让，但经甲方同意，乙方可以依法采取分包方式履行合同，即：依法可以将合同项下的部分非主体、非关键性</w:t>
      </w:r>
      <w:r>
        <w:rPr>
          <w:rFonts w:hint="eastAsia" w:ascii="宋体" w:hAnsi="宋体" w:eastAsia="宋体" w:cs="宋体"/>
          <w:snapToGrid w:val="0"/>
          <w:color w:val="auto"/>
          <w:kern w:val="0"/>
          <w:sz w:val="24"/>
          <w:szCs w:val="24"/>
          <w:highlight w:val="none"/>
          <w:lang w:eastAsia="zh-CN"/>
        </w:rPr>
        <w:t>的</w:t>
      </w:r>
      <w:r>
        <w:rPr>
          <w:rFonts w:hint="eastAsia" w:ascii="宋体" w:hAnsi="宋体" w:cs="宋体"/>
          <w:b/>
          <w:bCs/>
          <w:snapToGrid w:val="0"/>
          <w:color w:val="auto"/>
          <w:kern w:val="0"/>
          <w:sz w:val="24"/>
          <w:szCs w:val="24"/>
          <w:highlight w:val="none"/>
          <w:u w:val="single"/>
          <w:lang w:eastAsia="zh-CN"/>
        </w:rPr>
        <w:t>系统集成</w:t>
      </w:r>
      <w:r>
        <w:rPr>
          <w:rFonts w:hint="eastAsia" w:ascii="宋体" w:hAnsi="宋体" w:eastAsia="宋体" w:cs="宋体"/>
          <w:snapToGrid w:val="0"/>
          <w:color w:val="auto"/>
          <w:kern w:val="0"/>
          <w:sz w:val="24"/>
          <w:szCs w:val="24"/>
          <w:highlight w:val="none"/>
        </w:rPr>
        <w:t>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分包内容：</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，分包合同（如有）</w:t>
      </w:r>
      <w:r>
        <w:rPr>
          <w:rFonts w:hint="eastAsia" w:ascii="宋体" w:hAnsi="宋体" w:eastAsia="宋体" w:cs="宋体"/>
          <w:snapToGrid w:val="0"/>
          <w:color w:val="auto"/>
          <w:kern w:val="0"/>
          <w:sz w:val="24"/>
          <w:szCs w:val="24"/>
          <w:highlight w:val="none"/>
          <w:lang w:eastAsia="zh-CN"/>
        </w:rPr>
        <w:t>附页</w:t>
      </w:r>
      <w:r>
        <w:rPr>
          <w:rFonts w:hint="eastAsia" w:ascii="宋体" w:hAnsi="宋体" w:eastAsia="宋体" w:cs="宋体"/>
          <w:snapToGrid w:val="0"/>
          <w:color w:val="auto"/>
          <w:kern w:val="0"/>
          <w:sz w:val="24"/>
          <w:szCs w:val="24"/>
          <w:highlight w:val="none"/>
        </w:rPr>
        <w:t>。</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15.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15.1</w:t>
      </w:r>
      <w:r>
        <w:rPr>
          <w:rFonts w:hint="eastAsia" w:ascii="宋体" w:hAnsi="宋体" w:eastAsia="宋体" w:cs="宋体"/>
          <w:sz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15.2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15.3 如因乙方原因达不到合格等级的，则必须无条件返工至合格，并全额没收履约保证金。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15.5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15.6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.1 乙方保证按ISO9000系列标准或相应的质量管理和质量保证体系，对项目安装、调试、检验等各个环节进行严格的质量和质量控制。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highlight w:val="none"/>
        </w:rPr>
        <w:t>依法向人民法院起诉。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.2 对于因违反或终止合同而引起的损失、损害的赔偿，由甲方与乙方友好协商解决，经协商仍未能达成一致的，依法向人民法院起诉。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 其他</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账号：</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）。关于中小企业信用融资事项可可在“政采云”平台申请政采贷。</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未经过甲方的书面同意，乙方不得</w:t>
      </w:r>
      <w:r>
        <w:rPr>
          <w:rFonts w:hint="eastAsia" w:ascii="宋体" w:hAnsi="宋体" w:cs="宋体"/>
          <w:kern w:val="0"/>
          <w:sz w:val="24"/>
          <w:highlight w:val="none"/>
          <w:lang w:val="zh-CN"/>
        </w:rPr>
        <w:t>将招标文件未允许的分包内容</w:t>
      </w:r>
      <w:r>
        <w:rPr>
          <w:rFonts w:hint="eastAsia" w:ascii="宋体" w:hAnsi="宋体" w:eastAsia="宋体" w:cs="宋体"/>
          <w:kern w:val="0"/>
          <w:sz w:val="24"/>
          <w:highlight w:val="none"/>
          <w:lang w:val="zh-CN"/>
        </w:rPr>
        <w:t>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rPr>
        <w:t>XHZFCG-2023-G-17</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本合同经甲乙双方法定代表人或其委托人签字盖章，并且乙方向甲方缴纳合同约定金额的履约保证金，合同</w:t>
      </w:r>
      <w:r>
        <w:rPr>
          <w:rFonts w:hint="eastAsia" w:ascii="宋体" w:hAnsi="宋体" w:cs="宋体"/>
          <w:sz w:val="24"/>
          <w:highlight w:val="none"/>
          <w:lang w:eastAsia="zh-CN"/>
        </w:rPr>
        <w:t>由甲方自行</w:t>
      </w:r>
      <w:r>
        <w:rPr>
          <w:rFonts w:hint="eastAsia" w:ascii="宋体" w:hAnsi="宋体" w:eastAsia="宋体" w:cs="宋体"/>
          <w:sz w:val="24"/>
          <w:highlight w:val="none"/>
        </w:rPr>
        <w:t>在政采云平台备案后生效。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1</w:t>
      </w:r>
      <w:r>
        <w:rPr>
          <w:rFonts w:hint="default" w:ascii="宋体" w:hAnsi="宋体" w:cs="宋体"/>
          <w:sz w:val="24"/>
          <w:highlight w:val="none"/>
          <w:lang w:val="en-US"/>
        </w:rPr>
        <w:t>8</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eastAsia="宋体" w:cs="宋体"/>
          <w:b/>
          <w:sz w:val="36"/>
          <w:highlight w:val="none"/>
        </w:rPr>
      </w:pPr>
      <w:r>
        <w:rPr>
          <w:rFonts w:hint="eastAsia" w:ascii="宋体" w:hAnsi="宋体" w:eastAsia="宋体" w:cs="宋体"/>
          <w:sz w:val="24"/>
          <w:highlight w:val="none"/>
        </w:rPr>
        <w:t xml:space="preserve">                                            签约日期：   年   月    日</w:t>
      </w: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395"/>
      <w:r>
        <w:rPr>
          <w:rFonts w:hint="eastAsia" w:cs="宋体" w:asciiTheme="minorEastAsia" w:hAnsiTheme="minorEastAsia" w:eastAsiaTheme="minorEastAsia"/>
          <w:b/>
          <w:sz w:val="36"/>
          <w:szCs w:val="20"/>
          <w:highlight w:val="none"/>
        </w:rPr>
        <w:t xml:space="preserve"> </w:t>
      </w:r>
      <w:bookmarkEnd w:id="396"/>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left"/>
        <w:rPr>
          <w:rFonts w:hint="eastAsia" w:ascii="宋体" w:hAnsi="宋体" w:cs="仿宋_GB2312"/>
          <w:color w:val="auto"/>
          <w:sz w:val="24"/>
          <w:highlight w:val="none"/>
        </w:rPr>
      </w:pPr>
    </w:p>
    <w:p>
      <w:pPr>
        <w:snapToGrid w:val="0"/>
        <w:spacing w:line="360" w:lineRule="auto"/>
        <w:ind w:right="480"/>
        <w:jc w:val="left"/>
        <w:rPr>
          <w:rFonts w:cs="宋体" w:asciiTheme="minorEastAsia" w:hAnsiTheme="minorEastAsia" w:eastAsiaTheme="minorEastAsia"/>
          <w:b/>
          <w:kern w:val="0"/>
          <w:sz w:val="32"/>
          <w:szCs w:val="32"/>
          <w:highlight w:val="none"/>
        </w:rPr>
      </w:pPr>
      <w:r>
        <w:rPr>
          <w:rFonts w:hint="eastAsia" w:ascii="宋体" w:hAnsi="宋体" w:cs="仿宋_GB2312"/>
          <w:color w:val="auto"/>
          <w:sz w:val="24"/>
          <w:highlight w:val="none"/>
        </w:rPr>
        <w:t>注：根据《</w:t>
      </w:r>
      <w:r>
        <w:rPr>
          <w:rFonts w:ascii="宋体" w:hAnsi="宋体" w:cs="仿宋_GB2312"/>
          <w:color w:val="auto"/>
          <w:sz w:val="24"/>
          <w:highlight w:val="none"/>
        </w:rPr>
        <w:t>关于规范政府采购供应商资格设定及资格审查的通知</w:t>
      </w:r>
      <w:r>
        <w:rPr>
          <w:rFonts w:hint="eastAsia" w:ascii="宋体" w:hAnsi="宋体" w:cs="仿宋_GB2312"/>
          <w:color w:val="auto"/>
          <w:sz w:val="24"/>
          <w:highlight w:val="none"/>
        </w:rPr>
        <w:t>》（</w:t>
      </w:r>
      <w:r>
        <w:rPr>
          <w:rFonts w:ascii="宋体" w:hAnsi="宋体" w:cs="仿宋_GB2312"/>
          <w:color w:val="auto"/>
          <w:sz w:val="24"/>
          <w:highlight w:val="none"/>
        </w:rPr>
        <w:t>浙财采监[2013]24号</w:t>
      </w:r>
      <w:r>
        <w:rPr>
          <w:rFonts w:hint="eastAsia" w:ascii="宋体" w:hAnsi="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三、落实政府采购政策需满足的资格要求（如果有）</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firstLine="3614" w:firstLineChars="100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4"/>
          <w:highlight w:val="none"/>
        </w:rPr>
      </w:pP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397" w:name="_Hlk101257010"/>
      <w:r>
        <w:rPr>
          <w:rFonts w:hint="eastAsia" w:cs="宋体" w:asciiTheme="minorEastAsia" w:hAnsiTheme="minorEastAsia" w:eastAsiaTheme="minorEastAsia"/>
          <w:sz w:val="24"/>
          <w:highlight w:val="none"/>
        </w:rPr>
        <w:t>（如果有)</w:t>
      </w:r>
      <w:bookmarkEnd w:id="397"/>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3"/>
        <w:rPr>
          <w:rFonts w:asciiTheme="minorEastAsia" w:hAnsiTheme="minorEastAsia" w:eastAsiaTheme="minorEastAsia"/>
          <w:highlight w:val="none"/>
          <w:lang w:val="en-US"/>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color w:val="auto"/>
          <w:kern w:val="0"/>
          <w:sz w:val="32"/>
          <w:szCs w:val="32"/>
          <w:highlight w:val="none"/>
          <w:u w:val="single"/>
          <w:lang w:val="zh-CN"/>
        </w:rPr>
      </w:pPr>
      <w:r>
        <w:rPr>
          <w:rFonts w:hint="eastAsia" w:ascii="宋体" w:hAnsi="宋体" w:cs="宋体"/>
          <w:b/>
          <w:color w:val="auto"/>
          <w:kern w:val="0"/>
          <w:sz w:val="24"/>
          <w:highlight w:val="none"/>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6"/>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6"/>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right="480"/>
        <w:rPr>
          <w:rFonts w:cs="宋体" w:asciiTheme="minorEastAsia" w:hAnsiTheme="minorEastAsia" w:eastAsiaTheme="minorEastAsia"/>
          <w:b/>
          <w:kern w:val="0"/>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ind w:firstLine="2891" w:firstLineChars="9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六、投标标的清单</w:t>
      </w:r>
    </w:p>
    <w:tbl>
      <w:tblPr>
        <w:tblStyle w:val="62"/>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652"/>
        <w:gridCol w:w="1581"/>
        <w:gridCol w:w="2313"/>
        <w:gridCol w:w="1612"/>
        <w:gridCol w:w="87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581"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sz w:val="24"/>
                <w:highlight w:val="none"/>
              </w:rPr>
            </w:pPr>
          </w:p>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（品牌型号）</w:t>
            </w:r>
          </w:p>
        </w:tc>
        <w:tc>
          <w:tcPr>
            <w:tcW w:w="23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（规格配置详细说明）</w:t>
            </w: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（质保时间）</w:t>
            </w: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进行项目建设或其他经营活动，并通报区财政局。由此引起的相应损失均由我单位承担。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US" w:eastAsia="zh-CN"/>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US" w:eastAsia="zh-CN"/>
        </w:rPr>
        <w:t>中小企业声明函</w:t>
      </w:r>
      <w:r>
        <w:rPr>
          <w:rFonts w:hint="eastAsia" w:cs="宋体" w:asciiTheme="minorEastAsia" w:hAnsiTheme="minorEastAsia" w:eastAsiaTheme="minorEastAsia"/>
          <w:sz w:val="24"/>
          <w:highlight w:val="none"/>
        </w:rPr>
        <w:t>………………………………………………………………（页码）</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rPr>
        <w:t>XHZFCG-2023-G-17】的实施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559"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701"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服务时间</w:t>
            </w:r>
            <w:r>
              <w:rPr>
                <w:rFonts w:hint="eastAsia" w:cs="宋体" w:asciiTheme="minorEastAsia" w:hAnsiTheme="minorEastAsia" w:eastAsiaTheme="minorEastAsia"/>
                <w:b/>
                <w:sz w:val="24"/>
                <w:highlight w:val="none"/>
                <w:lang w:eastAsia="zh-CN"/>
              </w:rPr>
              <w:t>（</w:t>
            </w:r>
            <w:r>
              <w:rPr>
                <w:rFonts w:hint="default" w:cs="宋体" w:asciiTheme="minorEastAsia" w:hAnsiTheme="minorEastAsia" w:eastAsiaTheme="minorEastAsia"/>
                <w:b/>
                <w:sz w:val="24"/>
                <w:highlight w:val="none"/>
                <w:lang w:val="en-US" w:eastAsia="zh-CN"/>
              </w:rPr>
              <w:t>1</w:t>
            </w:r>
            <w:r>
              <w:rPr>
                <w:rFonts w:hint="eastAsia" w:cs="宋体" w:asciiTheme="minorEastAsia" w:hAnsiTheme="minorEastAsia" w:eastAsiaTheme="minorEastAsia"/>
                <w:b/>
                <w:sz w:val="24"/>
                <w:highlight w:val="none"/>
                <w:lang w:eastAsia="zh-CN"/>
              </w:rPr>
              <w:t>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cs="宋体" w:asciiTheme="minorEastAsia" w:hAnsiTheme="minorEastAsia" w:eastAsiaTheme="minorEastAsia"/>
                <w:sz w:val="24"/>
                <w:highlight w:val="none"/>
                <w:lang w:val="en-US"/>
              </w:rPr>
            </w:pPr>
            <w:r>
              <w:rPr>
                <w:rFonts w:hint="default" w:cs="宋体" w:asciiTheme="minorEastAsia" w:hAnsiTheme="minorEastAsia" w:eastAsiaTheme="minorEastAsia"/>
                <w:sz w:val="24"/>
                <w:highlight w:val="none"/>
                <w:lang w:val="en-US"/>
              </w:rPr>
              <w:t>......</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3"/>
              <w:rPr>
                <w:rFonts w:asciiTheme="minorEastAsia" w:hAnsiTheme="minorEastAsia" w:eastAsiaTheme="minorEastAsia"/>
                <w:highlight w:val="none"/>
              </w:rPr>
            </w:pPr>
          </w:p>
        </w:tc>
        <w:tc>
          <w:tcPr>
            <w:tcW w:w="1559"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投标报价（小写）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投标报价（大写）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bl>
    <w:p>
      <w:pPr>
        <w:snapToGrid w:val="0"/>
        <w:spacing w:line="360" w:lineRule="auto"/>
        <w:ind w:left="480"/>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注：</w:t>
      </w:r>
    </w:p>
    <w:p>
      <w:pPr>
        <w:spacing w:line="360" w:lineRule="auto"/>
        <w:ind w:left="-2" w:leftChars="-1"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kern w:val="0"/>
          <w:sz w:val="24"/>
          <w:highlight w:val="none"/>
          <w:lang w:val="zh-CN"/>
        </w:rPr>
        <w:t>。</w:t>
      </w:r>
    </w:p>
    <w:p>
      <w:pPr>
        <w:spacing w:line="360" w:lineRule="auto"/>
        <w:ind w:firstLine="480" w:firstLineChars="200"/>
        <w:rPr>
          <w:rFonts w:hint="eastAsia" w:ascii="宋体" w:hAnsi="宋体" w:cs="宋体"/>
          <w:b/>
          <w:color w:val="auto"/>
          <w:kern w:val="0"/>
          <w:sz w:val="24"/>
          <w:highlight w:val="none"/>
          <w:lang w:val="zh-CN"/>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有关本项目实施所涉及的一切费用均计入报价</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3"/>
        <w:rPr>
          <w:rFonts w:hint="eastAsia" w:ascii="宋体" w:hAnsi="宋体" w:eastAsia="宋体" w:cs="宋体"/>
          <w:b/>
          <w:bCs/>
          <w:color w:val="auto"/>
          <w:kern w:val="0"/>
          <w:sz w:val="24"/>
          <w:szCs w:val="24"/>
          <w:highlight w:val="none"/>
          <w:lang w:val="en-US" w:eastAsia="zh-CN" w:bidi="ar-SA"/>
        </w:rPr>
      </w:pPr>
      <w:r>
        <w:rPr>
          <w:rFonts w:hint="default" w:ascii="宋体" w:hAnsi="宋体" w:cs="宋体"/>
          <w:b/>
          <w:color w:val="auto"/>
          <w:sz w:val="24"/>
          <w:highlight w:val="none"/>
          <w:lang w:val="en-US"/>
        </w:rPr>
        <w:t xml:space="preserve">    3</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特别说明</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供应商报价低于项目预算50%的，应当在报价文件中详细阐述不影响产品质量或者诚信履约的具体原因。</w:t>
      </w:r>
    </w:p>
    <w:p>
      <w:pPr>
        <w:snapToGrid w:val="0"/>
        <w:spacing w:line="360" w:lineRule="auto"/>
        <w:ind w:firstLine="482" w:firstLineChars="200"/>
        <w:jc w:val="left"/>
        <w:rPr>
          <w:rFonts w:hint="default"/>
          <w:color w:val="auto"/>
          <w:highlight w:val="none"/>
          <w:lang w:val="en-US"/>
        </w:rPr>
      </w:pPr>
      <w:r>
        <w:rPr>
          <w:rFonts w:hint="default" w:ascii="宋体" w:hAnsi="宋体" w:cs="宋体"/>
          <w:b/>
          <w:bCs/>
          <w:color w:val="auto"/>
          <w:kern w:val="0"/>
          <w:sz w:val="24"/>
          <w:highlight w:val="none"/>
          <w:lang w:val="en-US"/>
        </w:rPr>
        <w:t>4</w:t>
      </w:r>
      <w:r>
        <w:rPr>
          <w:rFonts w:hint="eastAsia" w:ascii="宋体" w:hAnsi="宋体" w:cs="宋体"/>
          <w:b/>
          <w:bCs/>
          <w:color w:val="auto"/>
          <w:kern w:val="0"/>
          <w:sz w:val="24"/>
          <w:highlight w:val="none"/>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default" w:ascii="宋体" w:hAnsi="宋体" w:cs="宋体"/>
          <w:color w:val="auto"/>
          <w:kern w:val="0"/>
          <w:sz w:val="24"/>
          <w:szCs w:val="22"/>
          <w:highlight w:val="none"/>
          <w:lang w:val="en-US"/>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6480" w:firstLineChars="27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firstLine="1920" w:firstLineChars="800"/>
        <w:rPr>
          <w:rFonts w:hint="eastAsia" w:ascii="宋体" w:hAnsi="宋体" w:eastAsia="宋体" w:cs="宋体"/>
          <w:color w:val="auto"/>
          <w:kern w:val="0"/>
          <w:sz w:val="24"/>
          <w:highlight w:val="none"/>
          <w:lang w:val="en-US" w:eastAsia="zh-CN"/>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w:t>
      </w:r>
      <w:r>
        <w:rPr>
          <w:rFonts w:hint="default" w:ascii="宋体" w:hAnsi="宋体" w:cs="宋体"/>
          <w:color w:val="auto"/>
          <w:kern w:val="0"/>
          <w:sz w:val="24"/>
          <w:highlight w:val="none"/>
          <w:lang w:val="en-US"/>
        </w:rPr>
        <w:t xml:space="preserve">  </w:t>
      </w:r>
      <w:r>
        <w:rPr>
          <w:rFonts w:hint="eastAsia" w:ascii="宋体" w:hAnsi="宋体" w:cs="宋体"/>
          <w:color w:val="auto"/>
          <w:kern w:val="0"/>
          <w:sz w:val="24"/>
          <w:highlight w:val="none"/>
          <w:lang w:val="en-US" w:eastAsia="zh-CN"/>
        </w:rPr>
        <w:t>日</w:t>
      </w: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398" w:name="OLE_LINK13"/>
      <w:bookmarkStart w:id="399" w:name="OLE_LINK14"/>
      <w:r>
        <w:rPr>
          <w:rFonts w:hint="eastAsia" w:cs="宋体" w:asciiTheme="minorEastAsia" w:hAnsiTheme="minorEastAsia" w:eastAsiaTheme="minorEastAsia"/>
          <w:b/>
          <w:spacing w:val="6"/>
          <w:sz w:val="32"/>
          <w:szCs w:val="32"/>
          <w:highlight w:val="none"/>
        </w:rPr>
        <w:t>残疾人福利性单位声明函</w:t>
      </w:r>
    </w:p>
    <w:bookmarkEnd w:id="398"/>
    <w:bookmarkEnd w:id="399"/>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rPr>
        <w:t>_单位的_</w:t>
      </w:r>
      <w:r>
        <w:rPr>
          <w:rFonts w:hint="eastAsia" w:cs="宋体" w:asciiTheme="minorEastAsia" w:hAnsiTheme="minorEastAsia" w:eastAsiaTheme="minorEastAsia"/>
          <w:sz w:val="24"/>
          <w:highlight w:val="none"/>
          <w:u w:val="single"/>
          <w:lang w:eastAsia="zh-CN"/>
        </w:rPr>
        <w:t>2023年西湖区区域医院业务系统平台扩容服务项目的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3"/>
        <w:rPr>
          <w:rFonts w:cs="宋体" w:asciiTheme="minorEastAsia" w:hAnsiTheme="minorEastAsia" w:eastAsiaTheme="minorEastAsia"/>
          <w:b/>
          <w:spacing w:val="6"/>
          <w:sz w:val="32"/>
          <w:szCs w:val="32"/>
          <w:highlight w:val="none"/>
        </w:rPr>
      </w:pPr>
    </w:p>
    <w:p>
      <w:pPr>
        <w:rPr>
          <w:rFonts w:cs="宋体" w:asciiTheme="minorEastAsia" w:hAnsiTheme="minorEastAsia" w:eastAsiaTheme="minorEastAsia"/>
          <w:b/>
          <w:spacing w:val="6"/>
          <w:sz w:val="32"/>
          <w:szCs w:val="32"/>
          <w:highlight w:val="none"/>
        </w:rPr>
      </w:pPr>
    </w:p>
    <w:p>
      <w:pPr>
        <w:pStyle w:val="3"/>
        <w:rPr>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400"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400"/>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401"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401"/>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402"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402"/>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2023年西湖区区域医院业务系统平台扩容服务项目</w:t>
      </w:r>
      <w:r>
        <w:rPr>
          <w:rFonts w:hint="eastAsia" w:cs="宋体" w:asciiTheme="minorEastAsia" w:hAnsiTheme="minorEastAsia" w:eastAsiaTheme="minorEastAsia"/>
          <w:sz w:val="24"/>
          <w:highlight w:val="none"/>
        </w:rPr>
        <w:t>【招标编号：XHZFCG-2023-G-17】</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3"/>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2023年西湖区区域医院业务系统平台扩容服务项目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5"/>
        </w:numPr>
        <w:spacing w:line="360" w:lineRule="auto"/>
        <w:ind w:firstLine="480" w:firstLineChars="200"/>
        <w:jc w:val="left"/>
        <w:rPr>
          <w:rFonts w:hint="eastAsia" w:cs="宋体" w:asciiTheme="minorEastAsia" w:hAnsiTheme="minorEastAsia" w:eastAsiaTheme="minorEastAsia"/>
          <w:sz w:val="24"/>
          <w:highlight w:val="none"/>
        </w:rPr>
      </w:pPr>
      <w:r>
        <w:rPr>
          <w:rFonts w:hint="eastAsia" w:ascii="宋体" w:hAnsi="宋体" w:cs="宋体"/>
          <w:kern w:val="0"/>
          <w:sz w:val="24"/>
          <w:highlight w:val="none"/>
          <w:u w:val="single"/>
        </w:rPr>
        <w:t>平台扩容服务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eastAsia" w:ascii="宋体" w:hAnsi="宋体" w:cs="宋体"/>
          <w:kern w:val="0"/>
          <w:sz w:val="24"/>
          <w:highlight w:val="none"/>
          <w:u w:val="single"/>
        </w:rPr>
        <w:t>平台扩容服务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3"/>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03" w:name="_Toc131845147"/>
    <w:bookmarkStart w:id="404" w:name="_Toc164085800"/>
    <w:bookmarkStart w:id="405" w:name="_Toc36110187"/>
    <w:bookmarkStart w:id="406" w:name="_Toc91899912"/>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rFonts w:ascii="仿宋_GB2312" w:eastAsia="仿宋_GB2312"/>
        <w:b w:val="0"/>
        <w:i/>
        <w:sz w:val="18"/>
        <w:u w:val="single"/>
        <w:lang w:val="en-US"/>
      </w:rPr>
    </w:pPr>
    <w:r>
      <w:t></w:t>
    </w:r>
    <w:r>
      <w:rPr>
        <w:rFonts w:hint="eastAsia"/>
      </w:rPr>
      <w:t xml:space="preserve">             </w:t>
    </w:r>
    <w:r>
      <w:rPr>
        <w:rFonts w:hint="eastAsia"/>
        <w:sz w:val="18"/>
        <w:szCs w:val="18"/>
        <w:lang w:val="en-US" w:eastAsia="zh-CN"/>
      </w:rPr>
      <w:t>西湖区</w:t>
    </w:r>
    <w:r>
      <w:rPr>
        <w:sz w:val="18"/>
        <w:szCs w:val="18"/>
      </w:rP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西湖区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1"/>
        <w:szCs w:val="21"/>
      </w:rPr>
    </w:pPr>
    <w:r>
      <w:rPr>
        <w:rFonts w:hint="eastAsia" w:ascii="宋体" w:hAnsi="宋体" w:eastAsia="宋体" w:cs="宋体"/>
        <w:sz w:val="21"/>
        <w:szCs w:val="21"/>
        <w:lang w:val="en-US" w:eastAsia="zh-CN"/>
      </w:rPr>
      <w:t>西湖区</w:t>
    </w:r>
    <w:r>
      <w:rPr>
        <w:rFonts w:hint="eastAsia" w:ascii="宋体" w:hAnsi="宋体" w:eastAsia="宋体" w:cs="宋体"/>
        <w:sz w:val="21"/>
        <w:szCs w:val="21"/>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rPr>
        <w:rFonts w:hint="eastAsia"/>
        <w:lang w:eastAsia="zh-CN"/>
      </w:rPr>
      <w:t>西湖区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rPr>
        <w:rFonts w:hint="eastAsia"/>
        <w:lang w:eastAsia="zh-CN"/>
      </w:rPr>
      <w:t>西湖区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515C0"/>
    <w:multiLevelType w:val="multilevel"/>
    <w:tmpl w:val="060515C0"/>
    <w:lvl w:ilvl="0" w:tentative="0">
      <w:start w:val="4"/>
      <w:numFmt w:val="japaneseCounting"/>
      <w:lvlText w:val="%1、"/>
      <w:lvlJc w:val="left"/>
      <w:pPr>
        <w:ind w:left="720" w:hanging="720"/>
      </w:pPr>
      <w:rPr>
        <w:rFonts w:hint="default" w:ascii="宋体" w:hAnsi="宋体" w:eastAsia="宋体"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596350"/>
    <w:multiLevelType w:val="multilevel"/>
    <w:tmpl w:val="135963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2A329A"/>
    <w:multiLevelType w:val="singleLevel"/>
    <w:tmpl w:val="292A329A"/>
    <w:lvl w:ilvl="0" w:tentative="0">
      <w:start w:val="1"/>
      <w:numFmt w:val="decimal"/>
      <w:suff w:val="space"/>
      <w:lvlText w:val="%1."/>
      <w:lvlJc w:val="left"/>
    </w:lvl>
  </w:abstractNum>
  <w:abstractNum w:abstractNumId="3">
    <w:nsid w:val="37F7E2EB"/>
    <w:multiLevelType w:val="singleLevel"/>
    <w:tmpl w:val="37F7E2EB"/>
    <w:lvl w:ilvl="0" w:tentative="0">
      <w:start w:val="8"/>
      <w:numFmt w:val="decimal"/>
      <w:suff w:val="space"/>
      <w:lvlText w:val="%1."/>
      <w:lvlJc w:val="left"/>
    </w:lvl>
  </w:abstractNum>
  <w:abstractNum w:abstractNumId="4">
    <w:nsid w:val="6A3F5121"/>
    <w:multiLevelType w:val="multilevel"/>
    <w:tmpl w:val="6A3F5121"/>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mRmZjBkMzY0Mzc3ZDdhOTViYWQ1OTY3ZmJmMj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75FE"/>
    <w:rsid w:val="019F7441"/>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22EE7"/>
    <w:rsid w:val="042311BA"/>
    <w:rsid w:val="042B157A"/>
    <w:rsid w:val="048F763B"/>
    <w:rsid w:val="049F330E"/>
    <w:rsid w:val="04AA775C"/>
    <w:rsid w:val="04AF1889"/>
    <w:rsid w:val="04ED7DD8"/>
    <w:rsid w:val="04F66F48"/>
    <w:rsid w:val="05251E14"/>
    <w:rsid w:val="053026F6"/>
    <w:rsid w:val="05A16594"/>
    <w:rsid w:val="05A7762D"/>
    <w:rsid w:val="060E5941"/>
    <w:rsid w:val="06110FAF"/>
    <w:rsid w:val="06493CA7"/>
    <w:rsid w:val="065A6178"/>
    <w:rsid w:val="066F1CF3"/>
    <w:rsid w:val="06930BB8"/>
    <w:rsid w:val="07245D42"/>
    <w:rsid w:val="07264C62"/>
    <w:rsid w:val="075E0091"/>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71FF"/>
    <w:rsid w:val="0A5B7E63"/>
    <w:rsid w:val="0AA374A5"/>
    <w:rsid w:val="0AAB7649"/>
    <w:rsid w:val="0ABC5606"/>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20CC"/>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723A9"/>
    <w:rsid w:val="12783358"/>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C24A97"/>
    <w:rsid w:val="1AE4166C"/>
    <w:rsid w:val="1AF06CFB"/>
    <w:rsid w:val="1AF11B8D"/>
    <w:rsid w:val="1B11359C"/>
    <w:rsid w:val="1B2A271F"/>
    <w:rsid w:val="1B53054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5F2FFB"/>
    <w:rsid w:val="236B425F"/>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872A8"/>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244583"/>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A1BD7"/>
    <w:rsid w:val="33E505BB"/>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D5AF6"/>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441DF"/>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8D5986"/>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35328B"/>
    <w:rsid w:val="61421856"/>
    <w:rsid w:val="615227C4"/>
    <w:rsid w:val="61654E3F"/>
    <w:rsid w:val="6182292A"/>
    <w:rsid w:val="619F7F92"/>
    <w:rsid w:val="61F94C26"/>
    <w:rsid w:val="62000E56"/>
    <w:rsid w:val="624F3E49"/>
    <w:rsid w:val="62632286"/>
    <w:rsid w:val="62885958"/>
    <w:rsid w:val="62A44442"/>
    <w:rsid w:val="62F40B65"/>
    <w:rsid w:val="62FC2CFE"/>
    <w:rsid w:val="63024505"/>
    <w:rsid w:val="630B44AB"/>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7284557"/>
    <w:rsid w:val="672F3F24"/>
    <w:rsid w:val="673E055F"/>
    <w:rsid w:val="67551CE3"/>
    <w:rsid w:val="67A22552"/>
    <w:rsid w:val="67B22DCC"/>
    <w:rsid w:val="67BE71AA"/>
    <w:rsid w:val="67D90273"/>
    <w:rsid w:val="67DE5875"/>
    <w:rsid w:val="67E55852"/>
    <w:rsid w:val="67EB1AB4"/>
    <w:rsid w:val="67FA1285"/>
    <w:rsid w:val="684A75E9"/>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5D358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164FD3"/>
    <w:rsid w:val="77340A39"/>
    <w:rsid w:val="77351FD0"/>
    <w:rsid w:val="77472422"/>
    <w:rsid w:val="776035B6"/>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next w:val="24"/>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45685</Words>
  <Characters>47560</Characters>
  <Lines>460</Lines>
  <Paragraphs>129</Paragraphs>
  <TotalTime>18</TotalTime>
  <ScaleCrop>false</ScaleCrop>
  <LinksUpToDate>false</LinksUpToDate>
  <CharactersWithSpaces>52635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杳</cp:lastModifiedBy>
  <cp:lastPrinted>2021-12-27T03:06:00Z</cp:lastPrinted>
  <dcterms:modified xsi:type="dcterms:W3CDTF">2023-05-22T05:40:12Z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7D9E59B6FF8D4E37B89B71D3C06881A6</vt:lpwstr>
  </property>
</Properties>
</file>