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7F7F7"/>
        <w:spacing w:before="0" w:beforeAutospacing="0" w:after="0" w:afterAutospacing="0"/>
        <w:ind w:left="0" w:right="0" w:firstLine="0"/>
        <w:jc w:val="both"/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hint="default" w:ascii="微软雅黑" w:hAnsi="微软雅黑" w:eastAsia="微软雅黑" w:cs="微软雅黑"/>
          <w:b w:val="0"/>
          <w:i w:val="0"/>
          <w:caps w:val="0"/>
          <w:color w:val="000000" w:themeColor="text1"/>
          <w:spacing w:val="0"/>
          <w:sz w:val="24"/>
          <w:szCs w:val="24"/>
          <w:shd w:val="clear" w:fill="F7F7F7"/>
          <w14:textFill>
            <w14:solidFill>
              <w14:schemeClr w14:val="tx1"/>
            </w14:solidFill>
          </w14:textFill>
        </w:rPr>
        <w:t>表01</w:t>
      </w:r>
    </w:p>
    <w:tbl>
      <w:tblPr>
        <w:tblStyle w:val="5"/>
        <w:tblW w:w="8640" w:type="dxa"/>
        <w:tblCellSpacing w:w="1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7F7F7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2011"/>
        <w:gridCol w:w="2039"/>
        <w:gridCol w:w="1265"/>
        <w:gridCol w:w="2127"/>
        <w:gridCol w:w="119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7F7F7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858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bookmarkStart w:id="0" w:name="_GoBack"/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2017年收支预算总表</w:t>
            </w:r>
            <w:bookmarkEnd w:id="0"/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0" w:hRule="atLeast"/>
          <w:tblCellSpacing w:w="15" w:type="dxa"/>
        </w:trPr>
        <w:tc>
          <w:tcPr>
            <w:tcW w:w="739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单位名称：西溪街道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nil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单位：万元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0" w:hRule="atLeast"/>
          <w:tblCellSpacing w:w="15" w:type="dxa"/>
        </w:trPr>
        <w:tc>
          <w:tcPr>
            <w:tcW w:w="4005" w:type="dxa"/>
            <w:gridSpan w:val="2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收入</w:t>
            </w:r>
          </w:p>
        </w:tc>
        <w:tc>
          <w:tcPr>
            <w:tcW w:w="4545" w:type="dxa"/>
            <w:gridSpan w:val="3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5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年初预算</w:t>
            </w:r>
          </w:p>
        </w:tc>
        <w:tc>
          <w:tcPr>
            <w:tcW w:w="123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功能科目代码</w:t>
            </w:r>
          </w:p>
        </w:tc>
        <w:tc>
          <w:tcPr>
            <w:tcW w:w="2097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项目</w:t>
            </w:r>
          </w:p>
        </w:tc>
        <w:tc>
          <w:tcPr>
            <w:tcW w:w="1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D3D3D3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Style w:val="4"/>
                <w:rFonts w:hint="default" w:ascii="微软雅黑" w:hAnsi="微软雅黑" w:eastAsia="微软雅黑" w:cs="微软雅黑"/>
                <w:b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年初预算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一、财政拨款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14,274.18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一般公共服务支出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1,442.94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一般公共预算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14,274.18</w:t>
            </w: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人大事务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政府性基金预算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2010102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一般行政管理事务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二、专户资金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20103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政府办公厅(室)及相关机构事务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971.94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三、事业收入(不含专户资金)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2010301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行政运行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842.94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2010302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一般行政管理事务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20105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统计信息事务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2010507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专项普查活动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2010599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其他统计信息事务支出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20111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纪检监察事务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2011199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其他纪检监察事务支出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20113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商贸事务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2011308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招商引资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160.00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20129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群众团体事务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2012999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其他群众团体事务支出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20199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其他一般公共服务支出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2019999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其他一般公共服务支出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203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国防支出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20399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其他国防支出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2039901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其他国防支出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204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公共安全支出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1,262.60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20401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武装警察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2040103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消防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20402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公安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2040204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治安管理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20406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司法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2040699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其他司法支出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253.50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20499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其他公共安全支出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2049901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其他公共安全支出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655.10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教育支出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20502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普通教育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2050201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学前教育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531.00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206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科学技术支出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380.00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20607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科学技术普及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2060702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科普活动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20699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其他科学技术支出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2069999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其他科学技术支出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375.00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207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文化体育与传媒支出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20701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文化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2070109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群众文化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124.00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208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社会保障和就业支出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1,034.48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人力资源和社会保障管理事务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2080199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其他人力资源和社会保障管理事务支出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47.00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20802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民政管理事务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366.69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2080205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老龄事务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249.00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2080299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其他民政管理事务支出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117.69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20805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行政事业单位离退休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347.44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2080502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事业单位离退休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1.96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2080504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未归口管理的行政单位离退休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31.91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2080505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机关事业单位基本养老保险缴费支出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81.63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2080506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机关事业单位职业年金缴费支出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31.94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2080507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对机关事业单位基本养老保险基金的补助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20807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就业补助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2080705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公益性岗位补贴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2080799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其他就业补助支出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20808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抚恤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2080899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其他优抚支出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20811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残疾人事业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2081199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其他残疾人事业支出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36.35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20825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其他生活救助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2082501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其他城市生活救助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210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医疗卫生与计划生育支出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686.00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21004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公共卫生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2100408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基本公共卫生服务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2100499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其他公共卫生支出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45.00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21007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计划生育事务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2100799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其他计划生育事务支出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84.80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21011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行政事业单位医疗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56.20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2101101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行政单位医疗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32.26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2101102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事业单位医疗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23.94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212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城乡社区支出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5,713.17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21201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城乡社区管理事务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2120199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其他城乡社区管理事务支出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21203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城乡社区公共设施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2120399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其他城乡社区公共设施支出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21205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城乡社区环境卫生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2120501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城乡社区环境卫生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21299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其他城乡社区支出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5,408.17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2129999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其他城乡社区支出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5,408.17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213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农林水支出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21305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扶贫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2130599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其他扶贫支出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125.00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215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资源勘探信息等支出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2,240.00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21506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安全生产监管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2150699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其他安全生产监管支出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90.00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21508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支持中小企业发展和管理支出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2150805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中小企业发展专项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2,150.00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227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预备费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22799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预备费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229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其他支出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22999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其他支出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2299901</w:t>
            </w: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其他支出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righ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500.00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本年收入合计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14,274.18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本年支出合计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14,274.18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四、用事业基金弥补收支差额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五、上年结转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bottom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结转下年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其中：专项结转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政府性基金结转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left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           其他结转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23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2097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jc w:val="both"/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0" w:hRule="atLeast"/>
          <w:tblCellSpacing w:w="15" w:type="dxa"/>
        </w:trPr>
        <w:tc>
          <w:tcPr>
            <w:tcW w:w="1966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收入总计：</w:t>
            </w:r>
          </w:p>
        </w:tc>
        <w:tc>
          <w:tcPr>
            <w:tcW w:w="2009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14,274.18</w:t>
            </w:r>
          </w:p>
        </w:tc>
        <w:tc>
          <w:tcPr>
            <w:tcW w:w="3362" w:type="dxa"/>
            <w:gridSpan w:val="2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支出合计：</w:t>
            </w:r>
          </w:p>
        </w:tc>
        <w:tc>
          <w:tcPr>
            <w:tcW w:w="1153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 w:color="auto" w:fill="F7F7F7"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/>
              <w:ind w:left="0" w:right="0"/>
              <w:jc w:val="center"/>
              <w:textAlignment w:val="center"/>
              <w:rPr>
                <w:color w:val="000000" w:themeColor="text1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default" w:ascii="微软雅黑" w:hAnsi="微软雅黑" w:eastAsia="微软雅黑" w:cs="微软雅黑"/>
                <w:b w:val="0"/>
                <w:i w:val="0"/>
                <w:caps w:val="0"/>
                <w:color w:val="000000" w:themeColor="text1"/>
                <w:spacing w:val="0"/>
                <w:sz w:val="18"/>
                <w:szCs w:val="18"/>
                <w14:textFill>
                  <w14:solidFill>
                    <w14:schemeClr w14:val="tx1"/>
                  </w14:solidFill>
                </w14:textFill>
              </w:rPr>
              <w:t>14,274.18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6595677"/>
    <w:rsid w:val="4659567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2018-07-30T03:11:00Z</dcterms:created>
  <dc:creator>锦衣夜行</dc:creator>
  <cp:lastModifiedBy>锦衣夜行</cp:lastModifiedBy>
  <dcterms:modified xsi:type="dcterms:W3CDTF">2018-07-30T03:11:55Z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2052-10.1.0.7468</vt:lpwstr>
  </property>
</Properties>
</file>