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p>
    <w:p>
      <w:pPr>
        <w:adjustRightInd/>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b/>
          <w:sz w:val="44"/>
          <w:szCs w:val="44"/>
          <w:highlight w:val="none"/>
        </w:rPr>
      </w:pPr>
    </w:p>
    <w:p>
      <w:pPr>
        <w:adjustRightInd/>
        <w:spacing w:line="360" w:lineRule="auto"/>
        <w:jc w:val="center"/>
        <w:rPr>
          <w:rFonts w:cs="宋体" w:asciiTheme="minorEastAsia" w:hAnsiTheme="minorEastAsia" w:eastAsiaTheme="minorEastAsia"/>
          <w:b/>
          <w:sz w:val="48"/>
          <w:szCs w:val="48"/>
          <w:highlight w:val="none"/>
        </w:rPr>
      </w:pPr>
    </w:p>
    <w:p>
      <w:pPr>
        <w:adjustRightInd/>
        <w:spacing w:line="360" w:lineRule="auto"/>
        <w:jc w:val="center"/>
        <w:rPr>
          <w:rFonts w:hint="eastAsia" w:cs="宋体" w:asciiTheme="minorEastAsia" w:hAnsiTheme="minorEastAsia" w:eastAsiaTheme="minorEastAsia"/>
          <w:b/>
          <w:bCs/>
          <w:sz w:val="48"/>
          <w:szCs w:val="48"/>
          <w:highlight w:val="none"/>
          <w:lang w:eastAsia="zh-CN"/>
        </w:rPr>
      </w:pPr>
      <w:r>
        <w:rPr>
          <w:rFonts w:hint="eastAsia" w:cs="宋体" w:asciiTheme="minorEastAsia" w:hAnsiTheme="minorEastAsia" w:eastAsiaTheme="minorEastAsia"/>
          <w:b/>
          <w:bCs/>
          <w:sz w:val="48"/>
          <w:szCs w:val="48"/>
          <w:highlight w:val="none"/>
          <w:lang w:eastAsia="zh-CN"/>
        </w:rPr>
        <w:t>“民呼我为”西湖区一体化智治平台项目二期建设项目</w:t>
      </w:r>
    </w:p>
    <w:p>
      <w:pPr>
        <w:pStyle w:val="5"/>
        <w:rPr>
          <w:rFonts w:hint="eastAsia"/>
          <w:highlight w:val="none"/>
          <w:lang w:eastAsia="zh-CN"/>
        </w:rPr>
      </w:pPr>
    </w:p>
    <w:p>
      <w:pPr>
        <w:adjustRightInd/>
        <w:spacing w:line="360" w:lineRule="auto"/>
        <w:jc w:val="center"/>
        <w:rPr>
          <w:rFonts w:cs="宋体" w:asciiTheme="minorEastAsia" w:hAnsiTheme="minorEastAsia" w:eastAsiaTheme="minorEastAsia"/>
          <w:sz w:val="48"/>
          <w:szCs w:val="48"/>
          <w:highlight w:val="none"/>
        </w:rPr>
      </w:pPr>
      <w:r>
        <w:rPr>
          <w:rFonts w:hint="eastAsia" w:cs="宋体" w:asciiTheme="minorEastAsia" w:hAnsiTheme="minorEastAsia" w:eastAsiaTheme="minorEastAsia"/>
          <w:sz w:val="48"/>
          <w:szCs w:val="48"/>
          <w:highlight w:val="none"/>
        </w:rPr>
        <w:t xml:space="preserve">招标文件 </w:t>
      </w:r>
    </w:p>
    <w:p>
      <w:pPr>
        <w:adjustRightInd/>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（电子招投标）</w:t>
      </w:r>
    </w:p>
    <w:p>
      <w:pPr>
        <w:snapToGrid w:val="0"/>
        <w:spacing w:line="360" w:lineRule="auto"/>
        <w:jc w:val="center"/>
        <w:rPr>
          <w:rFonts w:cs="宋体" w:asciiTheme="minorEastAsia" w:hAnsiTheme="minorEastAsia" w:eastAsiaTheme="minorEastAsia"/>
          <w:sz w:val="30"/>
          <w:szCs w:val="30"/>
          <w:highlight w:val="none"/>
        </w:rPr>
      </w:pPr>
      <w:r>
        <w:rPr>
          <w:rFonts w:hint="eastAsia" w:cs="宋体" w:asciiTheme="minorEastAsia" w:hAnsiTheme="minorEastAsia" w:eastAsiaTheme="minorEastAsia"/>
          <w:sz w:val="30"/>
          <w:szCs w:val="30"/>
          <w:highlight w:val="none"/>
        </w:rPr>
        <w:t>编号:XHZFCG-2023-G-16</w:t>
      </w:r>
    </w:p>
    <w:p>
      <w:pPr>
        <w:adjustRightInd/>
        <w:spacing w:line="360" w:lineRule="auto"/>
        <w:rPr>
          <w:rFonts w:cs="宋体" w:asciiTheme="minorEastAsia" w:hAnsiTheme="minorEastAsia" w:eastAsiaTheme="minorEastAsia"/>
          <w:sz w:val="28"/>
          <w:szCs w:val="20"/>
          <w:highlight w:val="none"/>
        </w:rPr>
      </w:pPr>
    </w:p>
    <w:p>
      <w:pPr>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w:t>
      </w:r>
    </w:p>
    <w:p>
      <w:pPr>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sz w:val="24"/>
          <w:highlight w:val="none"/>
        </w:rPr>
      </w:pPr>
    </w:p>
    <w:p>
      <w:pPr>
        <w:spacing w:line="360" w:lineRule="auto"/>
        <w:jc w:val="center"/>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32"/>
          <w:szCs w:val="32"/>
          <w:highlight w:val="none"/>
        </w:rPr>
      </w:pPr>
    </w:p>
    <w:p>
      <w:pPr>
        <w:snapToGrid w:val="0"/>
        <w:spacing w:line="360" w:lineRule="auto"/>
        <w:jc w:val="center"/>
        <w:rPr>
          <w:rFonts w:hint="eastAsia" w:cs="宋体" w:asciiTheme="minorEastAsia" w:hAnsiTheme="minorEastAsia" w:eastAsiaTheme="minorEastAsia"/>
          <w:sz w:val="32"/>
          <w:szCs w:val="32"/>
          <w:highlight w:val="none"/>
          <w:lang w:eastAsia="zh-CN"/>
        </w:rPr>
      </w:pPr>
      <w:r>
        <w:rPr>
          <w:rFonts w:hint="eastAsia" w:cs="宋体" w:asciiTheme="minorEastAsia" w:hAnsiTheme="minorEastAsia" w:eastAsiaTheme="minorEastAsia"/>
          <w:sz w:val="32"/>
          <w:szCs w:val="32"/>
          <w:highlight w:val="none"/>
          <w:lang w:eastAsia="zh-CN"/>
        </w:rPr>
        <w:t>中共杭州市西湖区委政法委员会</w:t>
      </w:r>
    </w:p>
    <w:p>
      <w:pPr>
        <w:spacing w:line="360" w:lineRule="auto"/>
        <w:jc w:val="center"/>
        <w:rPr>
          <w:rFonts w:hint="eastAsia" w:cs="宋体" w:asciiTheme="minorEastAsia" w:hAnsiTheme="minorEastAsia" w:eastAsiaTheme="minorEastAsia"/>
          <w:bCs/>
          <w:sz w:val="32"/>
          <w:szCs w:val="32"/>
          <w:highlight w:val="none"/>
          <w:lang w:eastAsia="zh-CN"/>
        </w:rPr>
      </w:pPr>
      <w:r>
        <w:rPr>
          <w:rFonts w:hint="eastAsia" w:cs="宋体" w:asciiTheme="minorEastAsia" w:hAnsiTheme="minorEastAsia" w:eastAsiaTheme="minorEastAsia"/>
          <w:bCs/>
          <w:sz w:val="32"/>
          <w:szCs w:val="32"/>
          <w:highlight w:val="none"/>
          <w:lang w:eastAsia="zh-CN"/>
        </w:rPr>
        <w:t>杭州市西湖区政府采购中心</w:t>
      </w:r>
    </w:p>
    <w:p>
      <w:pPr>
        <w:snapToGrid w:val="0"/>
        <w:spacing w:line="360" w:lineRule="auto"/>
        <w:jc w:val="center"/>
        <w:rPr>
          <w:rFonts w:cs="宋体" w:asciiTheme="minorEastAsia" w:hAnsiTheme="minorEastAsia" w:eastAsiaTheme="minorEastAsia"/>
          <w:bCs/>
          <w:sz w:val="32"/>
          <w:szCs w:val="32"/>
          <w:highlight w:val="none"/>
        </w:rPr>
      </w:pPr>
      <w:r>
        <w:rPr>
          <w:rFonts w:hint="eastAsia" w:cs="宋体" w:asciiTheme="minorEastAsia" w:hAnsiTheme="minorEastAsia" w:eastAsiaTheme="minorEastAsia"/>
          <w:bCs/>
          <w:sz w:val="32"/>
          <w:szCs w:val="32"/>
          <w:highlight w:val="none"/>
        </w:rPr>
        <w:t>二〇二三年</w:t>
      </w:r>
      <w:r>
        <w:rPr>
          <w:rFonts w:hint="eastAsia" w:cs="宋体" w:asciiTheme="minorEastAsia" w:hAnsiTheme="minorEastAsia" w:eastAsiaTheme="minorEastAsia"/>
          <w:bCs/>
          <w:sz w:val="32"/>
          <w:szCs w:val="32"/>
          <w:highlight w:val="none"/>
          <w:lang w:eastAsia="zh-CN"/>
        </w:rPr>
        <w:t>五</w:t>
      </w:r>
      <w:r>
        <w:rPr>
          <w:rFonts w:hint="eastAsia" w:cs="宋体" w:asciiTheme="minorEastAsia" w:hAnsiTheme="minorEastAsia" w:eastAsiaTheme="minorEastAsia"/>
          <w:bCs/>
          <w:sz w:val="32"/>
          <w:szCs w:val="32"/>
          <w:highlight w:val="none"/>
        </w:rPr>
        <w:t>月</w:t>
      </w:r>
      <w:r>
        <w:rPr>
          <w:rFonts w:hint="eastAsia" w:cs="宋体" w:asciiTheme="minorEastAsia" w:hAnsiTheme="minorEastAsia" w:eastAsiaTheme="minorEastAsia"/>
          <w:bCs/>
          <w:sz w:val="32"/>
          <w:szCs w:val="32"/>
          <w:highlight w:val="none"/>
          <w:lang w:eastAsia="zh-CN"/>
        </w:rPr>
        <w:t>十</w:t>
      </w:r>
      <w:r>
        <w:rPr>
          <w:rFonts w:hint="eastAsia" w:cs="宋体" w:asciiTheme="minorEastAsia" w:hAnsiTheme="minorEastAsia" w:eastAsiaTheme="minorEastAsia"/>
          <w:bCs/>
          <w:sz w:val="32"/>
          <w:szCs w:val="32"/>
          <w:highlight w:val="none"/>
          <w:lang w:val="en-US" w:eastAsia="zh-CN"/>
        </w:rPr>
        <w:t>八</w:t>
      </w:r>
      <w:r>
        <w:rPr>
          <w:rFonts w:hint="eastAsia" w:cs="宋体" w:asciiTheme="minorEastAsia" w:hAnsiTheme="minorEastAsia" w:eastAsiaTheme="minorEastAsia"/>
          <w:bCs/>
          <w:color w:val="auto"/>
          <w:sz w:val="32"/>
          <w:szCs w:val="32"/>
          <w:highlight w:val="none"/>
        </w:rPr>
        <w:t>日</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br w:type="page"/>
      </w:r>
      <w:bookmarkStart w:id="0" w:name="_Hlt67893495"/>
      <w:bookmarkEnd w:id="0"/>
    </w:p>
    <w:p>
      <w:pPr>
        <w:pStyle w:val="635"/>
        <w:rPr>
          <w:rFonts w:asciiTheme="minorEastAsia" w:hAnsiTheme="minorEastAsia" w:eastAsiaTheme="minorEastAsia"/>
          <w:highlight w:val="none"/>
        </w:rPr>
      </w:pPr>
    </w:p>
    <w:p>
      <w:pPr>
        <w:spacing w:line="360" w:lineRule="auto"/>
        <w:jc w:val="center"/>
        <w:rPr>
          <w:rFonts w:cs="宋体" w:asciiTheme="minorEastAsia" w:hAnsiTheme="minorEastAsia" w:eastAsiaTheme="minorEastAsia"/>
          <w:b/>
          <w:sz w:val="48"/>
          <w:szCs w:val="48"/>
          <w:highlight w:val="none"/>
        </w:rPr>
      </w:pPr>
      <w:r>
        <w:rPr>
          <w:rFonts w:hint="eastAsia" w:cs="宋体" w:asciiTheme="minorEastAsia" w:hAnsiTheme="minorEastAsia" w:eastAsiaTheme="minorEastAsia"/>
          <w:b/>
          <w:sz w:val="48"/>
          <w:szCs w:val="48"/>
          <w:highlight w:val="none"/>
        </w:rPr>
        <w:t>目  录</w:t>
      </w:r>
    </w:p>
    <w:p>
      <w:pPr>
        <w:spacing w:line="360" w:lineRule="auto"/>
        <w:rPr>
          <w:rFonts w:cs="宋体" w:asciiTheme="minorEastAsia" w:hAnsiTheme="minorEastAsia" w:eastAsiaTheme="minorEastAsia"/>
          <w:sz w:val="32"/>
          <w:szCs w:val="32"/>
          <w:highlight w:val="none"/>
        </w:rPr>
      </w:pPr>
    </w:p>
    <w:p>
      <w:pPr>
        <w:spacing w:line="360" w:lineRule="auto"/>
        <w:rPr>
          <w:rFonts w:cs="宋体" w:asciiTheme="minorEastAsia" w:hAnsiTheme="minorEastAsia" w:eastAsiaTheme="minorEastAsia"/>
          <w:sz w:val="32"/>
          <w:szCs w:val="32"/>
          <w:highlight w:val="none"/>
        </w:rPr>
      </w:pP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第一部分      招标公告</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第二部分      投标人须知</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第三部分      采购需求</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第四部分      评标办法</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第五部分      拟签订的合同文本</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第六部分      应提交的有关格式范例</w:t>
      </w:r>
    </w:p>
    <w:p>
      <w:pPr>
        <w:spacing w:line="360" w:lineRule="auto"/>
        <w:ind w:firstLine="549" w:firstLineChars="229"/>
        <w:rPr>
          <w:rFonts w:cs="宋体" w:asciiTheme="minorEastAsia" w:hAnsiTheme="minorEastAsia" w:eastAsiaTheme="minorEastAsia"/>
          <w:sz w:val="24"/>
          <w:highlight w:val="none"/>
        </w:rPr>
      </w:pPr>
      <w:bookmarkStart w:id="1" w:name="_Hlt91233176"/>
      <w:bookmarkEnd w:id="1"/>
      <w:bookmarkStart w:id="2" w:name="_Toc91899869"/>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cs="宋体" w:asciiTheme="minorEastAsia" w:hAnsiTheme="minorEastAsia" w:eastAsiaTheme="minorEastAsia"/>
          <w:b/>
          <w:sz w:val="36"/>
          <w:szCs w:val="36"/>
          <w:highlight w:val="none"/>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“民呼我为”西湖区一体化智治平台项目二期建设项目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sz w:val="24"/>
          <w:highlight w:val="none"/>
          <w:u w:val="single"/>
        </w:rPr>
        <w:t>20</w:t>
      </w:r>
      <w:r>
        <w:rPr>
          <w:rFonts w:hint="default" w:ascii="宋体" w:hAnsi="宋体" w:cs="宋体"/>
          <w:sz w:val="24"/>
          <w:highlight w:val="none"/>
          <w:u w:val="single"/>
          <w:lang w:val="en-US"/>
        </w:rPr>
        <w:t>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6</w:t>
      </w:r>
      <w:r>
        <w:rPr>
          <w:rFonts w:hint="eastAsia" w:ascii="宋体" w:hAnsi="宋体" w:cs="宋体"/>
          <w:sz w:val="24"/>
          <w:highlight w:val="none"/>
          <w:u w:val="single"/>
        </w:rPr>
        <w:t>月</w:t>
      </w:r>
      <w:r>
        <w:rPr>
          <w:rFonts w:hint="default" w:ascii="宋体" w:hAnsi="宋体" w:cs="宋体"/>
          <w:sz w:val="24"/>
          <w:highlight w:val="none"/>
          <w:u w:val="single"/>
          <w:lang w:val="en-US"/>
        </w:rPr>
        <w:t>8</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lang w:eastAsia="zh-CN"/>
        </w:rPr>
        <w:t>XHZFCG-2023-G-16</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sz w:val="24"/>
          <w:highlight w:val="none"/>
          <w:lang w:eastAsia="zh-CN"/>
        </w:rPr>
        <w:t>“民呼我为”西湖区一体化智治平台项目二期建设项目</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w:t>
      </w:r>
      <w:r>
        <w:rPr>
          <w:rFonts w:hint="eastAsia" w:ascii="宋体" w:hAnsi="宋体" w:cs="宋体"/>
          <w:b/>
          <w:sz w:val="24"/>
          <w:highlight w:val="none"/>
        </w:rPr>
        <w:t xml:space="preserve"> 预算金额：</w:t>
      </w:r>
      <w:r>
        <w:rPr>
          <w:rFonts w:hint="eastAsia" w:ascii="宋体" w:hAnsi="宋体" w:cs="宋体"/>
          <w:sz w:val="24"/>
          <w:highlight w:val="none"/>
        </w:rPr>
        <w:t xml:space="preserve">  </w:t>
      </w:r>
      <w:r>
        <w:rPr>
          <w:rFonts w:hint="default" w:ascii="宋体" w:hAnsi="宋体" w:cs="宋体"/>
          <w:sz w:val="24"/>
          <w:highlight w:val="none"/>
          <w:lang w:val="en-US" w:eastAsia="zh-CN"/>
        </w:rPr>
        <w:t>9016000</w:t>
      </w:r>
      <w:r>
        <w:rPr>
          <w:rFonts w:hint="eastAsia" w:ascii="宋体" w:hAnsi="宋体" w:cs="宋体"/>
          <w:b w:val="0"/>
          <w:bCs/>
          <w:sz w:val="24"/>
          <w:highlight w:val="none"/>
        </w:rPr>
        <w:t>元</w:t>
      </w:r>
    </w:p>
    <w:p>
      <w:pPr>
        <w:spacing w:line="360" w:lineRule="auto"/>
        <w:ind w:firstLine="480"/>
        <w:rPr>
          <w:rFonts w:hint="default" w:ascii="宋体" w:hAnsi="宋体" w:cs="宋体"/>
          <w:sz w:val="24"/>
          <w:highlight w:val="none"/>
          <w:lang w:val="en-US"/>
        </w:rPr>
      </w:pPr>
      <w:r>
        <w:rPr>
          <w:rFonts w:hint="eastAsia" w:ascii="宋体" w:hAnsi="宋体" w:cs="宋体"/>
          <w:b/>
          <w:sz w:val="24"/>
          <w:highlight w:val="none"/>
        </w:rPr>
        <w:t>最高限价：</w:t>
      </w:r>
      <w:r>
        <w:rPr>
          <w:rFonts w:hint="eastAsia" w:ascii="宋体" w:hAnsi="宋体" w:cs="宋体"/>
          <w:sz w:val="24"/>
          <w:highlight w:val="none"/>
        </w:rPr>
        <w:t xml:space="preserve">  </w:t>
      </w:r>
      <w:r>
        <w:rPr>
          <w:rFonts w:hint="default" w:ascii="宋体" w:hAnsi="宋体" w:cs="宋体"/>
          <w:sz w:val="24"/>
          <w:highlight w:val="none"/>
          <w:lang w:val="en-US" w:eastAsia="zh-CN"/>
        </w:rPr>
        <w:t>9016000</w:t>
      </w:r>
      <w:r>
        <w:rPr>
          <w:rFonts w:hint="eastAsia" w:ascii="宋体" w:hAnsi="宋体" w:cs="宋体"/>
          <w:b w:val="0"/>
          <w:bCs/>
          <w:sz w:val="24"/>
          <w:highlight w:val="none"/>
        </w:rPr>
        <w:t>元</w:t>
      </w:r>
    </w:p>
    <w:p>
      <w:pPr>
        <w:pStyle w:val="7"/>
        <w:spacing w:line="360" w:lineRule="auto"/>
        <w:ind w:firstLine="480"/>
        <w:rPr>
          <w:rFonts w:hint="eastAsia"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 w:val="0"/>
          <w:bCs/>
          <w:color w:val="auto"/>
          <w:sz w:val="24"/>
          <w:highlight w:val="none"/>
        </w:rPr>
        <w:t>西湖区一体化智治平台二期采购项目，项目包括政务中台、</w:t>
      </w:r>
      <w:r>
        <w:rPr>
          <w:rFonts w:hint="eastAsia" w:hAnsi="宋体" w:cs="宋体"/>
          <w:b w:val="0"/>
          <w:bCs/>
          <w:color w:val="auto"/>
          <w:sz w:val="24"/>
          <w:highlight w:val="none"/>
          <w:lang w:eastAsia="zh-CN"/>
        </w:rPr>
        <w:t>基层智治领导驾驶舱</w:t>
      </w:r>
      <w:r>
        <w:rPr>
          <w:rFonts w:hint="eastAsia" w:hAnsi="宋体" w:cs="宋体"/>
          <w:b w:val="0"/>
          <w:bCs/>
          <w:color w:val="auto"/>
          <w:sz w:val="24"/>
          <w:highlight w:val="none"/>
        </w:rPr>
        <w:t>、基层智治综合应用、社会协作执行端、网格智能应用（掌上基层2.0）、应用场景建设、数据资源体系、测评服务等，并提供不少于1年（含）7*24小时的售后技术服务及系统质保服务。详见招标文件第三部分采购需求。</w:t>
      </w:r>
    </w:p>
    <w:p>
      <w:pPr>
        <w:pStyle w:val="129"/>
        <w:ind w:firstLine="482"/>
        <w:outlineLvl w:val="2"/>
        <w:rPr>
          <w:rFonts w:hint="default" w:ascii="宋体" w:hAnsi="宋体" w:eastAsia="宋体" w:cs="宋体"/>
          <w:highlight w:val="none"/>
          <w:lang w:val="en-US" w:eastAsia="zh-CN"/>
        </w:rPr>
      </w:pPr>
      <w:r>
        <w:rPr>
          <w:rFonts w:hint="eastAsia" w:ascii="宋体" w:hAnsi="宋体" w:cs="宋体"/>
          <w:b/>
          <w:highlight w:val="none"/>
        </w:rPr>
        <w:t>合同履约期限：</w:t>
      </w:r>
      <w:r>
        <w:rPr>
          <w:rFonts w:hint="eastAsia" w:ascii="宋体" w:hAnsi="宋体" w:cs="宋体"/>
          <w:bCs/>
          <w:color w:val="auto"/>
          <w:szCs w:val="24"/>
        </w:rPr>
        <w:t>合同签订</w:t>
      </w:r>
      <w:r>
        <w:rPr>
          <w:rFonts w:hint="eastAsia" w:ascii="宋体" w:hAnsi="宋体" w:cs="宋体"/>
          <w:bCs/>
          <w:color w:val="auto"/>
        </w:rPr>
        <w:t>之日起</w:t>
      </w:r>
      <w:r>
        <w:rPr>
          <w:rFonts w:hint="eastAsia" w:ascii="宋体" w:hAnsi="宋体" w:cs="宋体"/>
          <w:bCs/>
          <w:color w:val="auto"/>
          <w:lang w:val="en-US" w:eastAsia="zh-CN"/>
        </w:rPr>
        <w:t>1</w:t>
      </w:r>
      <w:r>
        <w:rPr>
          <w:rFonts w:hint="eastAsia" w:ascii="宋体" w:hAnsi="宋体" w:cs="宋体"/>
          <w:bCs/>
          <w:color w:val="auto"/>
        </w:rPr>
        <w:t>年。</w:t>
      </w:r>
    </w:p>
    <w:p>
      <w:pPr>
        <w:pStyle w:val="7"/>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sz w:val="24"/>
          <w:highlight w:val="none"/>
        </w:rPr>
        <w:t>无</w:t>
      </w:r>
      <w:r>
        <w:rPr>
          <w:rFonts w:hint="eastAsia" w:ascii="宋体" w:hAnsi="宋体" w:cs="宋体"/>
          <w:snapToGrid w:val="0"/>
          <w:kern w:val="28"/>
          <w:sz w:val="24"/>
          <w:szCs w:val="20"/>
          <w:highlight w:val="none"/>
        </w:rPr>
        <w:t>（注：不得限制大中型企业与小微企业组成联合体参与投标）</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服务全部由符合政策要求的中小企业承接，提供中小企业声明函；</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服务全部由符合政策要求的小微企业承接，提供中小企业声明函；</w:t>
      </w:r>
    </w:p>
    <w:p>
      <w:pPr>
        <w:rPr>
          <w:rFonts w:ascii="宋体" w:hAnsi="宋体" w:cs="宋体"/>
          <w:highlight w:val="none"/>
        </w:rPr>
      </w:pP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r>
        <w:rPr>
          <w:rFonts w:hint="eastAsia" w:ascii="宋体" w:hAnsi="宋体" w:cs="宋体"/>
          <w:kern w:val="0"/>
          <w:sz w:val="24"/>
        </w:rPr>
        <w:sym w:font="Wingdings" w:char="F0FE"/>
      </w:r>
      <w:r>
        <w:rPr>
          <w:rFonts w:hint="eastAsia" w:ascii="宋体" w:hAnsi="宋体" w:cs="宋体"/>
          <w:sz w:val="24"/>
        </w:rPr>
        <w:t>无。</w:t>
      </w:r>
    </w:p>
    <w:p>
      <w:pPr>
        <w:snapToGrid w:val="0"/>
        <w:spacing w:line="360" w:lineRule="auto"/>
        <w:ind w:firstLine="480" w:firstLineChars="200"/>
        <w:rPr>
          <w:rFonts w:ascii="宋体" w:hAnsi="宋体" w:cs="宋体"/>
          <w:sz w:val="24"/>
        </w:rPr>
      </w:pPr>
      <w:r>
        <w:rPr>
          <w:rFonts w:hint="eastAsia" w:ascii="MS Gothic" w:hAnsi="MS Gothic" w:eastAsia="MS Gothic" w:cs="宋体"/>
          <w:kern w:val="0"/>
          <w:sz w:val="24"/>
        </w:rPr>
        <w:t>☐</w:t>
      </w:r>
      <w:r>
        <w:rPr>
          <w:rFonts w:hint="eastAsia" w:ascii="宋体" w:hAnsi="宋体" w:cs="宋体"/>
          <w:sz w:val="24"/>
        </w:rPr>
        <w:t>有特定资格要求：</w:t>
      </w:r>
      <w:r>
        <w:rPr>
          <w:rFonts w:hint="eastAsia" w:ascii="宋体" w:hAnsi="宋体" w:cs="宋体"/>
          <w:sz w:val="24"/>
          <w:u w:val="single"/>
        </w:rPr>
        <w:t xml:space="preserve">                    </w:t>
      </w:r>
      <w:r>
        <w:rPr>
          <w:rFonts w:hint="eastAsia" w:ascii="宋体" w:hAnsi="宋体" w:cs="宋体"/>
          <w:sz w:val="24"/>
        </w:rPr>
        <w:t>，该特定条件的法律法规依据：</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6</w:t>
      </w:r>
      <w:r>
        <w:rPr>
          <w:rFonts w:hint="eastAsia" w:ascii="宋体" w:hAnsi="宋体" w:cs="宋体"/>
          <w:sz w:val="24"/>
          <w:highlight w:val="none"/>
          <w:u w:val="single"/>
        </w:rPr>
        <w:t>月</w:t>
      </w:r>
      <w:r>
        <w:rPr>
          <w:rFonts w:hint="default" w:ascii="宋体" w:hAnsi="宋体" w:cs="宋体"/>
          <w:sz w:val="24"/>
          <w:highlight w:val="none"/>
          <w:u w:val="single"/>
          <w:lang w:val="en-US"/>
        </w:rPr>
        <w:t>8</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6</w:t>
      </w:r>
      <w:r>
        <w:rPr>
          <w:rFonts w:hint="eastAsia" w:ascii="宋体" w:hAnsi="宋体" w:cs="宋体"/>
          <w:sz w:val="24"/>
          <w:highlight w:val="none"/>
          <w:u w:val="single"/>
        </w:rPr>
        <w:t>月</w:t>
      </w:r>
      <w:r>
        <w:rPr>
          <w:rFonts w:hint="default" w:ascii="宋体" w:hAnsi="宋体" w:cs="宋体"/>
          <w:sz w:val="24"/>
          <w:highlight w:val="none"/>
          <w:u w:val="single"/>
          <w:lang w:val="en-US"/>
        </w:rPr>
        <w:t>8</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 xml:space="preserve">点 </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rPr>
        <w:t>6</w:t>
      </w:r>
      <w:r>
        <w:rPr>
          <w:rFonts w:hint="eastAsia" w:ascii="宋体" w:hAnsi="宋体" w:cs="宋体"/>
          <w:sz w:val="24"/>
          <w:highlight w:val="none"/>
          <w:u w:val="single"/>
        </w:rPr>
        <w:t>月</w:t>
      </w:r>
      <w:r>
        <w:rPr>
          <w:rFonts w:hint="default" w:ascii="宋体" w:hAnsi="宋体" w:cs="宋体"/>
          <w:sz w:val="24"/>
          <w:highlight w:val="none"/>
          <w:u w:val="single"/>
          <w:lang w:val="en-US"/>
        </w:rPr>
        <w:t>8</w:t>
      </w:r>
      <w:r>
        <w:rPr>
          <w:rFonts w:hint="eastAsia" w:ascii="宋体" w:hAnsi="宋体" w:cs="宋体"/>
          <w:sz w:val="24"/>
          <w:highlight w:val="none"/>
          <w:u w:val="single"/>
        </w:rPr>
        <w:t xml:space="preserve">日 </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 xml:space="preserve"> 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rPr>
      </w:pPr>
      <w:r>
        <w:rPr>
          <w:rFonts w:hint="eastAsia" w:ascii="宋体" w:hAnsi="宋体" w:cs="宋体"/>
          <w:sz w:val="24"/>
          <w:highlight w:val="none"/>
        </w:rPr>
        <w:t xml:space="preserve"> 1.</w:t>
      </w:r>
      <w:r>
        <w:rPr>
          <w:rFonts w:hint="eastAsia"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sz w:val="24"/>
          <w:highlight w:val="none"/>
        </w:rPr>
        <w:t xml:space="preserve">    </w:t>
      </w:r>
      <w:r>
        <w:rPr>
          <w:rFonts w:hint="eastAsia" w:ascii="宋体" w:hAnsi="宋体" w:cs="宋体"/>
          <w:color w:val="auto"/>
          <w:sz w:val="24"/>
          <w:highlight w:val="none"/>
        </w:rPr>
        <w:t xml:space="preserve">名    称：中共杭州市西湖区委政法委员会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址：杭州市西湖区浙大路</w:t>
      </w:r>
      <w:r>
        <w:rPr>
          <w:rFonts w:hint="default" w:ascii="宋体" w:hAnsi="宋体" w:cs="宋体"/>
          <w:color w:val="auto"/>
          <w:sz w:val="24"/>
          <w:highlight w:val="none"/>
          <w:lang w:val="en-US"/>
        </w:rPr>
        <w:t>35</w:t>
      </w:r>
      <w:r>
        <w:rPr>
          <w:rFonts w:hint="eastAsia" w:ascii="宋体" w:hAnsi="宋体" w:cs="宋体"/>
          <w:color w:val="auto"/>
          <w:sz w:val="24"/>
          <w:highlight w:val="none"/>
        </w:rPr>
        <w:t>号</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项目联系人（询问）：金纯如</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项目联系方式（询问）：0571-89510331</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沈达</w:t>
      </w:r>
    </w:p>
    <w:p>
      <w:pPr>
        <w:spacing w:line="360" w:lineRule="auto"/>
        <w:ind w:firstLine="480"/>
        <w:rPr>
          <w:rFonts w:hint="eastAsia" w:ascii="宋体" w:hAnsi="宋体" w:cs="宋体"/>
          <w:sz w:val="24"/>
          <w:highlight w:val="none"/>
        </w:rPr>
      </w:pPr>
      <w:r>
        <w:rPr>
          <w:rFonts w:hint="eastAsia" w:ascii="宋体" w:hAnsi="宋体" w:cs="宋体"/>
          <w:color w:val="auto"/>
          <w:sz w:val="24"/>
          <w:highlight w:val="none"/>
        </w:rPr>
        <w:t>质疑联系方式：0571-895103</w:t>
      </w:r>
      <w:r>
        <w:rPr>
          <w:rFonts w:hint="default" w:ascii="宋体" w:hAnsi="宋体" w:cs="宋体"/>
          <w:color w:val="auto"/>
          <w:sz w:val="24"/>
          <w:highlight w:val="none"/>
          <w:lang w:val="en-US"/>
        </w:rPr>
        <w:t>29</w:t>
      </w:r>
      <w:r>
        <w:rPr>
          <w:rFonts w:hint="eastAsia" w:ascii="宋体" w:hAnsi="宋体" w:cs="宋体"/>
          <w:sz w:val="24"/>
          <w:highlight w:val="none"/>
        </w:rPr>
        <w:t xml:space="preserve">    </w:t>
      </w:r>
    </w:p>
    <w:p>
      <w:pPr>
        <w:spacing w:line="360" w:lineRule="auto"/>
        <w:ind w:firstLine="480"/>
        <w:rPr>
          <w:rFonts w:ascii="宋体" w:hAnsi="宋体" w:cs="宋体"/>
          <w:sz w:val="24"/>
          <w:highlight w:val="none"/>
        </w:rPr>
      </w:pPr>
      <w:r>
        <w:rPr>
          <w:rFonts w:hint="eastAsia" w:ascii="宋体" w:hAnsi="宋体" w:cs="宋体"/>
          <w:sz w:val="24"/>
          <w:highlight w:val="none"/>
        </w:rPr>
        <w:t xml:space="preserve">2.采购代理机构信息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eastAsia="zh-CN"/>
        </w:rPr>
        <w:t>杭州市西湖区政府采购中心</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cs="宋体"/>
          <w:sz w:val="24"/>
          <w:highlight w:val="none"/>
          <w:lang w:eastAsia="zh-CN"/>
        </w:rPr>
        <w:t>杭州市文一西路858号</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0571-89511006</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eastAsia="zh-CN"/>
        </w:rPr>
        <w:t>邵一成</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项目联系方式（询问）：</w:t>
      </w:r>
      <w:r>
        <w:rPr>
          <w:rFonts w:hint="default" w:ascii="宋体" w:hAnsi="宋体" w:cs="宋体"/>
          <w:sz w:val="24"/>
          <w:highlight w:val="none"/>
          <w:lang w:val="en-US"/>
        </w:rPr>
        <w:t>0571-89511007</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eastAsia="zh-CN"/>
        </w:rPr>
        <w:t>缪新新</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质疑联系方式：</w:t>
      </w:r>
      <w:r>
        <w:rPr>
          <w:rFonts w:hint="default" w:ascii="宋体" w:hAnsi="宋体" w:cs="宋体"/>
          <w:sz w:val="24"/>
          <w:highlight w:val="none"/>
          <w:lang w:val="en-US"/>
        </w:rPr>
        <w:t>0571-89511561</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杭州市西湖区财政局政府采购监管科</w:t>
      </w:r>
      <w:r>
        <w:rPr>
          <w:rFonts w:hint="eastAsia" w:ascii="宋体" w:hAnsi="宋体" w:cs="宋体"/>
          <w:sz w:val="24"/>
          <w:highlight w:val="none"/>
        </w:rPr>
        <w:t xml:space="preserve"> </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地    址：杭州市</w:t>
      </w:r>
      <w:r>
        <w:rPr>
          <w:rFonts w:hint="eastAsia" w:ascii="宋体" w:hAnsi="宋体" w:cs="宋体"/>
          <w:sz w:val="24"/>
          <w:highlight w:val="none"/>
          <w:lang w:eastAsia="zh-CN"/>
        </w:rPr>
        <w:t>文三西路</w:t>
      </w:r>
      <w:r>
        <w:rPr>
          <w:rFonts w:hint="eastAsia" w:ascii="宋体" w:hAnsi="宋体" w:cs="宋体"/>
          <w:sz w:val="24"/>
          <w:highlight w:val="none"/>
          <w:lang w:val="en-US" w:eastAsia="zh-CN"/>
        </w:rPr>
        <w:t>18号11楼1104</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 xml:space="preserve">  传    真： /</w:t>
      </w:r>
    </w:p>
    <w:p>
      <w:pPr>
        <w:spacing w:line="360" w:lineRule="auto"/>
        <w:rPr>
          <w:rFonts w:ascii="宋体" w:hAnsi="宋体" w:cs="宋体"/>
          <w:sz w:val="24"/>
          <w:highlight w:val="none"/>
        </w:rPr>
      </w:pPr>
      <w:r>
        <w:rPr>
          <w:rFonts w:hint="eastAsia" w:ascii="宋体" w:hAnsi="宋体" w:cs="宋体"/>
          <w:sz w:val="24"/>
          <w:highlight w:val="none"/>
        </w:rPr>
        <w:t xml:space="preserve">    联系人 ：</w:t>
      </w:r>
      <w:r>
        <w:rPr>
          <w:rFonts w:hint="eastAsia" w:ascii="宋体" w:hAnsi="宋体" w:cs="宋体"/>
          <w:sz w:val="24"/>
          <w:highlight w:val="none"/>
          <w:lang w:eastAsia="zh-CN"/>
        </w:rPr>
        <w:t>韩继伟</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监督投诉电话：</w:t>
      </w:r>
      <w:r>
        <w:rPr>
          <w:rFonts w:hint="eastAsia" w:ascii="宋体" w:hAnsi="宋体" w:cs="宋体"/>
          <w:sz w:val="24"/>
          <w:highlight w:val="none"/>
          <w:lang w:eastAsia="zh-CN"/>
        </w:rPr>
        <w:t>0571-89511307</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CA问题联系电话（人工）：汇信CA 400-888-4636；天谷CA 400-087-8198。</w:t>
      </w:r>
    </w:p>
    <w:p>
      <w:pPr>
        <w:spacing w:line="360" w:lineRule="auto"/>
        <w:ind w:firstLine="480" w:firstLineChars="200"/>
        <w:rPr>
          <w:rFonts w:cs="宋体" w:asciiTheme="minorEastAsia" w:hAnsiTheme="minorEastAsia" w:eastAsiaTheme="minorEastAsia"/>
          <w:sz w:val="24"/>
          <w:highlight w:val="none"/>
        </w:rPr>
      </w:pPr>
    </w:p>
    <w:p>
      <w:pPr>
        <w:widowControl/>
        <w:adjustRightInd/>
        <w:jc w:val="left"/>
        <w:rPr>
          <w:rFonts w:cs="宋体" w:asciiTheme="minorEastAsia" w:hAnsiTheme="minorEastAsia" w:eastAsiaTheme="minorEastAsia"/>
          <w:b/>
          <w:sz w:val="36"/>
          <w:szCs w:val="20"/>
          <w:highlight w:val="none"/>
        </w:rPr>
      </w:pPr>
      <w:r>
        <w:rPr>
          <w:rFonts w:cs="宋体" w:asciiTheme="minorEastAsia" w:hAnsiTheme="minorEastAsia" w:eastAsiaTheme="minorEastAsia"/>
          <w:b/>
          <w:sz w:val="36"/>
          <w:szCs w:val="20"/>
          <w:highlight w:val="none"/>
        </w:rPr>
        <w:br w:type="page"/>
      </w:r>
    </w:p>
    <w:p>
      <w:pPr>
        <w:adjustRightInd/>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第二部分</w:t>
      </w:r>
      <w:bookmarkEnd w:id="8"/>
      <w:r>
        <w:rPr>
          <w:rFonts w:hint="eastAsia" w:cs="宋体" w:asciiTheme="minorEastAsia" w:hAnsiTheme="minorEastAsia" w:eastAsiaTheme="minorEastAsia"/>
          <w:b/>
          <w:sz w:val="36"/>
          <w:szCs w:val="20"/>
          <w:highlight w:val="none"/>
        </w:rPr>
        <w:t xml:space="preserve"> 投标人须知</w:t>
      </w:r>
      <w:bookmarkEnd w:id="9"/>
    </w:p>
    <w:p>
      <w:pPr>
        <w:adjustRightInd/>
        <w:spacing w:line="360" w:lineRule="auto"/>
        <w:ind w:firstLine="3845" w:firstLineChars="1197"/>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rPr>
              <w:t>标的：</w:t>
            </w:r>
            <w:r>
              <w:rPr>
                <w:rFonts w:hint="eastAsia" w:cs="宋体" w:asciiTheme="minorEastAsia" w:hAnsiTheme="minorEastAsia" w:eastAsiaTheme="minorEastAsia"/>
                <w:kern w:val="0"/>
                <w:sz w:val="24"/>
                <w:highlight w:val="none"/>
                <w:u w:val="single"/>
                <w:lang w:eastAsia="zh-CN"/>
              </w:rPr>
              <w:t>“民呼我为”西湖区一体化智治平台项目二期建设项目</w:t>
            </w:r>
            <w:r>
              <w:rPr>
                <w:rFonts w:hint="eastAsia" w:cs="宋体" w:asciiTheme="minorEastAsia" w:hAnsiTheme="minorEastAsia" w:eastAsiaTheme="minorEastAsia"/>
                <w:kern w:val="0"/>
                <w:sz w:val="24"/>
                <w:highlight w:val="none"/>
              </w:rPr>
              <w:t>，属于</w:t>
            </w:r>
            <w:r>
              <w:rPr>
                <w:rFonts w:hint="eastAsia" w:ascii="宋体" w:hAnsi="宋体" w:cs="宋体"/>
                <w:color w:val="auto"/>
                <w:kern w:val="0"/>
                <w:sz w:val="24"/>
                <w:highlight w:val="none"/>
                <w:u w:val="single"/>
              </w:rPr>
              <w:t>软件和信息技术服务业</w:t>
            </w:r>
            <w:r>
              <w:rPr>
                <w:rFonts w:hint="eastAsia" w:cs="宋体" w:asciiTheme="minorEastAsia" w:hAnsiTheme="minorEastAsia" w:eastAsiaTheme="minorEastAsia"/>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9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本项目不允许采购进口产品。</w:t>
            </w:r>
          </w:p>
          <w:p>
            <w:pPr>
              <w:spacing w:line="360" w:lineRule="auto"/>
              <w:rPr>
                <w:rFonts w:hint="eastAsia"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可以就</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采购进口产品。</w:t>
            </w:r>
          </w:p>
          <w:p>
            <w:pPr>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rPr>
              <w:t>优先采购向我国企业转让技术、与我国企业签订消化吸收再创新方案的供应商的进口产品，详见评分标准。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47728692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Mincho" w:cs="MS Mincho"/>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 xml:space="preserve"> A</w:t>
            </w:r>
            <w:r>
              <w:rPr>
                <w:rFonts w:hint="eastAsia" w:cs="宋体" w:asciiTheme="minorEastAsia" w:hAnsiTheme="minorEastAsia" w:eastAsiaTheme="minorEastAsia"/>
                <w:sz w:val="24"/>
                <w:highlight w:val="none"/>
              </w:rPr>
              <w:t>同意将非主体、非关键性的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lang w:val="en-US" w:eastAsia="zh-CN"/>
              </w:rPr>
              <w:t>协作中心</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工作分包。</w:t>
            </w:r>
          </w:p>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eastAsia="MS Gothic" w:cs="宋体"/>
                    <w:kern w:val="0"/>
                    <w:sz w:val="24"/>
                    <w:szCs w:val="24"/>
                    <w:highlight w:val="none"/>
                    <w:lang w:val="en-US" w:eastAsia="zh-CN" w:bidi="ar-SA"/>
                  </w:rPr>
                  <w:t>☐</w:t>
                </w:r>
              </w:sdtContent>
            </w:sdt>
            <w:r>
              <w:rPr>
                <w:rFonts w:hint="eastAsia" w:cs="宋体" w:asciiTheme="minorEastAsia" w:hAnsiTheme="minorEastAsia" w:eastAsiaTheme="minorEastAsia"/>
                <w:kern w:val="0"/>
                <w:sz w:val="24"/>
                <w:highlight w:val="none"/>
              </w:rPr>
              <w:t xml:space="preserve"> B</w:t>
            </w:r>
            <w:r>
              <w:rPr>
                <w:rFonts w:hint="eastAsia" w:cs="宋体" w:asciiTheme="minorEastAsia" w:hAnsiTheme="minorEastAsia" w:eastAsiaTheme="minorEastAsia"/>
                <w:sz w:val="24"/>
                <w:highlight w:val="none"/>
              </w:rPr>
              <w:t>不同意分包。</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4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sz w:val="24"/>
                <w:szCs w:val="20"/>
                <w:highlight w:val="none"/>
              </w:rPr>
            </w:pPr>
            <w:sdt>
              <w:sdtPr>
                <w:rPr>
                  <w:rFonts w:hint="eastAsia" w:cs="宋体" w:asciiTheme="minorEastAsia" w:hAnsiTheme="minorEastAsia" w:eastAsiaTheme="minorEastAsia"/>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r>
              <w:rPr>
                <w:rFonts w:hint="eastAsia" w:cs="宋体" w:asciiTheme="minorEastAsia" w:hAnsiTheme="minorEastAsia" w:eastAsiaTheme="minorEastAsia"/>
                <w:sz w:val="24"/>
                <w:highlight w:val="none"/>
              </w:rPr>
              <w:t>时间：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,地点：</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，联系方式：</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不要求提供。</w:t>
            </w:r>
          </w:p>
          <w:p>
            <w:pPr>
              <w:spacing w:line="360" w:lineRule="auto"/>
              <w:rPr>
                <w:rFonts w:ascii="宋体" w:hAnsi="宋体" w:cs="宋体"/>
                <w:color w:val="auto"/>
                <w:kern w:val="0"/>
                <w:sz w:val="24"/>
                <w:highlight w:val="none"/>
              </w:rPr>
            </w:pPr>
            <w:sdt>
              <w:sdtPr>
                <w:rPr>
                  <w:rFonts w:hint="eastAsia" w:cs="宋体" w:asciiTheme="minorEastAsia" w:hAnsiTheme="minorEastAsia" w:eastAsiaTheme="minorEastAsia"/>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w:t>
            </w:r>
            <w:r>
              <w:rPr>
                <w:rFonts w:hint="eastAsia" w:ascii="宋体" w:hAnsi="宋体" w:cs="宋体"/>
                <w:color w:val="auto"/>
                <w:kern w:val="0"/>
                <w:sz w:val="24"/>
                <w:highlight w:val="none"/>
              </w:rPr>
              <w:t>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cs="宋体" w:asciiTheme="minorEastAsia" w:hAnsiTheme="minorEastAsia" w:eastAsiaTheme="minorEastAsia"/>
                <w:b/>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highlight w:val="none"/>
              </w:rPr>
            </w:pPr>
            <w:r>
              <w:rPr>
                <w:rFonts w:hint="eastAsia" w:cs="宋体" w:asciiTheme="minorEastAsia" w:hAnsiTheme="minorEastAsia" w:eastAsiaTheme="minorEastAsia"/>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85934854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cs="宋体" w:eastAsiaTheme="minorEastAsia"/>
                    <w:kern w:val="0"/>
                    <w:sz w:val="24"/>
                    <w:szCs w:val="24"/>
                    <w:highlight w:val="none"/>
                    <w:lang w:val="en-US" w:eastAsia="zh-CN" w:bidi="ar-SA"/>
                  </w:rPr>
                  <w:t>☐</w:t>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1740717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Mincho" w:cs="MS Mincho"/>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（1）在评标时安排每个投标人进行方案讲解演示。每个投标人时间不超过20分钟，</w:t>
            </w:r>
            <w:r>
              <w:rPr>
                <w:rFonts w:hint="eastAsia" w:ascii="宋体" w:hAnsi="宋体" w:cs="宋体"/>
                <w:b/>
                <w:bCs/>
                <w:kern w:val="0"/>
                <w:sz w:val="24"/>
                <w:highlight w:val="none"/>
              </w:rPr>
              <w:t>讲解次序以投标文件解密时间先后次序为准</w:t>
            </w:r>
            <w:r>
              <w:rPr>
                <w:rFonts w:hint="eastAsia" w:ascii="宋体" w:hAnsi="宋体" w:cs="宋体"/>
                <w:kern w:val="0"/>
                <w:sz w:val="24"/>
                <w:highlight w:val="none"/>
              </w:rPr>
              <w:t>，讲解演示人员不超过3人。讲解演示结束后按要求解答评标委员会提问。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cs="宋体" w:asciiTheme="minorEastAsia" w:hAnsiTheme="minorEastAsia" w:eastAsiaTheme="minorEastAsia"/>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（1）资格证明文件：见招标文件第二部分11.1。</w:t>
            </w:r>
          </w:p>
          <w:p>
            <w:pPr>
              <w:spacing w:line="360" w:lineRule="auto"/>
              <w:rPr>
                <w:rFonts w:cs="宋体" w:asciiTheme="minorEastAsia" w:hAnsiTheme="minorEastAsia" w:eastAsiaTheme="minorEastAsia"/>
                <w:snapToGrid w:val="0"/>
                <w:kern w:val="0"/>
                <w:szCs w:val="21"/>
                <w:highlight w:val="none"/>
              </w:rPr>
            </w:pPr>
            <w:r>
              <w:rPr>
                <w:rFonts w:hint="eastAsia" w:cs="宋体" w:asciiTheme="minorEastAsia" w:hAnsiTheme="minorEastAsia" w:eastAsiaTheme="minorEastAsia"/>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highlight w:val="none"/>
              </w:rPr>
            </w:pPr>
            <w:r>
              <w:rPr>
                <w:rFonts w:hint="eastAsia" w:ascii="宋体" w:hAnsi="宋体" w:cs="宋体"/>
                <w:color w:val="auto"/>
                <w:kern w:val="0"/>
                <w:sz w:val="24"/>
                <w:lang w:val="zh-CN"/>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有关本项目实施所需的所有费用（含税费）均计入报价。</w:t>
            </w:r>
            <w:r>
              <w:rPr>
                <w:rFonts w:hint="eastAsia" w:cs="宋体" w:asciiTheme="minorEastAsia" w:hAnsiTheme="minorEastAsia" w:eastAsiaTheme="minorEastAsia"/>
                <w:b/>
                <w:bCs/>
                <w:kern w:val="0"/>
                <w:sz w:val="24"/>
                <w:highlight w:val="none"/>
                <w:lang w:val="zh-CN"/>
              </w:rPr>
              <w:t>投标文件</w:t>
            </w:r>
            <w:r>
              <w:rPr>
                <w:rFonts w:hint="eastAsia" w:cs="宋体" w:asciiTheme="minorEastAsia" w:hAnsiTheme="minorEastAsia" w:eastAsiaTheme="minorEastAsia"/>
                <w:b/>
                <w:bCs/>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cs="宋体" w:asciiTheme="minorEastAsia" w:hAnsiTheme="minorEastAsia" w:eastAsiaTheme="minorEastAsia"/>
                <w:kern w:val="0"/>
                <w:sz w:val="24"/>
                <w:highlight w:val="none"/>
                <w:lang w:val="zh-CN"/>
              </w:rPr>
              <w:t>投标文件中价格全部采用人民币报价。招标文件未列明，而投标人认为必需的费用也需列入报价。</w:t>
            </w:r>
            <w:r>
              <w:rPr>
                <w:rFonts w:hint="eastAsia" w:cs="宋体" w:asciiTheme="minorEastAsia" w:hAnsiTheme="minorEastAsia" w:eastAsiaTheme="minorEastAsia"/>
                <w:b/>
                <w:kern w:val="0"/>
                <w:sz w:val="24"/>
                <w:highlight w:val="none"/>
                <w:lang w:val="zh-CN"/>
              </w:rPr>
              <w:t>提醒：验收时检测费用由采购人承担，不包含在投标总价中。</w:t>
            </w:r>
          </w:p>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投标报价出现下列情形的，投标无效：</w:t>
            </w:r>
          </w:p>
          <w:p>
            <w:pPr>
              <w:snapToGrid w:val="0"/>
              <w:spacing w:line="360" w:lineRule="auto"/>
              <w:ind w:firstLine="241" w:firstLineChars="100"/>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投标文件出现不是唯一的、有选择性投标报价的；</w:t>
            </w:r>
          </w:p>
          <w:p>
            <w:pPr>
              <w:snapToGrid w:val="0"/>
              <w:spacing w:line="360" w:lineRule="auto"/>
              <w:ind w:firstLine="241"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b/>
                <w:kern w:val="0"/>
                <w:sz w:val="24"/>
                <w:highlight w:val="none"/>
                <w:lang w:val="zh-CN"/>
              </w:rPr>
              <w:t>投标报价超过招标文件中规定的预算金额或者最高限价的;</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24"/>
                <w:highlight w:val="none"/>
              </w:rPr>
              <w:t>报价明显低于其他通过符合性审查投标人的报价，有可能影响产品</w:t>
            </w:r>
            <w:r>
              <w:rPr>
                <w:rFonts w:hint="eastAsia" w:cs="宋体" w:asciiTheme="minorEastAsia" w:hAnsiTheme="minorEastAsia" w:eastAsiaTheme="minorEastAsia"/>
                <w:b/>
                <w:kern w:val="0"/>
                <w:sz w:val="24"/>
                <w:highlight w:val="none"/>
                <w:lang w:eastAsia="zh-CN"/>
              </w:rPr>
              <w:t>（服务）</w:t>
            </w:r>
            <w:r>
              <w:rPr>
                <w:rFonts w:hint="eastAsia" w:cs="宋体" w:asciiTheme="minorEastAsia" w:hAnsiTheme="minorEastAsia" w:eastAsiaTheme="minorEastAsia"/>
                <w:b/>
                <w:kern w:val="0"/>
                <w:sz w:val="24"/>
                <w:highlight w:val="none"/>
              </w:rPr>
              <w:t>质量或者不能诚信履约的，未能按要求提供书面说明或者提交相关证明材料证明其报价合理性的</w:t>
            </w:r>
            <w:r>
              <w:rPr>
                <w:rFonts w:hint="eastAsia" w:cs="宋体" w:asciiTheme="minorEastAsia" w:hAnsiTheme="minorEastAsia" w:eastAsiaTheme="minorEastAsia"/>
                <w:b/>
                <w:sz w:val="24"/>
                <w:szCs w:val="21"/>
                <w:highlight w:val="none"/>
              </w:rPr>
              <w:t>;</w:t>
            </w:r>
          </w:p>
          <w:p>
            <w:pPr>
              <w:spacing w:line="360" w:lineRule="auto"/>
              <w:ind w:firstLine="241"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b/>
                <w:kern w:val="0"/>
                <w:sz w:val="24"/>
                <w:highlight w:val="none"/>
              </w:rPr>
              <w:t>投标人对根据修正原则修正后的报价不确认的</w:t>
            </w:r>
            <w:r>
              <w:rPr>
                <w:rFonts w:hint="eastAsia" w:cs="宋体" w:asciiTheme="minorEastAsia" w:hAnsiTheme="minorEastAsia" w:eastAsiaTheme="minorEastAsia"/>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9"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cs="宋体" w:asciiTheme="minorEastAsia" w:hAnsiTheme="minorEastAsia" w:eastAsiaTheme="minorEastAsia"/>
                <w:kern w:val="28"/>
                <w:sz w:val="24"/>
                <w:highlight w:val="none"/>
              </w:rPr>
            </w:pPr>
            <w:r>
              <w:rPr>
                <w:rFonts w:hint="eastAsia" w:cs="宋体" w:asciiTheme="minorEastAsia" w:hAnsiTheme="minorEastAsia" w:eastAsiaTheme="minorEastAsia"/>
                <w:kern w:val="28"/>
                <w:sz w:val="24"/>
                <w:szCs w:val="24"/>
                <w:highlight w:val="none"/>
              </w:rPr>
              <w:t>备份投标文件送达地点：</w:t>
            </w:r>
            <w:r>
              <w:rPr>
                <w:rFonts w:hint="eastAsia" w:cs="宋体" w:asciiTheme="minorEastAsia" w:hAnsiTheme="minorEastAsia" w:eastAsiaTheme="minorEastAsia"/>
                <w:sz w:val="24"/>
                <w:highlight w:val="none"/>
                <w:u w:val="single"/>
              </w:rPr>
              <w:t>杭州市文一西路858号东3楼329办公室</w:t>
            </w:r>
            <w:r>
              <w:rPr>
                <w:rFonts w:hint="eastAsia" w:cs="宋体" w:asciiTheme="minorEastAsia" w:hAnsiTheme="minorEastAsia" w:eastAsiaTheme="minorEastAsia"/>
                <w:kern w:val="28"/>
                <w:sz w:val="24"/>
                <w:szCs w:val="24"/>
                <w:highlight w:val="none"/>
              </w:rPr>
              <w:t>；备份投标文件签收人员联系电话：</w:t>
            </w:r>
            <w:r>
              <w:rPr>
                <w:rFonts w:hint="eastAsia" w:cs="宋体" w:asciiTheme="minorEastAsia" w:hAnsiTheme="minorEastAsia" w:eastAsiaTheme="minorEastAsia"/>
                <w:sz w:val="24"/>
                <w:highlight w:val="none"/>
                <w:u w:val="single"/>
              </w:rPr>
              <w:t xml:space="preserve">  0571-8</w:t>
            </w:r>
            <w:r>
              <w:rPr>
                <w:rFonts w:hint="default" w:cs="宋体" w:asciiTheme="minorEastAsia" w:hAnsiTheme="minorEastAsia" w:eastAsiaTheme="minorEastAsia"/>
                <w:sz w:val="24"/>
                <w:highlight w:val="none"/>
                <w:u w:val="single"/>
                <w:lang w:val="en-US"/>
              </w:rPr>
              <w:t>9511007</w:t>
            </w:r>
            <w:r>
              <w:rPr>
                <w:rFonts w:hint="eastAsia" w:cs="宋体" w:asciiTheme="minorEastAsia" w:hAnsiTheme="minorEastAsia" w:eastAsiaTheme="minorEastAsia"/>
                <w:sz w:val="24"/>
                <w:szCs w:val="24"/>
                <w:highlight w:val="none"/>
              </w:rPr>
              <w:t>。</w:t>
            </w:r>
            <w:r>
              <w:rPr>
                <w:rFonts w:hint="eastAsia" w:cs="宋体" w:asciiTheme="minorEastAsia" w:hAnsiTheme="minorEastAsia" w:eastAsiaTheme="minorEastAsia"/>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napToGrid w:val="0"/>
                <w:kern w:val="28"/>
                <w:sz w:val="24"/>
                <w:highlight w:val="none"/>
              </w:rPr>
              <w:t>联合体投标的，联合体各方均需按招标文件第四部分评标标准要求提供资信证明文件，否则视为不符合相关要求。</w:t>
            </w:r>
          </w:p>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napToGrid w:val="0"/>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评审因素对应的要求视为采购需求的一部分。</w:t>
            </w:r>
          </w:p>
        </w:tc>
      </w:tr>
    </w:tbl>
    <w:p>
      <w:pPr>
        <w:snapToGrid w:val="0"/>
        <w:spacing w:line="360" w:lineRule="auto"/>
        <w:jc w:val="center"/>
        <w:rPr>
          <w:rFonts w:cs="宋体" w:asciiTheme="minorEastAsia" w:hAnsiTheme="minorEastAsia" w:eastAsiaTheme="minorEastAsia"/>
          <w:b/>
          <w:sz w:val="32"/>
          <w:szCs w:val="20"/>
          <w:highlight w:val="none"/>
        </w:rPr>
      </w:pPr>
    </w:p>
    <w:bookmarkEnd w:id="10"/>
    <w:p>
      <w:pPr>
        <w:adjustRightInd/>
        <w:spacing w:line="360" w:lineRule="auto"/>
        <w:ind w:firstLine="3845" w:firstLineChars="1197"/>
        <w:outlineLvl w:val="0"/>
        <w:rPr>
          <w:rFonts w:cs="宋体" w:asciiTheme="minorEastAsia" w:hAnsiTheme="minorEastAsia" w:eastAsiaTheme="minorEastAsia"/>
          <w:b/>
          <w:sz w:val="32"/>
          <w:szCs w:val="20"/>
          <w:highlight w:val="none"/>
        </w:rPr>
      </w:pPr>
      <w:bookmarkStart w:id="11" w:name="_Toc164416483"/>
      <w:bookmarkStart w:id="12" w:name="第三部分"/>
      <w:r>
        <w:rPr>
          <w:rFonts w:hint="eastAsia" w:cs="宋体" w:asciiTheme="minorEastAsia" w:hAnsiTheme="minorEastAsia" w:eastAsiaTheme="minorEastAsia"/>
          <w:b/>
          <w:sz w:val="32"/>
          <w:szCs w:val="20"/>
          <w:highlight w:val="none"/>
        </w:rPr>
        <w:t>一、总则</w:t>
      </w:r>
    </w:p>
    <w:p>
      <w:pPr>
        <w:snapToGrid w:val="0"/>
        <w:spacing w:line="360" w:lineRule="auto"/>
        <w:ind w:firstLine="361" w:firstLineChars="150"/>
        <w:jc w:val="left"/>
        <w:outlineLvl w:val="1"/>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 适用范围</w:t>
      </w:r>
    </w:p>
    <w:p>
      <w:pPr>
        <w:snapToGrid w:val="0"/>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   2.定义</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 “采购人”系指招标公告中载明的本项目的采购人。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 “采购机构”系指招标公告中载明的本项目的采购机构。</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 “投标人”系指是指响应招标、参加投标竞争的法人、其他组织或者自然人。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2.6“电子交易平台”是指本项目政府采购活动所依托的政府采购云平台（https://www.zcygov.cn/）。</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2.7 “▲” 系指实质性要求条款，“</w:t>
      </w:r>
      <w:sdt>
        <w:sdtPr>
          <w:rPr>
            <w:rFonts w:hint="eastAsia" w:cs="宋体" w:asciiTheme="minorEastAsia" w:hAnsiTheme="minorEastAsia" w:eastAsiaTheme="minorEastAsia"/>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z w:val="24"/>
          <w:highlight w:val="none"/>
        </w:rPr>
        <w:t>” 系指适用本项目的要求，“</w:t>
      </w:r>
      <w:sdt>
        <w:sdtPr>
          <w:rPr>
            <w:rFonts w:hint="eastAsia" w:cs="宋体" w:asciiTheme="minorEastAsia" w:hAnsiTheme="minorEastAsia" w:eastAsiaTheme="minorEastAsia"/>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 系指不适用本项目的要求。</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3.</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采购项目需要落实的政府采购政策</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cs="宋体" w:asciiTheme="minorEastAsia" w:hAnsiTheme="minorEastAsia" w:eastAsiaTheme="minorEastAsia"/>
          <w:kern w:val="0"/>
          <w:sz w:val="24"/>
          <w:highlight w:val="none"/>
        </w:rPr>
        <w:t>优先采购向我国企业转让技术、与我国企业签订消化吸收再创新方案的供应商的进口产品</w:t>
      </w:r>
      <w:r>
        <w:rPr>
          <w:rFonts w:hint="eastAsia" w:cs="宋体" w:asciiTheme="minorEastAsia" w:hAnsiTheme="minorEastAsia" w:eastAsiaTheme="minorEastAsia"/>
          <w:sz w:val="24"/>
          <w:highlight w:val="none"/>
        </w:rPr>
        <w:t>。</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 支持绿色发展</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3.3支持中小企业发展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cs="宋体" w:asciiTheme="minorEastAsia" w:hAnsiTheme="minorEastAsia" w:eastAsiaTheme="minorEastAsia"/>
          <w:bCs/>
          <w:sz w:val="24"/>
          <w:highlight w:val="none"/>
        </w:rPr>
        <w:t>3.3.2</w:t>
      </w:r>
      <w:r>
        <w:rPr>
          <w:rFonts w:hint="eastAsia" w:cs="宋体" w:asciiTheme="minorEastAsia" w:hAnsiTheme="minorEastAsia" w:eastAsiaTheme="minorEastAsia"/>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3.3.3对于未预留份额专门面向中小企业的政府采购服务项目，以及预留份额政府采购服务项目中的非预留部分标项，对小型和微型企业的投标报价给予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sz w:val="24"/>
          <w:highlight w:val="none"/>
        </w:rPr>
        <w:t>20</w:t>
      </w:r>
      <w:r>
        <w:rPr>
          <w:rFonts w:hint="eastAsia" w:cs="宋体"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w:t>
      </w:r>
      <w:r>
        <w:rPr>
          <w:rFonts w:hint="eastAsia" w:cs="宋体" w:asciiTheme="minorEastAsia" w:hAnsiTheme="minorEastAsia" w:eastAsiaTheme="minorEastAsia"/>
          <w:bCs/>
          <w:sz w:val="24"/>
          <w:highlight w:val="none"/>
        </w:rPr>
        <w:t>支持创新发展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3.4.2首台套产品被纳入《首台套产品推广应用指导目录》之日起</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年内，以及产品核心技术高于国内领先水平，并具有明晰自主知识产权的“制造精品”产品，自认定之日起</w:t>
      </w:r>
      <w:r>
        <w:rPr>
          <w:rFonts w:hint="default" w:cs="宋体" w:asciiTheme="minorEastAsia" w:hAnsiTheme="minorEastAsia" w:eastAsiaTheme="minorEastAsia"/>
          <w:sz w:val="24"/>
          <w:highlight w:val="none"/>
          <w:lang w:val="en-US"/>
        </w:rPr>
        <w:t>2</w:t>
      </w:r>
      <w:r>
        <w:rPr>
          <w:rFonts w:hint="eastAsia" w:cs="宋体" w:asciiTheme="minorEastAsia" w:hAnsiTheme="minorEastAsia" w:eastAsiaTheme="minorEastAsia"/>
          <w:sz w:val="24"/>
          <w:highlight w:val="none"/>
        </w:rPr>
        <w:t>年内视同已具备相应销售业绩，参加政府采购活动时业绩分值为满分。</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3.5平等对待内外资企业和符合条件的破产重整企业</w:t>
      </w:r>
    </w:p>
    <w:p>
      <w:pPr>
        <w:spacing w:line="360" w:lineRule="auto"/>
        <w:ind w:firstLine="240"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平等对待内外资企业和符合条件的破产重整企业，切实保障企业公平竞争，平等维护企业的合法利益。</w:t>
      </w:r>
      <w:r>
        <w:rPr>
          <w:rFonts w:hint="eastAsia" w:cs="宋体" w:asciiTheme="minorEastAsia" w:hAnsiTheme="minorEastAsia" w:eastAsiaTheme="minorEastAsia"/>
          <w:sz w:val="24"/>
          <w:highlight w:val="none"/>
        </w:rPr>
        <w:cr/>
      </w:r>
      <w:r>
        <w:rPr>
          <w:rFonts w:hint="eastAsia" w:cs="宋体" w:asciiTheme="minorEastAsia" w:hAnsiTheme="minorEastAsia" w:eastAsiaTheme="minorEastAsia"/>
          <w:b/>
          <w:sz w:val="24"/>
          <w:highlight w:val="none"/>
        </w:rPr>
        <w:t>4. 询问、质疑、投诉</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4.2供应商询问</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4.3供应商质疑</w:t>
      </w:r>
    </w:p>
    <w:p>
      <w:pPr>
        <w:pStyle w:val="34"/>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cs="宋体" w:asciiTheme="minorEastAsia" w:hAnsiTheme="minorEastAsia" w:eastAsiaTheme="minorEastAsia"/>
          <w:snapToGrid/>
          <w:color w:val="auto"/>
          <w:kern w:val="2"/>
          <w:sz w:val="24"/>
          <w:highlight w:val="none"/>
        </w:rPr>
      </w:pPr>
      <w:r>
        <w:rPr>
          <w:rFonts w:hint="eastAsia" w:cs="宋体" w:asciiTheme="minorEastAsia" w:hAnsiTheme="minorEastAsia" w:eastAsiaTheme="minorEastAsia"/>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w:t>
      </w:r>
      <w:r>
        <w:rPr>
          <w:rFonts w:hint="eastAsia" w:cs="宋体" w:asciiTheme="minorEastAsia" w:hAnsiTheme="minorEastAsia" w:eastAsiaTheme="minorEastAsia"/>
          <w:sz w:val="24"/>
          <w:highlight w:val="none"/>
        </w:rPr>
        <w:t>供应商提出质疑应当提交质疑函和必要的证明材料。质疑函应当包括下列内容：</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4.3.3.1供应商的姓名或者名称、地址、邮编、联系人及联系电话；</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4.3.3.2质疑项目的名称、编号；</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4.3.3.3具体、明确的质疑事项和与质疑事项相关的请求；</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4.3.3.4事实依据；</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4.3.3.5必要的法律依据；</w:t>
      </w:r>
    </w:p>
    <w:p>
      <w:pPr>
        <w:pStyle w:val="34"/>
        <w:spacing w:line="360" w:lineRule="auto"/>
        <w:ind w:firstLine="960" w:firstLineChars="4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4.3.3.6提出质疑的日期。</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质疑函范本及制作说明详见附件2。</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Theme="minorEastAsia" w:hAnsiTheme="minorEastAsia" w:eastAsiaTheme="minorEastAsia"/>
          <w:highlight w:val="none"/>
          <w:lang w:val="zh-CN"/>
        </w:rPr>
      </w:pPr>
      <w:r>
        <w:rPr>
          <w:rFonts w:hint="eastAsia" w:asciiTheme="minorEastAsia" w:hAnsiTheme="minorEastAsia" w:eastAsiaTheme="minorEastAsia"/>
          <w:highlight w:val="none"/>
          <w:lang w:val="zh-CN"/>
        </w:rPr>
        <w:t>4.4供应商投诉</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w:t>
      </w:r>
      <w:r>
        <w:rPr>
          <w:rFonts w:hint="eastAsia" w:asciiTheme="minorEastAsia" w:hAnsiTheme="minorEastAsia" w:eastAsiaTheme="minorEastAsia"/>
          <w:highlight w:val="none"/>
          <w:lang w:val="zh-CN"/>
        </w:rPr>
        <w:t>2</w:t>
      </w:r>
      <w:r>
        <w:rPr>
          <w:rFonts w:hint="eastAsia" w:asciiTheme="minorEastAsia" w:hAnsiTheme="minorEastAsia" w:eastAsiaTheme="minorEastAsia"/>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4.4.3供应商投诉应当有明确的请求和必要的证明材料。</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4.4.5浙江省本级、杭州市本级、拱墅区、富阳区政府采购项目投诉材料可寄送浙江省政府采购行政裁决服务中心（杭州），地址：杭州市上城区四季青街道新业路市民之家G03办公室，收件人：朱女士，电话：15121014815。</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sz w:val="18"/>
          <w:szCs w:val="18"/>
          <w:highlight w:val="none"/>
        </w:rPr>
      </w:pPr>
      <w:r>
        <w:rPr>
          <w:rFonts w:hint="eastAsia" w:asciiTheme="minorEastAsia" w:hAnsiTheme="minorEastAsia" w:eastAsiaTheme="minorEastAsia"/>
          <w:highlight w:val="none"/>
        </w:rPr>
        <w:t>投诉书范本及制作说明详见附件3。</w:t>
      </w:r>
    </w:p>
    <w:p>
      <w:pPr>
        <w:adjustRightInd/>
        <w:spacing w:line="360" w:lineRule="auto"/>
        <w:jc w:val="center"/>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 xml:space="preserve">      二、招标文件的构成、澄清、修改</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5．招标文件的构成</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 招标文件包括下列文件及附件：</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5.1.1招标公告；</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5.1.2投标人须知；</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5.1.3采购需求；</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5.1.4评标办法；</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5.1.5拟签订的合同文本；</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highlight w:val="none"/>
        </w:rPr>
        <w:t>5.1.6</w:t>
      </w:r>
      <w:r>
        <w:rPr>
          <w:rFonts w:hint="eastAsia" w:cs="宋体" w:asciiTheme="minorEastAsia" w:hAnsiTheme="minorEastAsia" w:eastAsiaTheme="minorEastAsia"/>
          <w:sz w:val="24"/>
          <w:szCs w:val="24"/>
          <w:highlight w:val="none"/>
        </w:rPr>
        <w:t>应提交的有关格式范例。</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5.2与本项目有关的</w:t>
      </w:r>
      <w:r>
        <w:rPr>
          <w:rFonts w:hint="eastAsia" w:cs="宋体" w:asciiTheme="minorEastAsia" w:hAnsiTheme="minorEastAsia" w:eastAsiaTheme="minorEastAsia"/>
          <w:bCs/>
          <w:sz w:val="24"/>
          <w:highlight w:val="none"/>
        </w:rPr>
        <w:t>澄清或者修改的内容为招标文件的组成部分</w:t>
      </w:r>
      <w:r>
        <w:rPr>
          <w:rFonts w:hint="eastAsia" w:cs="宋体" w:asciiTheme="minorEastAsia" w:hAnsiTheme="minorEastAsia" w:eastAsiaTheme="minorEastAsia"/>
          <w:sz w:val="24"/>
          <w:highlight w:val="none"/>
        </w:rPr>
        <w:t>。</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6. 招标文件的澄清、修改</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6.1已获取招标文件的潜在投标人，若有问题需要澄清，应于投标截止时间前，以书面形式向采购机构提出。</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cs="宋体" w:asciiTheme="minorEastAsia" w:hAnsiTheme="minorEastAsia" w:eastAsiaTheme="minorEastAsia"/>
          <w:sz w:val="18"/>
          <w:szCs w:val="18"/>
          <w:highlight w:val="none"/>
          <w:lang w:val="en-US"/>
        </w:rPr>
      </w:pPr>
      <w:r>
        <w:rPr>
          <w:rFonts w:hint="eastAsia" w:cs="宋体" w:asciiTheme="minorEastAsia" w:hAnsiTheme="minorEastAsia" w:eastAsiaTheme="minorEastAsia"/>
          <w:szCs w:val="24"/>
          <w:highlight w:val="none"/>
          <w:lang w:val="en-US"/>
        </w:rPr>
        <w:t xml:space="preserve">    </w:t>
      </w:r>
    </w:p>
    <w:p>
      <w:pPr>
        <w:adjustRightInd/>
        <w:spacing w:line="360" w:lineRule="auto"/>
        <w:jc w:val="center"/>
        <w:outlineLvl w:val="0"/>
        <w:rPr>
          <w:rFonts w:cs="宋体" w:asciiTheme="minorEastAsia" w:hAnsiTheme="minorEastAsia" w:eastAsiaTheme="minorEastAsia"/>
          <w:b/>
          <w:sz w:val="30"/>
          <w:szCs w:val="20"/>
          <w:highlight w:val="none"/>
        </w:rPr>
      </w:pPr>
      <w:r>
        <w:rPr>
          <w:rFonts w:hint="eastAsia" w:cs="宋体" w:asciiTheme="minorEastAsia" w:hAnsiTheme="minorEastAsia" w:eastAsiaTheme="minorEastAsia"/>
          <w:b/>
          <w:sz w:val="30"/>
          <w:szCs w:val="20"/>
          <w:highlight w:val="none"/>
        </w:rPr>
        <w:t>三、投标</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7. 招标文件的获取</w:t>
      </w:r>
    </w:p>
    <w:p>
      <w:pPr>
        <w:spacing w:line="360" w:lineRule="auto"/>
        <w:ind w:firstLine="480" w:firstLineChars="200"/>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详见招标公告中获取招标文件的时间期限、地点、方式及招标文件售价。</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8.开标前答疑会或现场考察</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cs="宋体" w:asciiTheme="minorEastAsia" w:hAnsiTheme="minorEastAsia" w:eastAsiaTheme="minorEastAsia"/>
          <w:b/>
          <w:szCs w:val="24"/>
          <w:highlight w:val="none"/>
        </w:rPr>
      </w:pPr>
      <w:r>
        <w:rPr>
          <w:rFonts w:hint="eastAsia" w:cs="宋体" w:asciiTheme="minorEastAsia" w:hAnsiTheme="minorEastAsia" w:eastAsiaTheme="minorEastAsia"/>
          <w:b/>
          <w:kern w:val="28"/>
          <w:sz w:val="24"/>
          <w:szCs w:val="24"/>
          <w:highlight w:val="none"/>
        </w:rPr>
        <w:t>9.投标保证金</w:t>
      </w:r>
    </w:p>
    <w:p>
      <w:pPr>
        <w:pStyle w:val="7"/>
        <w:spacing w:line="360" w:lineRule="auto"/>
        <w:ind w:firstLine="470" w:firstLineChars="196"/>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本项目不需缴纳投标保证金。</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10. 投标文件的语言</w:t>
      </w:r>
    </w:p>
    <w:p>
      <w:pPr>
        <w:autoSpaceDE w:val="0"/>
        <w:autoSpaceDN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投标文件及投标人与采购有关的来往通知、函件和文件均应使用中文。</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11. 投标文件的组成</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hint="eastAsia" w:cs="宋体" w:asciiTheme="minorEastAsia" w:hAnsiTheme="minorEastAsia" w:eastAsiaTheme="minorEastAsia"/>
          <w:b/>
          <w:sz w:val="24"/>
          <w:highlight w:val="none"/>
        </w:rPr>
        <w:t>资格文件</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11.1.1符合参加政府采购活动应当具备的一般条件的承诺函；</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cs="宋体" w:asciiTheme="minorEastAsia" w:hAnsiTheme="minorEastAsia" w:eastAsiaTheme="minorEastAsia"/>
          <w:sz w:val="24"/>
          <w:highlight w:val="none"/>
        </w:rPr>
        <w:t>1.1.2</w:t>
      </w:r>
      <w:r>
        <w:rPr>
          <w:rFonts w:hint="eastAsia" w:cs="宋体" w:asciiTheme="minorEastAsia" w:hAnsiTheme="minorEastAsia" w:eastAsiaTheme="minorEastAsia"/>
          <w:snapToGrid w:val="0"/>
          <w:kern w:val="28"/>
          <w:sz w:val="24"/>
          <w:szCs w:val="20"/>
          <w:highlight w:val="none"/>
        </w:rPr>
        <w:t>联合协议（如果有)；</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11.2.1投标函；</w:t>
      </w:r>
      <w:r>
        <w:rPr>
          <w:rFonts w:hint="eastAsia" w:cs="宋体" w:asciiTheme="minorEastAsia" w:hAnsiTheme="minorEastAsia" w:eastAsiaTheme="minorEastAsia"/>
          <w:sz w:val="24"/>
          <w:highlight w:val="none"/>
          <w:lang w:val="zh-CN"/>
        </w:rPr>
        <w:t xml:space="preserve"> </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11.2.2授权委托书或法定代表人（单位负责人、自然人本人）身份证明；</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firstLine="960" w:firstLineChars="4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firstLine="480" w:firstLineChars="200"/>
        <w:rPr>
          <w:rFonts w:cs="宋体" w:asciiTheme="minorEastAsia" w:hAnsiTheme="minorEastAsia" w:eastAsiaTheme="minorEastAsia"/>
          <w:sz w:val="24"/>
          <w:highlight w:val="none"/>
          <w:u w:val="single"/>
          <w:lang w:val="zh-CN"/>
        </w:rPr>
      </w:pPr>
      <w:r>
        <w:rPr>
          <w:rFonts w:hint="eastAsia" w:cs="宋体" w:asciiTheme="minorEastAsia" w:hAnsiTheme="minorEastAsia" w:eastAsiaTheme="minorEastAsia"/>
          <w:kern w:val="0"/>
          <w:sz w:val="24"/>
          <w:highlight w:val="none"/>
          <w:lang w:val="zh-CN"/>
        </w:rPr>
        <w:t>11.</w:t>
      </w:r>
      <w:r>
        <w:rPr>
          <w:rFonts w:hint="eastAsia" w:cs="宋体" w:asciiTheme="minorEastAsia" w:hAnsiTheme="minorEastAsia" w:eastAsiaTheme="minorEastAsia"/>
          <w:kern w:val="0"/>
          <w:sz w:val="24"/>
          <w:highlight w:val="none"/>
        </w:rPr>
        <w:t>3</w:t>
      </w:r>
      <w:r>
        <w:rPr>
          <w:rFonts w:hint="eastAsia" w:cs="宋体" w:asciiTheme="minorEastAsia" w:hAnsiTheme="minorEastAsia" w:eastAsiaTheme="minorEastAsia"/>
          <w:b/>
          <w:sz w:val="24"/>
          <w:highlight w:val="none"/>
        </w:rPr>
        <w:t>报价文件：</w:t>
      </w:r>
      <w:r>
        <w:rPr>
          <w:rFonts w:hint="eastAsia" w:cs="宋体" w:asciiTheme="minorEastAsia" w:hAnsiTheme="minorEastAsia" w:eastAsiaTheme="minorEastAsia"/>
          <w:sz w:val="24"/>
          <w:highlight w:val="none"/>
        </w:rPr>
        <w:t xml:space="preserve"> </w:t>
      </w:r>
    </w:p>
    <w:p>
      <w:pPr>
        <w:snapToGrid w:val="0"/>
        <w:spacing w:line="360" w:lineRule="auto"/>
        <w:ind w:firstLine="960" w:firstLineChars="4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11.3.1开标一览表（报价表）</w:t>
      </w:r>
      <w:r>
        <w:rPr>
          <w:rFonts w:hint="eastAsia" w:cs="宋体" w:asciiTheme="minorEastAsia" w:hAnsiTheme="minorEastAsia" w:eastAsiaTheme="minorEastAsia"/>
          <w:sz w:val="24"/>
          <w:highlight w:val="none"/>
          <w:lang w:eastAsia="zh-CN"/>
        </w:rPr>
        <w:t>；</w:t>
      </w:r>
    </w:p>
    <w:p>
      <w:pPr>
        <w:snapToGrid w:val="0"/>
        <w:spacing w:line="360" w:lineRule="auto"/>
        <w:ind w:firstLine="960" w:firstLineChars="400"/>
        <w:rPr>
          <w:rFonts w:hint="eastAsia"/>
          <w:lang w:eastAsia="zh-CN"/>
        </w:rPr>
      </w:pPr>
      <w:r>
        <w:rPr>
          <w:rFonts w:hint="eastAsia" w:cs="宋体" w:asciiTheme="minorEastAsia" w:hAnsiTheme="minorEastAsia" w:eastAsiaTheme="minorEastAsia"/>
          <w:sz w:val="24"/>
          <w:highlight w:val="none"/>
        </w:rPr>
        <w:t>11.3.1</w:t>
      </w:r>
      <w:r>
        <w:rPr>
          <w:rFonts w:hint="eastAsia" w:ascii="宋体" w:hAnsi="宋体" w:eastAsia="宋体" w:cs="宋体"/>
          <w:b w:val="0"/>
          <w:bCs w:val="0"/>
          <w:color w:val="auto"/>
          <w:sz w:val="24"/>
          <w:szCs w:val="24"/>
          <w:highlight w:val="none"/>
          <w:lang w:val="en-US"/>
        </w:rPr>
        <w:t>中小企业声明函（如果有）</w:t>
      </w:r>
      <w:r>
        <w:rPr>
          <w:rFonts w:hint="eastAsia" w:cs="宋体" w:asciiTheme="minorEastAsia" w:hAnsiTheme="minorEastAsia" w:eastAsiaTheme="minorEastAsia"/>
          <w:sz w:val="24"/>
          <w:highlight w:val="none"/>
          <w:lang w:eastAsia="zh-CN"/>
        </w:rPr>
        <w:t>。</w:t>
      </w:r>
    </w:p>
    <w:p>
      <w:pPr>
        <w:spacing w:line="360" w:lineRule="auto"/>
        <w:ind w:firstLine="723" w:firstLineChars="3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投标文件含有采购人不能接受的附加条件的，投标无效；</w:t>
      </w:r>
    </w:p>
    <w:p>
      <w:pPr>
        <w:spacing w:line="360" w:lineRule="auto"/>
        <w:ind w:firstLine="723" w:firstLineChars="3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b/>
          <w:sz w:val="24"/>
          <w:highlight w:val="none"/>
        </w:rPr>
        <w:t>投标人提供虚假材料投标的，投标无效。</w:t>
      </w:r>
    </w:p>
    <w:p>
      <w:pPr>
        <w:pStyle w:val="129"/>
        <w:snapToGrid w:val="0"/>
        <w:spacing w:before="0"/>
        <w:ind w:firstLine="0" w:firstLineChars="0"/>
        <w:outlineLvl w:val="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12</w:t>
      </w:r>
      <w:r>
        <w:rPr>
          <w:rFonts w:hint="eastAsia" w:cs="宋体" w:asciiTheme="minorEastAsia" w:hAnsiTheme="minorEastAsia" w:eastAsiaTheme="minorEastAsia"/>
          <w:b/>
          <w:kern w:val="0"/>
          <w:szCs w:val="24"/>
          <w:highlight w:val="none"/>
          <w:lang w:val="zh-CN"/>
        </w:rPr>
        <w:t xml:space="preserve">. </w:t>
      </w:r>
      <w:r>
        <w:rPr>
          <w:rFonts w:hint="eastAsia" w:cs="宋体" w:asciiTheme="minorEastAsia" w:hAnsiTheme="minorEastAsia" w:eastAsiaTheme="minorEastAsia"/>
          <w:b/>
          <w:szCs w:val="24"/>
          <w:highlight w:val="none"/>
        </w:rPr>
        <w:t>投标文件的编制</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13.投标文件的签署、盖章</w:t>
      </w:r>
    </w:p>
    <w:p>
      <w:pPr>
        <w:pStyle w:val="129"/>
        <w:snapToGrid w:val="0"/>
        <w:spacing w:before="0"/>
        <w:ind w:firstLine="480"/>
        <w:rPr>
          <w:rFonts w:cs="宋体" w:asciiTheme="minorEastAsia" w:hAnsiTheme="minorEastAsia" w:eastAsiaTheme="minorEastAsia"/>
          <w:b/>
          <w:highlight w:val="none"/>
        </w:rPr>
      </w:pPr>
      <w:r>
        <w:rPr>
          <w:rFonts w:hint="eastAsia" w:cs="宋体" w:asciiTheme="minorEastAsia" w:hAnsiTheme="minorEastAsia" w:eastAsiaTheme="minorEastAsia"/>
          <w:szCs w:val="24"/>
          <w:highlight w:val="none"/>
        </w:rPr>
        <w:t>13.1投标文件按照招标文件第六部分格式要</w:t>
      </w:r>
      <w:r>
        <w:rPr>
          <w:rFonts w:hint="eastAsia" w:cs="宋体" w:asciiTheme="minorEastAsia" w:hAnsiTheme="minorEastAsia" w:eastAsiaTheme="minorEastAsia"/>
          <w:highlight w:val="none"/>
        </w:rPr>
        <w:t>求进行签署、盖章。</w:t>
      </w:r>
      <w:r>
        <w:rPr>
          <w:rFonts w:hint="eastAsia" w:cs="宋体" w:asciiTheme="minorEastAsia" w:hAnsiTheme="minorEastAsia" w:eastAsiaTheme="minorEastAsia"/>
          <w:b/>
          <w:highlight w:val="none"/>
        </w:rPr>
        <w:t>▲投标人的投标文件未按照招标文件要求签署、盖章的，其投标无效</w:t>
      </w:r>
      <w:r>
        <w:rPr>
          <w:rFonts w:hint="eastAsia" w:cs="宋体" w:asciiTheme="minorEastAsia" w:hAnsiTheme="minorEastAsia" w:eastAsiaTheme="minorEastAsia"/>
          <w:szCs w:val="24"/>
          <w:highlight w:val="none"/>
        </w:rPr>
        <w:t>。</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highlight w:val="none"/>
        </w:rPr>
        <w:t>13.3招标文件对投标文件签署、盖章的要求适用于电子签名。</w:t>
      </w:r>
    </w:p>
    <w:p>
      <w:pPr>
        <w:pStyle w:val="129"/>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14. 投标文件的提交、补充、修改、撤回</w:t>
      </w:r>
    </w:p>
    <w:p>
      <w:pPr>
        <w:pStyle w:val="129"/>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15.备份投标文件</w:t>
      </w:r>
    </w:p>
    <w:p>
      <w:pPr>
        <w:pStyle w:val="34"/>
        <w:spacing w:line="360" w:lineRule="auto"/>
        <w:ind w:firstLine="360" w:firstLineChars="15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sz w:val="24"/>
          <w:szCs w:val="24"/>
          <w:highlight w:val="none"/>
        </w:rPr>
        <w:t>但采购人、采购机构不强制或变相强制投标人提交备份投标文件。</w:t>
      </w:r>
    </w:p>
    <w:p>
      <w:pPr>
        <w:pStyle w:val="34"/>
        <w:spacing w:line="360" w:lineRule="auto"/>
        <w:ind w:firstLine="480" w:firstLineChars="20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15.2备份投标文件须在“政采云投标客户端”制作生成，并储存在</w:t>
      </w:r>
      <w:r>
        <w:rPr>
          <w:rFonts w:hint="eastAsia" w:cs="宋体" w:asciiTheme="minorEastAsia" w:hAnsiTheme="minorEastAsia" w:eastAsiaTheme="minorEastAsia"/>
          <w:sz w:val="24"/>
          <w:highlight w:val="none"/>
        </w:rPr>
        <w:t>DVD光盘</w:t>
      </w:r>
      <w:r>
        <w:rPr>
          <w:rFonts w:hint="eastAsia" w:cs="宋体" w:asciiTheme="minorEastAsia" w:hAnsiTheme="minorEastAsia" w:eastAsiaTheme="minorEastAsia"/>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sz w:val="24"/>
          <w:highlight w:val="none"/>
        </w:rPr>
        <w:t>不符合上述制作、</w:t>
      </w:r>
      <w:r>
        <w:rPr>
          <w:rFonts w:hint="eastAsia" w:cs="宋体" w:asciiTheme="minorEastAsia" w:hAnsiTheme="minorEastAsia" w:eastAsiaTheme="minorEastAsia"/>
          <w:b/>
          <w:sz w:val="24"/>
          <w:szCs w:val="24"/>
          <w:highlight w:val="none"/>
        </w:rPr>
        <w:t>存储、密封规定的备份投标文件将被视为无效或者被拒绝接收。</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cs="宋体" w:asciiTheme="minorEastAsia" w:hAnsiTheme="minorEastAsia" w:eastAsiaTheme="minorEastAsia"/>
          <w:snapToGrid/>
          <w:sz w:val="24"/>
          <w:szCs w:val="24"/>
          <w:highlight w:val="none"/>
        </w:rPr>
        <w:t>招标文件第二部分投标人须知前附表规定的备份投标文件送达地点；</w:t>
      </w:r>
      <w:r>
        <w:rPr>
          <w:rFonts w:hint="eastAsia" w:cs="宋体" w:asciiTheme="minorEastAsia" w:hAnsiTheme="minorEastAsia" w:eastAsiaTheme="minorEastAsia"/>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15.5投标人仅提交备份投标文件，未在电子交易平台传输递交投标文件的，投标无效。</w:t>
      </w:r>
    </w:p>
    <w:p>
      <w:pPr>
        <w:pStyle w:val="129"/>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16.投标文件的无效处理</w:t>
      </w:r>
    </w:p>
    <w:p>
      <w:pPr>
        <w:pStyle w:val="25"/>
        <w:spacing w:line="360" w:lineRule="auto"/>
        <w:ind w:firstLine="360" w:firstLineChars="150"/>
        <w:rPr>
          <w:rFonts w:hint="eastAsia" w:cs="宋体" w:asciiTheme="minorEastAsia" w:hAnsiTheme="minorEastAsia" w:eastAsiaTheme="minorEastAsia"/>
          <w:szCs w:val="21"/>
          <w:highlight w:val="none"/>
          <w:lang w:eastAsia="zh-CN"/>
        </w:rPr>
      </w:pPr>
      <w:r>
        <w:rPr>
          <w:rFonts w:hint="eastAsia" w:cs="宋体" w:asciiTheme="minorEastAsia" w:hAnsiTheme="minorEastAsia" w:eastAsiaTheme="minorEastAsia"/>
          <w:szCs w:val="21"/>
          <w:highlight w:val="none"/>
        </w:rPr>
        <w:t>有招标文件第四部分</w:t>
      </w:r>
      <w:r>
        <w:rPr>
          <w:rFonts w:cs="宋体" w:asciiTheme="minorEastAsia" w:hAnsiTheme="minorEastAsia" w:eastAsiaTheme="minorEastAsia"/>
          <w:szCs w:val="21"/>
          <w:highlight w:val="none"/>
        </w:rPr>
        <w:t>4.2规定</w:t>
      </w:r>
      <w:r>
        <w:rPr>
          <w:rFonts w:hint="eastAsia" w:cs="宋体" w:asciiTheme="minorEastAsia" w:hAnsiTheme="minorEastAsia" w:eastAsiaTheme="minorEastAsia"/>
          <w:szCs w:val="21"/>
          <w:highlight w:val="none"/>
        </w:rPr>
        <w:t>的情形之一的，投标无效</w:t>
      </w:r>
      <w:r>
        <w:rPr>
          <w:rFonts w:hint="eastAsia" w:cs="宋体" w:asciiTheme="minorEastAsia" w:hAnsiTheme="minorEastAsia" w:eastAsiaTheme="minorEastAsia"/>
          <w:szCs w:val="21"/>
          <w:highlight w:val="none"/>
          <w:lang w:eastAsia="zh-CN"/>
        </w:rPr>
        <w:t>。</w:t>
      </w:r>
    </w:p>
    <w:p>
      <w:pPr>
        <w:pStyle w:val="129"/>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17.投标有效期</w:t>
      </w:r>
    </w:p>
    <w:p>
      <w:pPr>
        <w:spacing w:line="360" w:lineRule="auto"/>
        <w:ind w:firstLine="480" w:firstLineChars="2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sz w:val="24"/>
          <w:szCs w:val="20"/>
          <w:highlight w:val="none"/>
        </w:rPr>
        <w:t>17.1投标有效期为从提交投标文件的截止之日起90天。▲</w:t>
      </w:r>
      <w:r>
        <w:rPr>
          <w:rFonts w:hint="eastAsia" w:cs="宋体" w:asciiTheme="minorEastAsia" w:hAnsiTheme="minorEastAsia" w:eastAsiaTheme="minorEastAsia"/>
          <w:b/>
          <w:sz w:val="24"/>
          <w:szCs w:val="20"/>
          <w:highlight w:val="none"/>
        </w:rPr>
        <w:t>投标人的投标文件中承</w:t>
      </w:r>
      <w:r>
        <w:rPr>
          <w:rFonts w:hint="eastAsia" w:cs="宋体" w:asciiTheme="minorEastAsia" w:hAnsiTheme="minorEastAsia" w:eastAsiaTheme="minorEastAsia"/>
          <w:b/>
          <w:sz w:val="24"/>
          <w:szCs w:val="21"/>
          <w:highlight w:val="none"/>
        </w:rPr>
        <w:t>诺的投标有效期少于招标文件中载明的投标有效期的，投标无效。</w:t>
      </w:r>
    </w:p>
    <w:p>
      <w:pPr>
        <w:pStyle w:val="129"/>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17.2投标文件合格投递后，自投标截止日期起，在投标有效期内有效。</w:t>
      </w:r>
    </w:p>
    <w:p>
      <w:pPr>
        <w:pStyle w:val="129"/>
        <w:spacing w:before="0"/>
        <w:ind w:firstLine="480"/>
        <w:rPr>
          <w:rFonts w:hint="eastAsia" w:cs="宋体" w:asciiTheme="minorEastAsia" w:hAnsiTheme="minorEastAsia" w:eastAsiaTheme="minorEastAsia"/>
          <w:highlight w:val="none"/>
        </w:rPr>
      </w:pPr>
      <w:r>
        <w:rPr>
          <w:rFonts w:hint="eastAsia" w:cs="宋体" w:asciiTheme="minorEastAsia" w:hAnsiTheme="minorEastAsia" w:eastAsiaTheme="minorEastAsia"/>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480"/>
        <w:rPr>
          <w:rFonts w:hint="eastAsia" w:cs="宋体" w:asciiTheme="minorEastAsia" w:hAnsiTheme="minorEastAsia" w:eastAsiaTheme="minorEastAsia"/>
          <w:highlight w:val="none"/>
        </w:rPr>
      </w:pPr>
      <w:r>
        <w:rPr>
          <w:rFonts w:hint="eastAsia" w:ascii="宋体" w:hAnsi="宋体" w:cs="宋体"/>
          <w:highlight w:val="none"/>
        </w:rPr>
        <w:t>17.4在投标截止时间起至投标有效期届满，供应商投标文件不可撤销。</w:t>
      </w:r>
    </w:p>
    <w:p>
      <w:pPr>
        <w:pStyle w:val="129"/>
        <w:spacing w:before="0"/>
        <w:ind w:firstLine="643"/>
        <w:rPr>
          <w:rFonts w:cs="宋体" w:asciiTheme="minorEastAsia" w:hAnsiTheme="minorEastAsia" w:eastAsiaTheme="minorEastAsia"/>
          <w:b/>
          <w:sz w:val="32"/>
          <w:highlight w:val="none"/>
        </w:rPr>
      </w:pPr>
    </w:p>
    <w:p>
      <w:pPr>
        <w:pStyle w:val="129"/>
        <w:spacing w:before="0"/>
        <w:ind w:firstLine="1928" w:firstLineChars="600"/>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四、开标、资格审查与信用信息查询</w:t>
      </w:r>
    </w:p>
    <w:p>
      <w:pPr>
        <w:pStyle w:val="555"/>
        <w:spacing w:before="0" w:line="360" w:lineRule="auto"/>
        <w:ind w:left="0" w:firstLine="241" w:firstLineChars="1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b/>
          <w:sz w:val="24"/>
          <w:szCs w:val="24"/>
          <w:highlight w:val="none"/>
        </w:rPr>
        <w:t>18.开标</w:t>
      </w:r>
      <w:r>
        <w:rPr>
          <w:rFonts w:hint="eastAsia" w:cs="宋体" w:asciiTheme="minorEastAsia" w:hAnsiTheme="minorEastAsia" w:eastAsiaTheme="minorEastAsia"/>
          <w:sz w:val="24"/>
          <w:highlight w:val="none"/>
        </w:rPr>
        <w:t xml:space="preserve"> </w:t>
      </w:r>
    </w:p>
    <w:p>
      <w:pPr>
        <w:pStyle w:val="555"/>
        <w:spacing w:before="0" w:line="360" w:lineRule="auto"/>
        <w:ind w:left="0" w:firstLine="480" w:firstLineChars="2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　18.3</w:t>
      </w:r>
      <w:r>
        <w:rPr>
          <w:rFonts w:hint="eastAsia" w:cs="宋体" w:asciiTheme="minorEastAsia" w:hAnsiTheme="minorEastAsia" w:eastAsiaTheme="minorEastAsia"/>
          <w:b/>
          <w:sz w:val="24"/>
          <w:highlight w:val="none"/>
        </w:rPr>
        <w:t>投标文件未按时解密，投标人提供了备份投标文件的，以备份投标文件作为依据，否则视为投标文件撤回。投标文件已按时解密的，备份投标文件自动失效。</w:t>
      </w:r>
    </w:p>
    <w:p>
      <w:pPr>
        <w:pStyle w:val="555"/>
        <w:spacing w:before="0" w:line="360" w:lineRule="auto"/>
        <w:ind w:left="0" w:firstLine="241" w:firstLineChars="100"/>
        <w:contextualSpacing/>
        <w:rPr>
          <w:rFonts w:cs="宋体" w:asciiTheme="minorEastAsia" w:hAnsiTheme="minorEastAsia" w:eastAsiaTheme="minorEastAsia"/>
          <w:b/>
          <w:sz w:val="24"/>
          <w:szCs w:val="20"/>
          <w:highlight w:val="none"/>
        </w:rPr>
      </w:pPr>
      <w:r>
        <w:rPr>
          <w:rFonts w:hint="eastAsia" w:cs="宋体" w:asciiTheme="minorEastAsia" w:hAnsiTheme="minorEastAsia" w:eastAsiaTheme="minorEastAsia"/>
          <w:b/>
          <w:sz w:val="24"/>
          <w:szCs w:val="20"/>
          <w:highlight w:val="none"/>
        </w:rPr>
        <w:t>19、资格审查</w:t>
      </w:r>
    </w:p>
    <w:p>
      <w:pPr>
        <w:pStyle w:val="129"/>
        <w:spacing w:before="0" w:line="360" w:lineRule="auto"/>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129"/>
        <w:spacing w:before="0" w:line="360" w:lineRule="auto"/>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9"/>
        <w:spacing w:before="0" w:line="360" w:lineRule="auto"/>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129"/>
        <w:spacing w:before="0" w:line="360" w:lineRule="auto"/>
        <w:ind w:firstLine="480" w:firstLineChars="200"/>
        <w:rPr>
          <w:rFonts w:hint="eastAsia"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29"/>
        <w:spacing w:before="0" w:line="360" w:lineRule="auto"/>
        <w:ind w:firstLine="241" w:firstLineChars="10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20、信用信息查询</w:t>
      </w:r>
    </w:p>
    <w:p>
      <w:pPr>
        <w:pStyle w:val="129"/>
        <w:spacing w:before="0" w:line="360" w:lineRule="auto"/>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9"/>
        <w:spacing w:before="0" w:line="360" w:lineRule="auto"/>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20.2信用信息查询记录和证据留存的具体方式：现场查询的投标人的信用记录、查询结果经确认后将与采购文件一起存档。</w:t>
      </w:r>
    </w:p>
    <w:p>
      <w:pPr>
        <w:pStyle w:val="129"/>
        <w:spacing w:before="0" w:line="360" w:lineRule="auto"/>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highlight w:val="none"/>
        </w:rPr>
        <w:t>。</w:t>
      </w:r>
    </w:p>
    <w:p>
      <w:pPr>
        <w:pStyle w:val="129"/>
        <w:spacing w:before="0"/>
        <w:ind w:firstLine="0" w:firstLineChars="0"/>
        <w:rPr>
          <w:rFonts w:cs="宋体" w:asciiTheme="minorEastAsia" w:hAnsiTheme="minorEastAsia" w:eastAsiaTheme="minorEastAsia"/>
          <w:kern w:val="0"/>
          <w:szCs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五、评标</w:t>
      </w:r>
    </w:p>
    <w:p>
      <w:pPr>
        <w:spacing w:line="360" w:lineRule="auto"/>
        <w:rPr>
          <w:rFonts w:cs="宋体" w:asciiTheme="minorEastAsia" w:hAnsiTheme="minorEastAsia" w:eastAsiaTheme="minorEastAsia"/>
          <w:b/>
          <w:sz w:val="24"/>
          <w:highlight w:val="none"/>
        </w:rPr>
      </w:pPr>
      <w:bookmarkStart w:id="13" w:name="_Toc91899903"/>
      <w:r>
        <w:rPr>
          <w:rFonts w:hint="eastAsia" w:cs="宋体" w:asciiTheme="minorEastAsia" w:hAnsiTheme="minorEastAsia" w:eastAsiaTheme="minorEastAsia"/>
          <w:b/>
          <w:sz w:val="24"/>
          <w:highlight w:val="none"/>
        </w:rPr>
        <w:t>21.</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 w:val="24"/>
          <w:highlight w:val="none"/>
        </w:rPr>
        <w:t>详见招标文件第四部分评标办法。</w:t>
      </w:r>
    </w:p>
    <w:p>
      <w:pPr>
        <w:spacing w:line="360" w:lineRule="auto"/>
        <w:rPr>
          <w:rFonts w:cs="宋体" w:asciiTheme="minorEastAsia" w:hAnsiTheme="minorEastAsia" w:eastAsiaTheme="minorEastAsia"/>
          <w:b/>
          <w:sz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六、定 标</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22. 确定中标供应商</w:t>
      </w:r>
    </w:p>
    <w:p>
      <w:pPr>
        <w:pStyle w:val="129"/>
        <w:snapToGrid w:val="0"/>
        <w:spacing w:before="0"/>
        <w:ind w:firstLine="480"/>
        <w:rPr>
          <w:rFonts w:cs="宋体" w:asciiTheme="minorEastAsia" w:hAnsiTheme="minorEastAsia" w:eastAsiaTheme="minorEastAsia"/>
          <w:b/>
          <w:szCs w:val="24"/>
          <w:highlight w:val="none"/>
        </w:rPr>
      </w:pPr>
      <w:r>
        <w:rPr>
          <w:rFonts w:hint="eastAsia" w:cs="宋体" w:asciiTheme="minorEastAsia" w:hAnsiTheme="minorEastAsia" w:eastAsiaTheme="minorEastAsia"/>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9"/>
        <w:snapToGrid w:val="0"/>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23. 中标通知与中标结果公告</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cs="宋体" w:asciiTheme="minorEastAsia" w:hAnsiTheme="minorEastAsia" w:eastAsiaTheme="minorEastAsia"/>
          <w:sz w:val="24"/>
          <w:highlight w:val="none"/>
        </w:rPr>
        <w:t>资格审查情况、评审专家抽取规则、符合性审查情况、</w:t>
      </w:r>
      <w:bookmarkEnd w:id="14"/>
      <w:r>
        <w:rPr>
          <w:rFonts w:hint="eastAsia" w:cs="宋体" w:asciiTheme="minorEastAsia" w:hAnsiTheme="minorEastAsia" w:eastAsiaTheme="minorEastAsia"/>
          <w:sz w:val="24"/>
          <w:highlight w:val="none"/>
        </w:rPr>
        <w:t>未中标情况说明、中标公告期限以及评审专家名单、评分汇总及明细。</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23.3公告期限为1个工作日。</w:t>
      </w:r>
    </w:p>
    <w:p>
      <w:pPr>
        <w:spacing w:line="360" w:lineRule="auto"/>
        <w:rPr>
          <w:rFonts w:cs="宋体" w:asciiTheme="minorEastAsia" w:hAnsiTheme="minorEastAsia" w:eastAsiaTheme="minorEastAsia"/>
          <w:b/>
          <w:sz w:val="24"/>
          <w:highlight w:val="none"/>
        </w:rPr>
      </w:pPr>
    </w:p>
    <w:p>
      <w:pPr>
        <w:snapToGrid w:val="0"/>
        <w:spacing w:line="360" w:lineRule="auto"/>
        <w:ind w:left="120" w:leftChars="57" w:firstLine="482" w:firstLineChars="150"/>
        <w:jc w:val="center"/>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七、合同授予</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 xml:space="preserve">24. </w:t>
      </w:r>
      <w:r>
        <w:rPr>
          <w:rFonts w:hint="eastAsia" w:cs="宋体" w:asciiTheme="minorEastAsia" w:hAnsiTheme="minorEastAsia" w:eastAsiaTheme="minorEastAsia"/>
          <w:highlight w:val="none"/>
        </w:rPr>
        <w:t>合同主要条款详见第五部分拟签订的合同文本。</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25. 合同的签订</w:t>
      </w:r>
    </w:p>
    <w:p>
      <w:pPr>
        <w:widowControl/>
        <w:shd w:val="clear" w:color="auto" w:fill="FFFFFF"/>
        <w:spacing w:line="360" w:lineRule="auto"/>
        <w:ind w:firstLine="48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25.1</w:t>
      </w:r>
      <w:r>
        <w:rPr>
          <w:rFonts w:hint="eastAsia" w:cs="宋体" w:asciiTheme="minorEastAsia" w:hAnsiTheme="minorEastAsia" w:eastAsiaTheme="minorEastAsia"/>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25.3如签订合同并生效后，供应商无故拒绝或延期，除按照合同条款处理外，列入不良行为记录一次，并给予通报。</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26. 履约保证金</w:t>
      </w:r>
    </w:p>
    <w:p>
      <w:pPr>
        <w:tabs>
          <w:tab w:val="left" w:pos="0"/>
        </w:tabs>
        <w:spacing w:line="360" w:lineRule="auto"/>
        <w:ind w:firstLine="482"/>
        <w:rPr>
          <w:rFonts w:hint="eastAsia"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拟签订的合同文本要求中标供应商提交履约保证金的，供应商应当以支票、汇票、本票或者金融机构、担保机构出具的保函等非现金形式提交</w:t>
      </w:r>
      <w:r>
        <w:rPr>
          <w:rFonts w:hint="eastAsia" w:cs="宋体" w:asciiTheme="minorEastAsia" w:hAnsiTheme="minorEastAsia" w:eastAsiaTheme="minorEastAsia"/>
          <w:sz w:val="24"/>
          <w:highlight w:val="none"/>
        </w:rPr>
        <w:t>。履约保证金的数额不得超过政府采购合同金额的</w:t>
      </w:r>
      <w:r>
        <w:rPr>
          <w:rFonts w:cs="宋体" w:asciiTheme="minorEastAsia" w:hAnsiTheme="minorEastAsia" w:eastAsiaTheme="minorEastAsia"/>
          <w:sz w:val="24"/>
          <w:highlight w:val="none"/>
        </w:rPr>
        <w:t>1</w:t>
      </w:r>
      <w:r>
        <w:rPr>
          <w:rFonts w:hint="eastAsia" w:cs="宋体" w:asciiTheme="minorEastAsia" w:hAnsiTheme="minorEastAsia" w:eastAsiaTheme="minorEastAsia"/>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highlight w:val="none"/>
        </w:rPr>
        <w:t>延迟退还的，应当按照合同约定和法律规定承担相应的赔偿责任</w:t>
      </w:r>
      <w:r>
        <w:rPr>
          <w:rFonts w:hint="eastAsia" w:cs="宋体" w:asciiTheme="minorEastAsia" w:hAnsiTheme="minorEastAsia" w:eastAsiaTheme="minorEastAsia"/>
          <w:sz w:val="24"/>
          <w:highlight w:val="none"/>
        </w:rPr>
        <w:t>。</w:t>
      </w:r>
    </w:p>
    <w:p>
      <w:pPr>
        <w:tabs>
          <w:tab w:val="left" w:pos="0"/>
        </w:tabs>
        <w:spacing w:line="360" w:lineRule="auto"/>
        <w:ind w:firstLine="482"/>
        <w:rPr>
          <w:rFonts w:cs="宋体" w:asciiTheme="minorEastAsia" w:hAnsiTheme="minorEastAsia" w:eastAsiaTheme="minorEastAsia"/>
          <w:highlight w:val="none"/>
          <w:lang w:val="en-US"/>
        </w:rPr>
      </w:pPr>
      <w:r>
        <w:rPr>
          <w:rFonts w:hint="eastAsia" w:cs="宋体" w:asciiTheme="minorEastAsia" w:hAnsiTheme="minorEastAsia" w:eastAsiaTheme="minorEastAsia"/>
          <w:b w:val="0"/>
          <w:bCs w:val="0"/>
          <w:snapToGrid w:val="0"/>
          <w:kern w:val="28"/>
          <w:sz w:val="24"/>
          <w:highlight w:val="none"/>
        </w:rPr>
        <w:t>供应商</w:t>
      </w:r>
      <w:r>
        <w:rPr>
          <w:rFonts w:hint="eastAsia" w:cs="宋体" w:asciiTheme="minorEastAsia" w:hAnsiTheme="minorEastAsia" w:eastAsiaTheme="minorEastAsia"/>
          <w:b w:val="0"/>
          <w:bCs w:val="0"/>
          <w:snapToGrid w:val="0"/>
          <w:kern w:val="28"/>
          <w:sz w:val="24"/>
          <w:highlight w:val="none"/>
          <w:lang w:val="en-US"/>
        </w:rPr>
        <w:t>可</w:t>
      </w:r>
      <w:r>
        <w:rPr>
          <w:rFonts w:hint="eastAsia" w:cs="宋体" w:asciiTheme="minorEastAsia" w:hAnsiTheme="minorEastAsia" w:eastAsiaTheme="minor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color w:val="auto"/>
          <w:highlight w:val="none"/>
        </w:rPr>
      </w:pPr>
      <w:r>
        <w:rPr>
          <w:rFonts w:ascii="宋体" w:hAnsi="宋体" w:eastAsia="宋体" w:cs="Times New Roman"/>
          <w:b/>
          <w:bCs/>
          <w:color w:val="auto"/>
          <w:kern w:val="2"/>
          <w:sz w:val="24"/>
          <w:szCs w:val="32"/>
          <w:highlight w:val="none"/>
          <w:lang w:val="en-US"/>
        </w:rPr>
        <w:t>27.预付款</w:t>
      </w:r>
    </w:p>
    <w:p>
      <w:pPr>
        <w:snapToGrid w:val="0"/>
        <w:spacing w:line="360" w:lineRule="auto"/>
        <w:ind w:firstLine="480" w:firstLineChars="200"/>
        <w:rPr>
          <w:rFonts w:cs="宋体" w:asciiTheme="minorEastAsia" w:hAnsiTheme="minorEastAsia" w:eastAsiaTheme="minorEastAsia"/>
          <w:b/>
          <w:sz w:val="32"/>
          <w:highlight w:val="none"/>
        </w:rPr>
      </w:pPr>
      <w:r>
        <w:rPr>
          <w:rFonts w:hint="eastAsia" w:ascii="宋体" w:hAnsi="宋体" w:cs="Times New Roman"/>
          <w:color w:val="auto"/>
          <w:kern w:val="2"/>
          <w:sz w:val="24"/>
          <w:highlight w:val="none"/>
        </w:rPr>
        <w:t>采购单位应当在政府采购合同中约定预付款，对中小企业合同预付款比例原则上不低于合同金额的</w:t>
      </w:r>
      <w:r>
        <w:rPr>
          <w:rFonts w:ascii="宋体" w:hAnsi="宋体" w:cs="Times New Roman"/>
          <w:color w:val="auto"/>
          <w:kern w:val="2"/>
          <w:sz w:val="24"/>
          <w:highlight w:val="none"/>
        </w:rPr>
        <w:t>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70%；项目分年安排预算的，每年预付款比例</w:t>
      </w:r>
      <w:r>
        <w:rPr>
          <w:rFonts w:hint="eastAsia" w:ascii="宋体" w:hAnsi="宋体"/>
          <w:color w:val="auto"/>
          <w:sz w:val="24"/>
          <w:highlight w:val="none"/>
        </w:rPr>
        <w:t>不低于</w:t>
      </w:r>
      <w:r>
        <w:rPr>
          <w:rFonts w:ascii="宋体" w:hAnsi="宋体" w:cs="Times New Roman"/>
          <w:color w:val="auto"/>
          <w:kern w:val="2"/>
          <w:sz w:val="24"/>
          <w:highlight w:val="none"/>
        </w:rPr>
        <w:t>项目年度计划支付资金额的40％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70%；采购项目实施以人工投入为主的，</w:t>
      </w:r>
      <w:r>
        <w:rPr>
          <w:rFonts w:hint="eastAsia" w:ascii="宋体" w:hAnsi="宋体" w:cs="Times New Roman"/>
          <w:color w:val="auto"/>
          <w:kern w:val="2"/>
          <w:sz w:val="24"/>
          <w:highlight w:val="none"/>
        </w:rPr>
        <w:t>可适当降低预付款比例，但不得低于</w:t>
      </w:r>
      <w:r>
        <w:rPr>
          <w:rFonts w:ascii="宋体" w:hAnsi="宋体" w:cs="Times New Roman"/>
          <w:color w:val="auto"/>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明确表示无需预付款或者主动要求降低预付款比例的，</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可不适用前述规定。</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根据项目特点、供应商诚信等因素，可以要求</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auto"/>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auto"/>
          <w:kern w:val="2"/>
          <w:sz w:val="24"/>
          <w:highlight w:val="none"/>
        </w:rPr>
        <w:t xml:space="preserve"> - </w:t>
      </w:r>
      <w:r>
        <w:rPr>
          <w:rFonts w:hint="eastAsia" w:ascii="宋体" w:hAnsi="宋体" w:cs="Times New Roman"/>
          <w:color w:val="auto"/>
          <w:kern w:val="2"/>
          <w:sz w:val="24"/>
          <w:highlight w:val="none"/>
        </w:rPr>
        <w:t>【保函保险服务】出具预付款保函，具体步骤：选择产品—填写供应商信息—选择中标项目—确认信息—等待保险</w:t>
      </w:r>
      <w:r>
        <w:rPr>
          <w:rFonts w:ascii="宋体" w:hAnsi="宋体" w:cs="Times New Roman"/>
          <w:color w:val="auto"/>
          <w:kern w:val="2"/>
          <w:sz w:val="24"/>
          <w:highlight w:val="none"/>
        </w:rPr>
        <w:t>/保函受理—确认保单—支付保费—成功出单。政</w:t>
      </w:r>
      <w:r>
        <w:rPr>
          <w:rFonts w:hint="eastAsia" w:ascii="宋体" w:hAnsi="宋体" w:cs="Times New Roman"/>
          <w:color w:val="auto"/>
          <w:kern w:val="2"/>
          <w:sz w:val="24"/>
          <w:highlight w:val="none"/>
        </w:rPr>
        <w:t>采云金融专线</w:t>
      </w:r>
      <w:r>
        <w:rPr>
          <w:rFonts w:ascii="宋体" w:hAnsi="宋体" w:cs="Times New Roman"/>
          <w:color w:val="auto"/>
          <w:kern w:val="2"/>
          <w:sz w:val="24"/>
          <w:highlight w:val="none"/>
        </w:rPr>
        <w:t>400-903-9583。</w:t>
      </w:r>
    </w:p>
    <w:p>
      <w:pPr>
        <w:snapToGrid w:val="0"/>
        <w:spacing w:line="360" w:lineRule="auto"/>
        <w:ind w:firstLine="3357" w:firstLineChars="1045"/>
        <w:rPr>
          <w:rFonts w:hint="eastAsia" w:cs="宋体" w:asciiTheme="minorEastAsia" w:hAnsiTheme="minorEastAsia" w:eastAsiaTheme="minorEastAsia"/>
          <w:b/>
          <w:sz w:val="32"/>
          <w:highlight w:val="none"/>
        </w:rPr>
      </w:pPr>
    </w:p>
    <w:p>
      <w:pPr>
        <w:snapToGrid w:val="0"/>
        <w:spacing w:line="360" w:lineRule="auto"/>
        <w:ind w:firstLine="3357" w:firstLineChars="1045"/>
        <w:rPr>
          <w:rFonts w:cs="宋体" w:asciiTheme="minorEastAsia" w:hAnsiTheme="minorEastAsia" w:eastAsiaTheme="minorEastAsia"/>
          <w:b/>
          <w:sz w:val="24"/>
          <w:highlight w:val="none"/>
        </w:rPr>
      </w:pPr>
      <w:r>
        <w:rPr>
          <w:rFonts w:hint="eastAsia" w:cs="宋体" w:asciiTheme="minorEastAsia" w:hAnsiTheme="minorEastAsia" w:eastAsiaTheme="minorEastAsia"/>
          <w:b/>
          <w:sz w:val="32"/>
          <w:highlight w:val="none"/>
        </w:rPr>
        <w:t>八、电子交易活动的中止</w:t>
      </w:r>
    </w:p>
    <w:p>
      <w:pPr>
        <w:pStyle w:val="129"/>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default" w:cs="宋体" w:asciiTheme="minorEastAsia" w:hAnsiTheme="minorEastAsia" w:eastAsiaTheme="minorEastAsia"/>
          <w:b/>
          <w:szCs w:val="24"/>
          <w:highlight w:val="none"/>
          <w:lang w:val="en-US"/>
        </w:rPr>
        <w:t>8</w:t>
      </w:r>
      <w:r>
        <w:rPr>
          <w:rFonts w:hint="eastAsia" w:cs="宋体" w:asciiTheme="minorEastAsia" w:hAnsiTheme="minorEastAsia" w:eastAsiaTheme="minorEastAsia"/>
          <w:b/>
          <w:szCs w:val="24"/>
          <w:highlight w:val="none"/>
        </w:rPr>
        <w:t>. 电子交易活动的中止。</w:t>
      </w:r>
      <w:r>
        <w:rPr>
          <w:rFonts w:hint="eastAsia" w:cs="宋体" w:asciiTheme="minorEastAsia" w:hAnsiTheme="minorEastAsia" w:eastAsiaTheme="minorEastAsia"/>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default" w:cs="宋体" w:asciiTheme="minorEastAsia" w:hAnsiTheme="minorEastAsia" w:eastAsiaTheme="minorEastAsia"/>
          <w:highlight w:val="none"/>
          <w:lang w:val="en-US"/>
        </w:rPr>
        <w:t>8</w:t>
      </w:r>
      <w:r>
        <w:rPr>
          <w:rFonts w:hint="eastAsia" w:cs="宋体" w:asciiTheme="minorEastAsia" w:hAnsiTheme="minorEastAsia" w:eastAsiaTheme="minorEastAsia"/>
          <w:highlight w:val="none"/>
        </w:rPr>
        <w:t xml:space="preserve">.1电子交易平台发生故障而无法登录访问的； </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default" w:cs="宋体" w:asciiTheme="minorEastAsia" w:hAnsiTheme="minorEastAsia" w:eastAsiaTheme="minorEastAsia"/>
          <w:highlight w:val="none"/>
          <w:lang w:val="en-US"/>
        </w:rPr>
        <w:t>8</w:t>
      </w:r>
      <w:r>
        <w:rPr>
          <w:rFonts w:hint="eastAsia" w:cs="宋体" w:asciiTheme="minorEastAsia" w:hAnsiTheme="minorEastAsia" w:eastAsiaTheme="minorEastAsia"/>
          <w:highlight w:val="none"/>
        </w:rPr>
        <w:t>.2电子交易平台应用或数据库出现错误，不能进行正常操作的；</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default" w:cs="宋体" w:asciiTheme="minorEastAsia" w:hAnsiTheme="minorEastAsia" w:eastAsiaTheme="minorEastAsia"/>
          <w:highlight w:val="none"/>
          <w:lang w:val="en-US"/>
        </w:rPr>
        <w:t>8</w:t>
      </w:r>
      <w:r>
        <w:rPr>
          <w:rFonts w:hint="eastAsia" w:cs="宋体" w:asciiTheme="minorEastAsia" w:hAnsiTheme="minorEastAsia" w:eastAsiaTheme="minorEastAsia"/>
          <w:highlight w:val="none"/>
        </w:rPr>
        <w:t>.3电子交易平台发现严重安全漏洞，有潜在泄密危险的；</w:t>
      </w:r>
    </w:p>
    <w:p>
      <w:pPr>
        <w:pStyle w:val="129"/>
        <w:snapToGrid w:val="0"/>
        <w:spacing w:before="0"/>
        <w:ind w:firstLine="480"/>
        <w:rPr>
          <w:rFonts w:cs="宋体" w:asciiTheme="minorEastAsia" w:hAnsiTheme="minorEastAsia" w:eastAsiaTheme="minorEastAsia"/>
          <w:highlight w:val="none"/>
        </w:rPr>
      </w:pPr>
      <w:r>
        <w:rPr>
          <w:rFonts w:hint="default" w:cs="宋体" w:asciiTheme="minorEastAsia" w:hAnsiTheme="minorEastAsia" w:eastAsiaTheme="minorEastAsia"/>
          <w:highlight w:val="none"/>
          <w:lang w:val="en-US"/>
        </w:rPr>
        <w:t>28</w:t>
      </w:r>
      <w:r>
        <w:rPr>
          <w:rFonts w:hint="eastAsia" w:cs="宋体" w:asciiTheme="minorEastAsia" w:hAnsiTheme="minorEastAsia" w:eastAsiaTheme="minorEastAsia"/>
          <w:highlight w:val="none"/>
        </w:rPr>
        <w:t xml:space="preserve">.4病毒发作导致不能进行正常操作的； </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default" w:cs="宋体" w:asciiTheme="minorEastAsia" w:hAnsiTheme="minorEastAsia" w:eastAsiaTheme="minorEastAsia"/>
          <w:highlight w:val="none"/>
          <w:lang w:val="en-US"/>
        </w:rPr>
        <w:t>8</w:t>
      </w:r>
      <w:r>
        <w:rPr>
          <w:rFonts w:hint="eastAsia" w:cs="宋体" w:asciiTheme="minorEastAsia" w:hAnsiTheme="minorEastAsia" w:eastAsiaTheme="minorEastAsia"/>
          <w:highlight w:val="none"/>
        </w:rPr>
        <w:t>.5其他无法保证电子交易的公平、公正和安全的情况。</w:t>
      </w:r>
    </w:p>
    <w:p>
      <w:pPr>
        <w:pStyle w:val="129"/>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highlight w:val="none"/>
        </w:rPr>
        <w:t xml:space="preserve"> 2</w:t>
      </w:r>
      <w:r>
        <w:rPr>
          <w:rFonts w:hint="default" w:cs="宋体" w:asciiTheme="minorEastAsia" w:hAnsiTheme="minorEastAsia" w:eastAsiaTheme="minorEastAsia"/>
          <w:highlight w:val="none"/>
          <w:lang w:val="en-US"/>
        </w:rPr>
        <w:t>9</w:t>
      </w:r>
      <w:r>
        <w:rPr>
          <w:rFonts w:hint="eastAsia" w:cs="宋体" w:asciiTheme="minorEastAsia" w:hAnsiTheme="minorEastAsia" w:eastAsiaTheme="minorEastAsia"/>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cs="宋体" w:asciiTheme="minorEastAsia" w:hAnsiTheme="minorEastAsia" w:eastAsiaTheme="minorEastAsia"/>
          <w:sz w:val="24"/>
          <w:highlight w:val="none"/>
        </w:rPr>
      </w:pPr>
    </w:p>
    <w:p>
      <w:pPr>
        <w:snapToGrid w:val="0"/>
        <w:spacing w:line="360" w:lineRule="auto"/>
        <w:ind w:left="120" w:leftChars="57" w:firstLine="482" w:firstLineChars="150"/>
        <w:jc w:val="center"/>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九、验收</w:t>
      </w:r>
    </w:p>
    <w:p>
      <w:pPr>
        <w:pStyle w:val="25"/>
        <w:spacing w:line="360" w:lineRule="auto"/>
        <w:ind w:firstLine="0" w:firstLineChars="0"/>
        <w:rPr>
          <w:rFonts w:cs="宋体" w:asciiTheme="minorEastAsia" w:hAnsiTheme="minorEastAsia" w:eastAsiaTheme="minorEastAsia"/>
          <w:b/>
          <w:highlight w:val="none"/>
        </w:rPr>
      </w:pPr>
      <w:r>
        <w:rPr>
          <w:rFonts w:hint="default" w:cs="宋体" w:asciiTheme="minorEastAsia" w:hAnsiTheme="minorEastAsia" w:eastAsiaTheme="minorEastAsia"/>
          <w:b/>
          <w:highlight w:val="none"/>
          <w:lang w:val="en-US"/>
        </w:rPr>
        <w:t>30</w:t>
      </w:r>
      <w:r>
        <w:rPr>
          <w:rFonts w:hint="eastAsia" w:cs="宋体" w:asciiTheme="minorEastAsia" w:hAnsiTheme="minorEastAsia" w:eastAsiaTheme="minorEastAsia"/>
          <w:b/>
          <w:highlight w:val="none"/>
        </w:rPr>
        <w:t>.验收</w:t>
      </w:r>
    </w:p>
    <w:p>
      <w:pPr>
        <w:tabs>
          <w:tab w:val="left" w:pos="0"/>
        </w:tabs>
        <w:spacing w:line="360" w:lineRule="auto"/>
        <w:ind w:firstLine="480"/>
        <w:rPr>
          <w:rFonts w:cs="宋体" w:asciiTheme="minorEastAsia" w:hAnsiTheme="minorEastAsia" w:eastAsiaTheme="minorEastAsia"/>
          <w:kern w:val="0"/>
          <w:sz w:val="24"/>
          <w:highlight w:val="none"/>
        </w:rPr>
      </w:pPr>
      <w:r>
        <w:rPr>
          <w:rFonts w:hint="default" w:cs="宋体" w:asciiTheme="minorEastAsia" w:hAnsiTheme="minorEastAsia" w:eastAsiaTheme="minorEastAsia"/>
          <w:kern w:val="0"/>
          <w:sz w:val="24"/>
          <w:highlight w:val="none"/>
          <w:lang w:val="en-US"/>
        </w:rPr>
        <w:t>30</w:t>
      </w:r>
      <w:r>
        <w:rPr>
          <w:rFonts w:hint="eastAsia" w:cs="宋体" w:asciiTheme="minorEastAsia" w:hAnsiTheme="minorEastAsia" w:eastAsiaTheme="minorEastAsia"/>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宋体" w:asciiTheme="minorEastAsia" w:hAnsiTheme="minorEastAsia" w:eastAsiaTheme="minorEastAsia"/>
          <w:kern w:val="0"/>
          <w:sz w:val="24"/>
          <w:highlight w:val="none"/>
        </w:rPr>
      </w:pPr>
      <w:r>
        <w:rPr>
          <w:rFonts w:hint="default" w:cs="宋体" w:asciiTheme="minorEastAsia" w:hAnsiTheme="minorEastAsia" w:eastAsiaTheme="minorEastAsia"/>
          <w:kern w:val="0"/>
          <w:sz w:val="24"/>
          <w:highlight w:val="none"/>
          <w:lang w:val="en-US"/>
        </w:rPr>
        <w:t>30</w:t>
      </w:r>
      <w:r>
        <w:rPr>
          <w:rFonts w:hint="eastAsia" w:cs="宋体" w:asciiTheme="minorEastAsia" w:hAnsiTheme="minorEastAsia" w:eastAsiaTheme="minorEastAsia"/>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cs="宋体" w:asciiTheme="minorEastAsia" w:hAnsiTheme="minorEastAsia" w:eastAsiaTheme="minorEastAsia"/>
          <w:kern w:val="0"/>
          <w:sz w:val="24"/>
          <w:highlight w:val="none"/>
        </w:rPr>
      </w:pPr>
      <w:r>
        <w:rPr>
          <w:rFonts w:hint="default" w:cs="宋体" w:asciiTheme="minorEastAsia" w:hAnsiTheme="minorEastAsia" w:eastAsiaTheme="minorEastAsia"/>
          <w:kern w:val="0"/>
          <w:sz w:val="24"/>
          <w:highlight w:val="none"/>
          <w:lang w:val="en-US"/>
        </w:rPr>
        <w:t>30</w:t>
      </w:r>
      <w:r>
        <w:rPr>
          <w:rFonts w:hint="eastAsia" w:cs="宋体" w:asciiTheme="minorEastAsia" w:hAnsiTheme="minorEastAsia" w:eastAsiaTheme="minorEastAsia"/>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宋体" w:asciiTheme="minorEastAsia" w:hAnsiTheme="minorEastAsia" w:eastAsiaTheme="minorEastAsia"/>
          <w:sz w:val="18"/>
          <w:szCs w:val="18"/>
          <w:highlight w:val="none"/>
        </w:rPr>
      </w:pPr>
      <w:r>
        <w:rPr>
          <w:rFonts w:hint="default" w:cs="宋体" w:asciiTheme="minorEastAsia" w:hAnsiTheme="minorEastAsia" w:eastAsiaTheme="minorEastAsia"/>
          <w:kern w:val="0"/>
          <w:sz w:val="24"/>
          <w:highlight w:val="none"/>
          <w:lang w:val="en-US"/>
        </w:rPr>
        <w:t>30</w:t>
      </w:r>
      <w:r>
        <w:rPr>
          <w:rFonts w:hint="eastAsia" w:cs="宋体" w:asciiTheme="minorEastAsia" w:hAnsiTheme="minorEastAsia" w:eastAsiaTheme="minorEastAsia"/>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cs="宋体" w:asciiTheme="minorEastAsia" w:hAnsiTheme="minorEastAsia" w:eastAsiaTheme="minorEastAsia"/>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14665"/>
      <w:bookmarkEnd w:id="15"/>
      <w:bookmarkStart w:id="16" w:name="_Hlt68073093"/>
      <w:bookmarkEnd w:id="16"/>
      <w:bookmarkStart w:id="17" w:name="_Hlt68072990"/>
      <w:bookmarkEnd w:id="17"/>
      <w:bookmarkStart w:id="18" w:name="_Hlt75236101"/>
      <w:bookmarkEnd w:id="18"/>
      <w:bookmarkStart w:id="19" w:name="_Hlt75236290"/>
      <w:bookmarkEnd w:id="19"/>
      <w:bookmarkStart w:id="20" w:name="_Hlt68072998"/>
      <w:bookmarkEnd w:id="20"/>
      <w:bookmarkStart w:id="21" w:name="_Hlt68403820"/>
      <w:bookmarkEnd w:id="21"/>
      <w:bookmarkStart w:id="22" w:name="_Hlt75236011"/>
      <w:bookmarkEnd w:id="22"/>
      <w:bookmarkStart w:id="23" w:name="_Hlt74729768"/>
      <w:bookmarkEnd w:id="23"/>
      <w:bookmarkStart w:id="24" w:name="_Hlt68057669"/>
      <w:bookmarkEnd w:id="24"/>
      <w:bookmarkStart w:id="25" w:name="_Hlt74707468"/>
      <w:bookmarkEnd w:id="25"/>
      <w:bookmarkStart w:id="26" w:name="_Hlt74730295"/>
      <w:bookmarkEnd w:id="26"/>
    </w:p>
    <w:bookmarkEnd w:id="11"/>
    <w:bookmarkEnd w:id="12"/>
    <w:p>
      <w:pPr>
        <w:spacing w:line="360" w:lineRule="auto"/>
        <w:jc w:val="center"/>
        <w:outlineLvl w:val="0"/>
        <w:rPr>
          <w:rFonts w:cs="宋体" w:asciiTheme="minorEastAsia" w:hAnsiTheme="minorEastAsia" w:eastAsiaTheme="minorEastAsia"/>
          <w:b/>
          <w:sz w:val="36"/>
          <w:szCs w:val="36"/>
          <w:highlight w:val="none"/>
        </w:rPr>
      </w:pPr>
      <w:bookmarkStart w:id="27" w:name="第四部分"/>
      <w:r>
        <w:rPr>
          <w:rFonts w:hint="eastAsia" w:cs="宋体" w:asciiTheme="minorEastAsia" w:hAnsiTheme="minorEastAsia" w:eastAsiaTheme="minorEastAsia"/>
          <w:b/>
          <w:sz w:val="36"/>
          <w:szCs w:val="36"/>
          <w:highlight w:val="none"/>
        </w:rPr>
        <w:t>第三部分   采购需求</w:t>
      </w:r>
    </w:p>
    <w:p>
      <w:pPr>
        <w:keepNext w:val="0"/>
        <w:keepLines w:val="0"/>
        <w:pageBreakBefore w:val="0"/>
        <w:kinsoku/>
        <w:wordWrap/>
        <w:overflowPunct/>
        <w:topLinePunct w:val="0"/>
        <w:bidi w:val="0"/>
        <w:adjustRightInd w:val="0"/>
        <w:snapToGrid w:val="0"/>
        <w:spacing w:line="360" w:lineRule="auto"/>
        <w:ind w:left="105"/>
        <w:textAlignment w:val="auto"/>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w:t>
      </w:r>
      <w:r>
        <w:rPr>
          <w:rFonts w:hint="eastAsia" w:cs="宋体" w:asciiTheme="minorEastAsia" w:hAnsiTheme="minorEastAsia"/>
          <w:b/>
          <w:color w:val="auto"/>
          <w:sz w:val="24"/>
          <w:highlight w:val="none"/>
        </w:rPr>
        <w:t>建设</w:t>
      </w:r>
      <w:r>
        <w:rPr>
          <w:rFonts w:hint="eastAsia" w:cs="宋体" w:asciiTheme="minorEastAsia" w:hAnsiTheme="minorEastAsia"/>
          <w:b/>
          <w:color w:val="auto"/>
          <w:sz w:val="24"/>
          <w:highlight w:val="none"/>
          <w:lang w:val="zh-CN"/>
        </w:rPr>
        <w:t>背景</w:t>
      </w:r>
    </w:p>
    <w:p>
      <w:pPr>
        <w:keepNext w:val="0"/>
        <w:keepLines w:val="0"/>
        <w:pageBreakBefore w:val="0"/>
        <w:widowControl/>
        <w:kinsoku/>
        <w:wordWrap/>
        <w:overflowPunct/>
        <w:topLinePunct w:val="0"/>
        <w:bidi w:val="0"/>
        <w:adjustRightInd w:val="0"/>
        <w:spacing w:line="360" w:lineRule="auto"/>
        <w:ind w:firstLine="480" w:firstLineChars="200"/>
        <w:textAlignment w:val="auto"/>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党的二十大报告指出，要完善社会治理体系，健全共建共治共享的社会治理制度，提升社会治理效能，畅通和规范群众诉求表达、利益协调、权益保障通道，建设人人有责、人人尽责、人人享有的社会治理共同体。同时，为进一步</w:t>
      </w:r>
      <w:r>
        <w:rPr>
          <w:rFonts w:cs="宋体" w:asciiTheme="minorEastAsia" w:hAnsiTheme="minorEastAsia"/>
          <w:color w:val="auto"/>
          <w:sz w:val="24"/>
          <w:highlight w:val="none"/>
          <w:lang w:val="zh-CN"/>
        </w:rPr>
        <w:t>贯彻为贯彻落实省委省政府关于基层治理体系的建设要求，深化数字化改革以来“</w:t>
      </w:r>
      <w:r>
        <w:rPr>
          <w:rFonts w:hint="eastAsia" w:cs="宋体" w:asciiTheme="minorEastAsia" w:hAnsiTheme="minorEastAsia"/>
          <w:color w:val="auto"/>
          <w:sz w:val="24"/>
          <w:highlight w:val="none"/>
          <w:lang w:val="zh-CN"/>
        </w:rPr>
        <w:t>162</w:t>
      </w:r>
      <w:r>
        <w:rPr>
          <w:rFonts w:cs="宋体" w:asciiTheme="minorEastAsia" w:hAnsiTheme="minorEastAsia"/>
          <w:color w:val="auto"/>
          <w:sz w:val="24"/>
          <w:highlight w:val="none"/>
          <w:lang w:val="zh-CN"/>
        </w:rPr>
        <w:t>”</w:t>
      </w:r>
      <w:r>
        <w:rPr>
          <w:rFonts w:cs="宋体" w:asciiTheme="minorEastAsia" w:hAnsiTheme="minorEastAsia"/>
          <w:color w:val="auto"/>
          <w:sz w:val="24"/>
          <w:highlight w:val="none"/>
          <w:lang w:eastAsia="zh-Hans"/>
        </w:rPr>
        <w:t>与</w:t>
      </w:r>
      <w:r>
        <w:rPr>
          <w:rFonts w:cs="宋体" w:asciiTheme="minorEastAsia" w:hAnsiTheme="minorEastAsia"/>
          <w:color w:val="auto"/>
          <w:sz w:val="24"/>
          <w:highlight w:val="none"/>
          <w:lang w:val="zh-CN"/>
        </w:rPr>
        <w:t>“141”的贯通成果，需要对基层治理系统全面迭代升级，基层治理系统作为数字化改革重大应用在基层集成落地、推动改革成果转化为治理效能的重要载体，需要要深化“县乡一体、条抓块统”改革，迭代升级“141”体系，设置党建统领、经济生态、平安法治、公共服务4条跑道，加快建设基层治理大脑，推动6大系统在基层综合集成、协同赋能，打造高效协同、整体智治的基层治理体系，并最终实现“省域治理体系和治理能力现代化”。</w:t>
      </w:r>
    </w:p>
    <w:p>
      <w:pPr>
        <w:keepNext w:val="0"/>
        <w:keepLines w:val="0"/>
        <w:pageBreakBefore w:val="0"/>
        <w:widowControl/>
        <w:kinsoku/>
        <w:wordWrap/>
        <w:overflowPunct/>
        <w:topLinePunct w:val="0"/>
        <w:bidi w:val="0"/>
        <w:adjustRightInd w:val="0"/>
        <w:spacing w:line="360" w:lineRule="auto"/>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二、</w:t>
      </w:r>
      <w:r>
        <w:rPr>
          <w:rFonts w:hint="eastAsia" w:cs="宋体" w:asciiTheme="minorEastAsia" w:hAnsiTheme="minorEastAsia"/>
          <w:b/>
          <w:color w:val="auto"/>
          <w:sz w:val="24"/>
          <w:highlight w:val="none"/>
        </w:rPr>
        <w:t>建设目标</w:t>
      </w:r>
    </w:p>
    <w:p>
      <w:pPr>
        <w:snapToGrid w:val="0"/>
        <w:spacing w:line="360" w:lineRule="auto"/>
        <w:ind w:firstLine="480" w:firstLineChars="200"/>
        <w:rPr>
          <w:rFonts w:cs="宋体" w:asciiTheme="minorEastAsia" w:hAnsiTheme="minorEastAsia"/>
          <w:color w:val="auto"/>
          <w:sz w:val="24"/>
          <w:highlight w:val="none"/>
        </w:rPr>
      </w:pPr>
      <w:r>
        <w:rPr>
          <w:rFonts w:cs="宋体" w:asciiTheme="minorEastAsia" w:hAnsiTheme="minorEastAsia"/>
          <w:color w:val="auto"/>
          <w:sz w:val="24"/>
          <w:highlight w:val="none"/>
        </w:rPr>
        <w:t>按照集约</w:t>
      </w:r>
      <w:r>
        <w:rPr>
          <w:rFonts w:cs="宋体" w:asciiTheme="minorEastAsia" w:hAnsiTheme="minorEastAsia"/>
          <w:color w:val="auto"/>
          <w:sz w:val="24"/>
          <w:highlight w:val="none"/>
          <w:lang w:eastAsia="zh-Hans"/>
        </w:rPr>
        <w:t>共建</w:t>
      </w:r>
      <w:r>
        <w:rPr>
          <w:rFonts w:cs="宋体" w:asciiTheme="minorEastAsia" w:hAnsiTheme="minorEastAsia"/>
          <w:color w:val="auto"/>
          <w:sz w:val="24"/>
          <w:highlight w:val="none"/>
        </w:rPr>
        <w:t>、协同共享、</w:t>
      </w:r>
      <w:r>
        <w:rPr>
          <w:rFonts w:cs="宋体" w:asciiTheme="minorEastAsia" w:hAnsiTheme="minorEastAsia"/>
          <w:color w:val="auto"/>
          <w:sz w:val="24"/>
          <w:highlight w:val="none"/>
          <w:lang w:eastAsia="zh-Hans"/>
        </w:rPr>
        <w:t>便捷操作、</w:t>
      </w:r>
      <w:r>
        <w:rPr>
          <w:rFonts w:cs="宋体" w:asciiTheme="minorEastAsia" w:hAnsiTheme="minorEastAsia"/>
          <w:color w:val="auto"/>
          <w:sz w:val="24"/>
          <w:highlight w:val="none"/>
        </w:rPr>
        <w:t>安全可控的原则，</w:t>
      </w:r>
      <w:r>
        <w:rPr>
          <w:rFonts w:cs="宋体" w:asciiTheme="minorEastAsia" w:hAnsiTheme="minorEastAsia"/>
          <w:color w:val="auto"/>
          <w:sz w:val="24"/>
          <w:highlight w:val="none"/>
          <w:lang w:eastAsia="zh-Hans"/>
        </w:rPr>
        <w:t>迭代西湖区一体化智治平台项目系统。</w:t>
      </w:r>
      <w:r>
        <w:rPr>
          <w:rFonts w:cs="宋体" w:asciiTheme="minorEastAsia" w:hAnsiTheme="minorEastAsia"/>
          <w:color w:val="auto"/>
          <w:sz w:val="24"/>
          <w:highlight w:val="none"/>
        </w:rPr>
        <w:t>以“统一基层工作平台、统一</w:t>
      </w:r>
      <w:r>
        <w:rPr>
          <w:rFonts w:cs="宋体" w:asciiTheme="minorEastAsia" w:hAnsiTheme="minorEastAsia"/>
          <w:color w:val="auto"/>
          <w:sz w:val="24"/>
          <w:highlight w:val="none"/>
          <w:lang w:eastAsia="zh-Hans"/>
        </w:rPr>
        <w:t>事件</w:t>
      </w:r>
      <w:r>
        <w:rPr>
          <w:rFonts w:cs="宋体" w:asciiTheme="minorEastAsia" w:hAnsiTheme="minorEastAsia"/>
          <w:color w:val="auto"/>
          <w:sz w:val="24"/>
          <w:highlight w:val="none"/>
        </w:rPr>
        <w:t>中心、</w:t>
      </w:r>
      <w:r>
        <w:rPr>
          <w:rFonts w:cs="宋体" w:asciiTheme="minorEastAsia" w:hAnsiTheme="minorEastAsia"/>
          <w:color w:val="auto"/>
          <w:sz w:val="24"/>
          <w:highlight w:val="none"/>
          <w:lang w:eastAsia="zh-Hans"/>
        </w:rPr>
        <w:t>统一任务中心、</w:t>
      </w:r>
      <w:r>
        <w:rPr>
          <w:rFonts w:cs="宋体" w:asciiTheme="minorEastAsia" w:hAnsiTheme="minorEastAsia"/>
          <w:color w:val="auto"/>
          <w:sz w:val="24"/>
          <w:highlight w:val="none"/>
        </w:rPr>
        <w:t>统一网格移动终端、统一应用支撑、统一运行环境、统一标准规范”为主要</w:t>
      </w:r>
      <w:r>
        <w:rPr>
          <w:rFonts w:cs="宋体" w:asciiTheme="minorEastAsia" w:hAnsiTheme="minorEastAsia"/>
          <w:color w:val="auto"/>
          <w:sz w:val="24"/>
          <w:highlight w:val="none"/>
          <w:lang w:eastAsia="zh-Hans"/>
        </w:rPr>
        <w:t>建设目标</w:t>
      </w:r>
      <w:r>
        <w:rPr>
          <w:rFonts w:cs="宋体" w:asciiTheme="minorEastAsia" w:hAnsiTheme="minorEastAsia"/>
          <w:color w:val="auto"/>
          <w:sz w:val="24"/>
          <w:highlight w:val="none"/>
        </w:rPr>
        <w:t>，</w:t>
      </w:r>
      <w:r>
        <w:rPr>
          <w:rFonts w:cs="宋体" w:asciiTheme="minorEastAsia" w:hAnsiTheme="minorEastAsia"/>
          <w:color w:val="auto"/>
          <w:sz w:val="24"/>
          <w:highlight w:val="none"/>
          <w:lang w:eastAsia="zh-Hans"/>
        </w:rPr>
        <w:t>为</w:t>
      </w:r>
      <w:r>
        <w:rPr>
          <w:rFonts w:cs="宋体" w:asciiTheme="minorEastAsia" w:hAnsiTheme="minorEastAsia"/>
          <w:color w:val="auto"/>
          <w:sz w:val="24"/>
          <w:highlight w:val="none"/>
        </w:rPr>
        <w:t>实现基层治理数据标准化采集、汇聚、流转、交换、共享，</w:t>
      </w:r>
      <w:r>
        <w:rPr>
          <w:rFonts w:cs="宋体" w:asciiTheme="minorEastAsia" w:hAnsiTheme="minorEastAsia"/>
          <w:color w:val="auto"/>
          <w:sz w:val="24"/>
          <w:highlight w:val="none"/>
          <w:lang w:eastAsia="zh-Hans"/>
        </w:rPr>
        <w:t>实现基层治理事件规范化准入、处置、协同、联办，实现基层治理任务规范化准入、下派、执行、反馈，实现基层网格规范化划分、管理、治理，最终建设成</w:t>
      </w:r>
      <w:r>
        <w:rPr>
          <w:rFonts w:cs="宋体" w:asciiTheme="minorEastAsia" w:hAnsiTheme="minorEastAsia"/>
          <w:color w:val="auto"/>
          <w:sz w:val="24"/>
          <w:highlight w:val="none"/>
        </w:rPr>
        <w:t>为各级各部门的基层社会治理工作提供</w:t>
      </w:r>
      <w:r>
        <w:rPr>
          <w:rFonts w:cs="宋体" w:asciiTheme="minorEastAsia" w:hAnsiTheme="minorEastAsia"/>
          <w:color w:val="auto"/>
          <w:sz w:val="24"/>
          <w:highlight w:val="none"/>
          <w:lang w:eastAsia="zh-Hans"/>
        </w:rPr>
        <w:t>业务应用支撑的政务中台和</w:t>
      </w:r>
      <w:r>
        <w:rPr>
          <w:rFonts w:hint="eastAsia" w:cs="宋体" w:asciiTheme="minorEastAsia" w:hAnsiTheme="minorEastAsia"/>
          <w:color w:val="auto"/>
          <w:sz w:val="24"/>
          <w:highlight w:val="none"/>
          <w:lang w:eastAsia="zh-Hans"/>
        </w:rPr>
        <w:t>基层智治综合应用</w:t>
      </w:r>
      <w:r>
        <w:rPr>
          <w:rFonts w:cs="宋体" w:asciiTheme="minorEastAsia" w:hAnsiTheme="minorEastAsia"/>
          <w:color w:val="auto"/>
          <w:sz w:val="24"/>
          <w:highlight w:val="none"/>
          <w:lang w:eastAsia="zh-Hans"/>
        </w:rPr>
        <w:t>建设</w:t>
      </w:r>
      <w:r>
        <w:rPr>
          <w:rFonts w:cs="宋体" w:asciiTheme="minorEastAsia" w:hAnsiTheme="minorEastAsia"/>
          <w:color w:val="auto"/>
          <w:sz w:val="24"/>
          <w:highlight w:val="none"/>
        </w:rPr>
        <w:t>。根据</w:t>
      </w:r>
      <w:r>
        <w:rPr>
          <w:rFonts w:cs="宋体" w:asciiTheme="minorEastAsia" w:hAnsiTheme="minorEastAsia"/>
          <w:color w:val="auto"/>
          <w:sz w:val="24"/>
          <w:highlight w:val="none"/>
          <w:lang w:eastAsia="zh-Hans"/>
        </w:rPr>
        <w:t>西湖区在</w:t>
      </w:r>
      <w:r>
        <w:rPr>
          <w:rFonts w:cs="宋体" w:asciiTheme="minorEastAsia" w:hAnsiTheme="minorEastAsia"/>
          <w:color w:val="auto"/>
          <w:sz w:val="24"/>
          <w:highlight w:val="none"/>
        </w:rPr>
        <w:t>维护稳定、社会治理、</w:t>
      </w:r>
      <w:r>
        <w:rPr>
          <w:rFonts w:cs="宋体" w:asciiTheme="minorEastAsia" w:hAnsiTheme="minorEastAsia"/>
          <w:color w:val="auto"/>
          <w:sz w:val="24"/>
          <w:highlight w:val="none"/>
          <w:lang w:eastAsia="zh-Hans"/>
        </w:rPr>
        <w:t>服务群众</w:t>
      </w:r>
      <w:r>
        <w:rPr>
          <w:rFonts w:cs="宋体" w:asciiTheme="minorEastAsia" w:hAnsiTheme="minorEastAsia"/>
          <w:color w:val="auto"/>
          <w:sz w:val="24"/>
          <w:highlight w:val="none"/>
        </w:rPr>
        <w:t>等方面的实际需求，立足西湖区位区情，在</w:t>
      </w:r>
      <w:r>
        <w:rPr>
          <w:rFonts w:cs="宋体" w:asciiTheme="minorEastAsia" w:hAnsiTheme="minorEastAsia"/>
          <w:color w:val="auto"/>
          <w:sz w:val="24"/>
          <w:highlight w:val="none"/>
          <w:lang w:eastAsia="zh-Hans"/>
        </w:rPr>
        <w:t>西湖区一体化智治平台项目迭代升级时一方面完成</w:t>
      </w:r>
      <w:r>
        <w:rPr>
          <w:rFonts w:hint="eastAsia" w:cs="宋体" w:asciiTheme="minorEastAsia" w:hAnsiTheme="minorEastAsia"/>
          <w:color w:val="auto"/>
          <w:sz w:val="24"/>
          <w:highlight w:val="none"/>
        </w:rPr>
        <w:t>162</w:t>
      </w:r>
      <w:r>
        <w:rPr>
          <w:rFonts w:cs="宋体" w:asciiTheme="minorEastAsia" w:hAnsiTheme="minorEastAsia"/>
          <w:color w:val="auto"/>
          <w:sz w:val="24"/>
          <w:highlight w:val="none"/>
          <w:lang w:eastAsia="zh-Hans"/>
        </w:rPr>
        <w:t>体系重大应用在141体系的党建统领、经济生态、平安法治、公共服务四条跑道的贯通应用；另一方面</w:t>
      </w:r>
      <w:r>
        <w:rPr>
          <w:rFonts w:hint="eastAsia" w:cs="宋体" w:asciiTheme="minorEastAsia" w:hAnsiTheme="minorEastAsia"/>
          <w:color w:val="auto"/>
          <w:sz w:val="24"/>
          <w:highlight w:val="none"/>
          <w:lang w:eastAsia="zh-Hans"/>
        </w:rPr>
        <w:t>建设政务中台提供技术</w:t>
      </w:r>
      <w:r>
        <w:rPr>
          <w:rFonts w:cs="宋体" w:asciiTheme="minorEastAsia" w:hAnsiTheme="minorEastAsia"/>
          <w:color w:val="auto"/>
          <w:sz w:val="24"/>
          <w:highlight w:val="none"/>
          <w:lang w:eastAsia="zh-Hans"/>
        </w:rPr>
        <w:t>支撑</w:t>
      </w:r>
      <w:r>
        <w:rPr>
          <w:rFonts w:cs="宋体" w:asciiTheme="minorEastAsia" w:hAnsiTheme="minorEastAsia"/>
          <w:color w:val="auto"/>
          <w:sz w:val="24"/>
          <w:highlight w:val="none"/>
          <w:lang w:val="zh-CN" w:eastAsia="zh-Hans"/>
        </w:rPr>
        <w:t>，</w:t>
      </w:r>
      <w:r>
        <w:rPr>
          <w:rFonts w:hint="eastAsia" w:cs="宋体" w:asciiTheme="minorEastAsia" w:hAnsiTheme="minorEastAsia"/>
          <w:color w:val="auto"/>
          <w:sz w:val="24"/>
          <w:highlight w:val="none"/>
          <w:lang w:eastAsia="zh-Hans"/>
        </w:rPr>
        <w:t>同时根据</w:t>
      </w:r>
      <w:r>
        <w:rPr>
          <w:rFonts w:cs="宋体" w:asciiTheme="minorEastAsia" w:hAnsiTheme="minorEastAsia"/>
          <w:color w:val="auto"/>
          <w:sz w:val="24"/>
          <w:highlight w:val="none"/>
          <w:lang w:val="zh-CN" w:eastAsia="zh-Hans"/>
        </w:rPr>
        <w:t>《浙江省“141”体系迭代升级工作指南（征求意见稿）》</w:t>
      </w:r>
      <w:r>
        <w:rPr>
          <w:rFonts w:hint="eastAsia" w:cs="宋体" w:asciiTheme="minorEastAsia" w:hAnsiTheme="minorEastAsia"/>
          <w:color w:val="auto"/>
          <w:sz w:val="24"/>
          <w:highlight w:val="none"/>
          <w:lang w:eastAsia="zh-Hans"/>
        </w:rPr>
        <w:t>的建设要求迭代升级原“基层治理四平台”为基层智治综合应用系统</w:t>
      </w:r>
      <w:r>
        <w:rPr>
          <w:rFonts w:cs="宋体" w:asciiTheme="minorEastAsia" w:hAnsiTheme="minorEastAsia"/>
          <w:color w:val="auto"/>
          <w:sz w:val="24"/>
          <w:highlight w:val="none"/>
          <w:lang w:val="zh-CN" w:eastAsia="zh-Hans"/>
        </w:rPr>
        <w:t>，</w:t>
      </w:r>
      <w:r>
        <w:rPr>
          <w:rFonts w:hint="eastAsia" w:cs="宋体" w:asciiTheme="minorEastAsia" w:hAnsiTheme="minorEastAsia"/>
          <w:color w:val="auto"/>
          <w:sz w:val="24"/>
          <w:highlight w:val="none"/>
          <w:lang w:eastAsia="zh-Hans"/>
        </w:rPr>
        <w:t>并支撑</w:t>
      </w:r>
      <w:r>
        <w:rPr>
          <w:rFonts w:cs="宋体" w:asciiTheme="minorEastAsia" w:hAnsiTheme="minorEastAsia"/>
          <w:color w:val="auto"/>
          <w:sz w:val="24"/>
          <w:highlight w:val="none"/>
          <w:lang w:eastAsia="zh-Hans"/>
        </w:rPr>
        <w:t>建设西湖区西湖区大情报一体化、</w:t>
      </w:r>
      <w:r>
        <w:rPr>
          <w:rFonts w:hint="eastAsia" w:ascii="宋体" w:hAnsi="宋体" w:cs="宋体"/>
          <w:color w:val="auto"/>
          <w:sz w:val="24"/>
          <w:highlight w:val="none"/>
        </w:rPr>
        <w:t>人口治理</w:t>
      </w:r>
      <w:r>
        <w:rPr>
          <w:rFonts w:cs="宋体" w:asciiTheme="minorEastAsia" w:hAnsiTheme="minorEastAsia"/>
          <w:color w:val="auto"/>
          <w:sz w:val="24"/>
          <w:highlight w:val="none"/>
          <w:lang w:val="zh-CN" w:eastAsia="zh-Hans"/>
        </w:rPr>
        <w:t>管</w:t>
      </w:r>
      <w:r>
        <w:rPr>
          <w:rFonts w:cs="宋体" w:asciiTheme="minorEastAsia" w:hAnsiTheme="minorEastAsia"/>
          <w:color w:val="auto"/>
          <w:sz w:val="24"/>
          <w:highlight w:val="none"/>
          <w:lang w:eastAsia="zh-Hans"/>
        </w:rPr>
        <w:t>等具有西湖特色的专题应用。以应用创新行动紧贴数字化改革要求，为基层治理赋能精准定向整治，提升社会稳定，提高人民群众满意度，推进141体系改革。</w:t>
      </w:r>
    </w:p>
    <w:p>
      <w:pPr>
        <w:snapToGrid w:val="0"/>
        <w:spacing w:line="360" w:lineRule="auto"/>
        <w:ind w:firstLine="480" w:firstLineChars="200"/>
        <w:rPr>
          <w:rFonts w:hint="eastAsia" w:ascii="宋体" w:hAnsi="宋体" w:eastAsia="宋体" w:cs="宋体"/>
          <w:b/>
          <w:bCs/>
          <w:snapToGrid w:val="0"/>
          <w:kern w:val="0"/>
          <w:sz w:val="24"/>
          <w:szCs w:val="24"/>
          <w:highlight w:val="none"/>
        </w:rPr>
      </w:pPr>
      <w:r>
        <w:rPr>
          <w:rFonts w:cs="宋体" w:asciiTheme="minorEastAsia" w:hAnsiTheme="minorEastAsia"/>
          <w:color w:val="auto"/>
          <w:sz w:val="24"/>
          <w:highlight w:val="none"/>
        </w:rPr>
        <w:t>根据</w:t>
      </w:r>
      <w:r>
        <w:rPr>
          <w:rFonts w:cs="宋体" w:asciiTheme="minorEastAsia" w:hAnsiTheme="minorEastAsia"/>
          <w:color w:val="auto"/>
          <w:sz w:val="24"/>
          <w:highlight w:val="none"/>
          <w:lang w:val="zh-CN" w:eastAsia="zh-Hans"/>
        </w:rPr>
        <w:t>《浙江省“141”体系迭代升级工作指南（征求意见稿）》</w:t>
      </w:r>
      <w:r>
        <w:rPr>
          <w:rFonts w:hint="eastAsia" w:cs="宋体" w:asciiTheme="minorEastAsia" w:hAnsiTheme="minorEastAsia"/>
          <w:color w:val="auto"/>
          <w:sz w:val="24"/>
          <w:highlight w:val="none"/>
          <w:lang w:val="zh-CN" w:eastAsia="zh-Hans"/>
        </w:rPr>
        <w:t>对</w:t>
      </w:r>
      <w:r>
        <w:rPr>
          <w:rFonts w:hint="eastAsia" w:cs="宋体" w:asciiTheme="minorEastAsia" w:hAnsiTheme="minorEastAsia"/>
          <w:color w:val="auto"/>
          <w:sz w:val="24"/>
          <w:highlight w:val="none"/>
          <w:lang w:eastAsia="zh-Hans"/>
        </w:rPr>
        <w:t>基层智治综合应用</w:t>
      </w:r>
      <w:r>
        <w:rPr>
          <w:rFonts w:cs="宋体" w:asciiTheme="minorEastAsia" w:hAnsiTheme="minorEastAsia"/>
          <w:color w:val="auto"/>
          <w:sz w:val="24"/>
          <w:highlight w:val="none"/>
        </w:rPr>
        <w:t>的定位，以</w:t>
      </w:r>
      <w:r>
        <w:rPr>
          <w:rFonts w:cs="宋体" w:asciiTheme="minorEastAsia" w:hAnsiTheme="minorEastAsia"/>
          <w:color w:val="auto"/>
          <w:sz w:val="24"/>
          <w:highlight w:val="none"/>
          <w:lang w:eastAsia="zh-Hans"/>
        </w:rPr>
        <w:t>事件、任务</w:t>
      </w:r>
      <w:r>
        <w:rPr>
          <w:rFonts w:cs="宋体" w:asciiTheme="minorEastAsia" w:hAnsiTheme="minorEastAsia"/>
          <w:color w:val="auto"/>
          <w:sz w:val="24"/>
          <w:highlight w:val="none"/>
        </w:rPr>
        <w:t>为主导，</w:t>
      </w:r>
      <w:r>
        <w:rPr>
          <w:rFonts w:cs="宋体" w:asciiTheme="minorEastAsia" w:hAnsiTheme="minorEastAsia"/>
          <w:color w:val="auto"/>
          <w:sz w:val="24"/>
          <w:highlight w:val="none"/>
          <w:lang w:eastAsia="zh-Hans"/>
        </w:rPr>
        <w:t>完成西湖区人房基础数据治理，</w:t>
      </w:r>
      <w:r>
        <w:rPr>
          <w:rFonts w:cs="宋体" w:asciiTheme="minorEastAsia" w:hAnsiTheme="minorEastAsia"/>
          <w:color w:val="auto"/>
          <w:sz w:val="24"/>
          <w:highlight w:val="none"/>
        </w:rPr>
        <w:t>对事件分类进行重新细化调整，落实处置力量，进一步完善事件受理、分析、流转、处置、督办反馈、考核等全过程闭环管理机制</w:t>
      </w:r>
      <w:r>
        <w:rPr>
          <w:rFonts w:cs="宋体" w:asciiTheme="minorEastAsia" w:hAnsiTheme="minorEastAsia"/>
          <w:color w:val="auto"/>
          <w:sz w:val="24"/>
          <w:highlight w:val="none"/>
          <w:lang w:eastAsia="zh-Hans"/>
        </w:rPr>
        <w:t>及流程</w:t>
      </w:r>
      <w:r>
        <w:rPr>
          <w:rFonts w:cs="宋体" w:asciiTheme="minorEastAsia" w:hAnsiTheme="minorEastAsia"/>
          <w:color w:val="auto"/>
          <w:sz w:val="24"/>
          <w:highlight w:val="none"/>
        </w:rPr>
        <w:t>，进一步深化做优</w:t>
      </w:r>
      <w:r>
        <w:rPr>
          <w:rFonts w:cs="宋体" w:asciiTheme="minorEastAsia" w:hAnsiTheme="minorEastAsia"/>
          <w:color w:val="auto"/>
          <w:sz w:val="24"/>
          <w:highlight w:val="none"/>
          <w:lang w:eastAsia="zh-Hans"/>
        </w:rPr>
        <w:t>事项管理、</w:t>
      </w:r>
      <w:r>
        <w:rPr>
          <w:rFonts w:cs="宋体" w:asciiTheme="minorEastAsia" w:hAnsiTheme="minorEastAsia"/>
          <w:color w:val="auto"/>
          <w:sz w:val="24"/>
          <w:highlight w:val="none"/>
        </w:rPr>
        <w:t>事件流转、分析研判、业务协同、考评考核、</w:t>
      </w:r>
      <w:r>
        <w:rPr>
          <w:rFonts w:cs="宋体" w:asciiTheme="minorEastAsia" w:hAnsiTheme="minorEastAsia"/>
          <w:color w:val="auto"/>
          <w:sz w:val="24"/>
          <w:highlight w:val="none"/>
          <w:lang w:eastAsia="zh-Hans"/>
        </w:rPr>
        <w:t>网格管理、决策赋能</w:t>
      </w:r>
      <w:r>
        <w:rPr>
          <w:rFonts w:cs="宋体" w:asciiTheme="minorEastAsia" w:hAnsiTheme="minorEastAsia"/>
          <w:color w:val="auto"/>
          <w:sz w:val="24"/>
          <w:highlight w:val="none"/>
        </w:rPr>
        <w:t>等功能，切实发挥</w:t>
      </w:r>
      <w:r>
        <w:rPr>
          <w:rFonts w:hint="eastAsia" w:cs="宋体" w:asciiTheme="minorEastAsia" w:hAnsiTheme="minorEastAsia"/>
          <w:color w:val="auto"/>
          <w:sz w:val="24"/>
          <w:highlight w:val="none"/>
          <w:lang w:eastAsia="zh-Hans"/>
        </w:rPr>
        <w:t>基层智治综合应用</w:t>
      </w:r>
      <w:r>
        <w:rPr>
          <w:rFonts w:cs="宋体" w:asciiTheme="minorEastAsia" w:hAnsiTheme="minorEastAsia"/>
          <w:color w:val="auto"/>
          <w:sz w:val="24"/>
          <w:highlight w:val="none"/>
        </w:rPr>
        <w:t>的主干功能和枢纽作用，推动</w:t>
      </w:r>
      <w:r>
        <w:rPr>
          <w:rFonts w:hint="eastAsia" w:cs="宋体" w:asciiTheme="minorEastAsia" w:hAnsiTheme="minorEastAsia"/>
          <w:color w:val="auto"/>
          <w:sz w:val="24"/>
          <w:highlight w:val="none"/>
          <w:lang w:eastAsia="zh-Hans"/>
        </w:rPr>
        <w:t>基层智治综合应用</w:t>
      </w:r>
      <w:r>
        <w:rPr>
          <w:rFonts w:cs="宋体" w:asciiTheme="minorEastAsia" w:hAnsiTheme="minorEastAsia"/>
          <w:color w:val="auto"/>
          <w:sz w:val="24"/>
          <w:highlight w:val="none"/>
        </w:rPr>
        <w:t>向乡镇（街道）全域整体智治平台迭代完善，形成“</w:t>
      </w:r>
      <w:r>
        <w:rPr>
          <w:rFonts w:cs="宋体" w:asciiTheme="minorEastAsia" w:hAnsiTheme="minorEastAsia"/>
          <w:color w:val="auto"/>
          <w:sz w:val="24"/>
          <w:highlight w:val="none"/>
          <w:lang w:eastAsia="zh-Hans"/>
        </w:rPr>
        <w:t>跑道+应用</w:t>
      </w:r>
      <w:r>
        <w:rPr>
          <w:rFonts w:cs="宋体" w:asciiTheme="minorEastAsia" w:hAnsiTheme="minorEastAsia"/>
          <w:color w:val="auto"/>
          <w:sz w:val="24"/>
          <w:highlight w:val="none"/>
        </w:rPr>
        <w:t>”</w:t>
      </w:r>
      <w:r>
        <w:rPr>
          <w:rFonts w:cs="宋体" w:asciiTheme="minorEastAsia" w:hAnsiTheme="minorEastAsia"/>
          <w:color w:val="auto"/>
          <w:sz w:val="24"/>
          <w:highlight w:val="none"/>
          <w:lang w:eastAsia="zh-Hans"/>
        </w:rPr>
        <w:t>业务模式</w:t>
      </w:r>
      <w:r>
        <w:rPr>
          <w:rFonts w:cs="宋体" w:asciiTheme="minorEastAsia" w:hAnsiTheme="minorEastAsia"/>
          <w:color w:val="auto"/>
          <w:sz w:val="24"/>
          <w:highlight w:val="none"/>
        </w:rPr>
        <w:t>，为</w:t>
      </w:r>
      <w:r>
        <w:rPr>
          <w:rFonts w:cs="宋体" w:asciiTheme="minorEastAsia" w:hAnsiTheme="minorEastAsia"/>
          <w:color w:val="auto"/>
          <w:sz w:val="24"/>
          <w:highlight w:val="none"/>
          <w:lang w:eastAsia="zh-Hans"/>
        </w:rPr>
        <w:t>西湖区发展</w:t>
      </w:r>
      <w:r>
        <w:rPr>
          <w:rFonts w:cs="宋体" w:asciiTheme="minorEastAsia" w:hAnsiTheme="minorEastAsia"/>
          <w:color w:val="auto"/>
          <w:sz w:val="24"/>
          <w:highlight w:val="none"/>
        </w:rPr>
        <w:t>基层综合治理、</w:t>
      </w:r>
      <w:r>
        <w:rPr>
          <w:rFonts w:cs="宋体" w:asciiTheme="minorEastAsia" w:hAnsiTheme="minorEastAsia"/>
          <w:color w:val="auto"/>
          <w:sz w:val="24"/>
          <w:highlight w:val="none"/>
          <w:lang w:eastAsia="zh-Hans"/>
        </w:rPr>
        <w:t>效能评估</w:t>
      </w:r>
      <w:r>
        <w:rPr>
          <w:rFonts w:cs="宋体" w:asciiTheme="minorEastAsia" w:hAnsiTheme="minorEastAsia"/>
          <w:color w:val="auto"/>
          <w:sz w:val="24"/>
          <w:highlight w:val="none"/>
        </w:rPr>
        <w:t>等提供辅助决策支撑，最终实现决策可视化、</w:t>
      </w:r>
      <w:r>
        <w:rPr>
          <w:rFonts w:cs="宋体" w:asciiTheme="minorEastAsia" w:hAnsiTheme="minorEastAsia"/>
          <w:color w:val="auto"/>
          <w:sz w:val="24"/>
          <w:highlight w:val="none"/>
          <w:lang w:eastAsia="zh-Hans"/>
        </w:rPr>
        <w:t>指挥一体化、</w:t>
      </w:r>
      <w:r>
        <w:rPr>
          <w:rFonts w:cs="宋体" w:asciiTheme="minorEastAsia" w:hAnsiTheme="minorEastAsia"/>
          <w:color w:val="auto"/>
          <w:sz w:val="24"/>
          <w:highlight w:val="none"/>
        </w:rPr>
        <w:t>社会治理精准化、公共服务便民化。</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三、</w:t>
      </w:r>
      <w:r>
        <w:rPr>
          <w:rFonts w:hint="eastAsia" w:cs="宋体" w:asciiTheme="minorEastAsia" w:hAnsiTheme="minorEastAsia"/>
          <w:b/>
          <w:color w:val="auto"/>
          <w:sz w:val="24"/>
          <w:highlight w:val="none"/>
        </w:rPr>
        <w:t>建设原则</w:t>
      </w:r>
      <w:r>
        <w:rPr>
          <w:rFonts w:hint="eastAsia" w:ascii="宋体" w:hAnsi="宋体" w:eastAsia="宋体" w:cs="宋体"/>
          <w:b/>
          <w:sz w:val="24"/>
          <w:szCs w:val="24"/>
          <w:highlight w:val="none"/>
        </w:rPr>
        <w:t xml:space="preserve"> </w:t>
      </w:r>
    </w:p>
    <w:p>
      <w:pPr>
        <w:snapToGrid w:val="0"/>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（1）统一标准、统一平台</w:t>
      </w:r>
    </w:p>
    <w:p>
      <w:pPr>
        <w:snapToGrid w:val="0"/>
        <w:spacing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在平台设计和建设的整个过程中，应参考相关国家标准、行业标准，严格遵循相关数据管理体系技术标准规范，并结合地方实际情况，制定地方相应的技术规范和管理制度。依托地方政务内网、政务外网、公安专网、市政务云平台等开展基层治理智治平台的建设和部署，有效实现全量信息数据与各部门现有业务系统的互联互通、资源共享，确保系统的有效数据来源。</w:t>
      </w:r>
    </w:p>
    <w:p>
      <w:pPr>
        <w:snapToGrid w:val="0"/>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（2）业务聚合、数据整合</w:t>
      </w:r>
    </w:p>
    <w:p>
      <w:pPr>
        <w:snapToGrid w:val="0"/>
        <w:spacing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以信息共享、互联互通为重点，通过数据关联与组合的形式，建立业务协同中枢，实现业务部门之间界限的突破，充分整合区域各单位信息资源，促进资源共享，促进办公协同、确保专题决策分析模型的数据来源，实现可视化展现，并能为镇街特色应用提供有力的支撑。</w:t>
      </w:r>
    </w:p>
    <w:p>
      <w:pPr>
        <w:snapToGrid w:val="0"/>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（3）使用简捷、扩展灵活</w:t>
      </w:r>
    </w:p>
    <w:p>
      <w:pPr>
        <w:snapToGrid w:val="0"/>
        <w:spacing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在平台设计和建设的整个过程中，应以应用为目的，以实际需求为基础，不片面追求技术的先进性和超前性，确保平台的操作简单，为用户提供实用、易用、快捷、操作简单方便的应用系统。同时，也应保证平台应用展示的灵活性和扩展性，充分考虑业务规模和结构的发展变化，使所使用的平台构架和应用开发必须符合省级顶层设计要求，为后续建设“一区一品牌”提供一定程度的扩展性。</w:t>
      </w:r>
    </w:p>
    <w:p>
      <w:pPr>
        <w:snapToGrid w:val="0"/>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（4）统一规划、安全可靠</w:t>
      </w:r>
    </w:p>
    <w:p>
      <w:pPr>
        <w:autoSpaceDE w:val="0"/>
        <w:autoSpaceDN w:val="0"/>
        <w:adjustRightInd w:val="0"/>
        <w:spacing w:line="440" w:lineRule="exact"/>
        <w:rPr>
          <w:rFonts w:hint="eastAsia" w:ascii="宋体" w:hAnsi="宋体" w:eastAsia="宋体" w:cs="宋体"/>
          <w:sz w:val="24"/>
          <w:szCs w:val="24"/>
          <w:highlight w:val="none"/>
        </w:rPr>
      </w:pPr>
      <w:r>
        <w:rPr>
          <w:rFonts w:hint="eastAsia" w:ascii="宋体" w:hAnsi="宋体" w:cs="宋体"/>
          <w:color w:val="auto"/>
          <w:sz w:val="24"/>
          <w:szCs w:val="22"/>
          <w:highlight w:val="none"/>
        </w:rPr>
        <w:t>科学规划、统筹兼顾、分类指导。在平台设计和建设的整个过程中，应充分考虑应用系统的安全性，从各个方面保证系统的安全性，如访问安全性、操作安全性、数据安全性等，符合国家有关安全保密部门的要求；同时，按照国家信息安全等级保护标准的要求，建立严格的身份认证和责任认定下的等级授权机制，确保系统和数据运行安全。</w:t>
      </w:r>
      <w:r>
        <w:rPr>
          <w:rFonts w:hint="eastAsia" w:ascii="宋体" w:hAnsi="宋体" w:eastAsia="宋体" w:cs="宋体"/>
          <w:sz w:val="24"/>
          <w:szCs w:val="24"/>
          <w:highlight w:val="none"/>
        </w:rPr>
        <w:t xml:space="preserve"> </w:t>
      </w:r>
    </w:p>
    <w:p>
      <w:pPr>
        <w:snapToGrid w:val="0"/>
        <w:spacing w:line="360" w:lineRule="auto"/>
        <w:rPr>
          <w:color w:val="auto"/>
          <w:highlight w:val="none"/>
          <w:lang w:val="zh-CN"/>
        </w:rPr>
      </w:pPr>
      <w:r>
        <w:rPr>
          <w:rFonts w:hint="eastAsia" w:cs="宋体" w:asciiTheme="minorEastAsia" w:hAnsiTheme="minorEastAsia"/>
          <w:b/>
          <w:color w:val="auto"/>
          <w:sz w:val="24"/>
          <w:highlight w:val="none"/>
        </w:rPr>
        <w:t>四</w:t>
      </w:r>
      <w:r>
        <w:rPr>
          <w:rFonts w:hint="eastAsia" w:cs="宋体" w:asciiTheme="minorEastAsia" w:hAnsiTheme="minorEastAsia"/>
          <w:b/>
          <w:color w:val="auto"/>
          <w:sz w:val="24"/>
          <w:highlight w:val="none"/>
          <w:lang w:val="zh-CN"/>
        </w:rPr>
        <w:t>、</w:t>
      </w:r>
      <w:r>
        <w:rPr>
          <w:rFonts w:hint="eastAsia" w:cs="宋体" w:asciiTheme="minorEastAsia" w:hAnsiTheme="minorEastAsia"/>
          <w:b/>
          <w:color w:val="auto"/>
          <w:sz w:val="24"/>
          <w:highlight w:val="none"/>
        </w:rPr>
        <w:t>建设内容</w:t>
      </w:r>
    </w:p>
    <w:p>
      <w:pPr>
        <w:adjustRightInd/>
        <w:spacing w:line="360" w:lineRule="auto"/>
        <w:ind w:firstLine="480" w:firstLineChars="200"/>
        <w:rPr>
          <w:rFonts w:ascii="宋体" w:hAnsi="宋体" w:cs="宋体"/>
          <w:color w:val="auto"/>
          <w:sz w:val="24"/>
          <w:highlight w:val="none"/>
        </w:rPr>
      </w:pPr>
      <w:bookmarkStart w:id="28" w:name="_Toc22824"/>
      <w:r>
        <w:rPr>
          <w:rFonts w:hint="eastAsia" w:ascii="宋体" w:hAnsi="宋体" w:cs="宋体"/>
          <w:color w:val="auto"/>
          <w:sz w:val="24"/>
          <w:highlight w:val="none"/>
        </w:rPr>
        <w:t>西湖区一体化智治平台二期采购项目，项目包括政务中台、</w:t>
      </w:r>
      <w:r>
        <w:rPr>
          <w:rFonts w:hint="eastAsia" w:ascii="宋体" w:hAnsi="宋体" w:cs="宋体"/>
          <w:color w:val="auto"/>
          <w:sz w:val="24"/>
          <w:highlight w:val="none"/>
          <w:lang w:eastAsia="zh-CN"/>
        </w:rPr>
        <w:t>基层智治领导驾驶舱</w:t>
      </w:r>
      <w:r>
        <w:rPr>
          <w:rFonts w:hint="eastAsia" w:ascii="宋体" w:hAnsi="宋体" w:cs="宋体"/>
          <w:color w:val="auto"/>
          <w:sz w:val="24"/>
          <w:highlight w:val="none"/>
        </w:rPr>
        <w:t>、基层智治综合应用、社会协作执行端、网格智能应用（掌上基层2.0）、应用场景建设、数据资源体系、测评服务等。</w:t>
      </w:r>
    </w:p>
    <w:p>
      <w:pPr>
        <w:adjustRightInd/>
        <w:spacing w:line="360" w:lineRule="auto"/>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西湖区一体化智治平台二期主要建设内容包括：</w:t>
      </w:r>
    </w:p>
    <w:p>
      <w:pPr>
        <w:adjustRightInd/>
        <w:spacing w:line="360" w:lineRule="auto"/>
        <w:rPr>
          <w:rFonts w:ascii="宋体" w:hAnsi="宋体" w:cs="宋体"/>
          <w:b/>
          <w:bCs/>
          <w:color w:val="auto"/>
          <w:sz w:val="30"/>
          <w:szCs w:val="32"/>
          <w:highlight w:val="none"/>
        </w:rPr>
      </w:pPr>
      <w:r>
        <w:rPr>
          <w:rFonts w:hint="eastAsia" w:ascii="宋体" w:hAnsi="宋体" w:cs="宋体"/>
          <w:b/>
          <w:bCs/>
          <w:color w:val="auto"/>
          <w:sz w:val="28"/>
          <w:szCs w:val="28"/>
          <w:highlight w:val="none"/>
          <w:lang w:eastAsia="zh-CN"/>
        </w:rPr>
        <w:t>（</w:t>
      </w:r>
      <w:r>
        <w:rPr>
          <w:rFonts w:hint="default" w:ascii="宋体" w:hAnsi="宋体" w:cs="宋体"/>
          <w:b/>
          <w:bCs/>
          <w:color w:val="auto"/>
          <w:sz w:val="28"/>
          <w:szCs w:val="28"/>
          <w:highlight w:val="none"/>
          <w:lang w:val="en-US" w:eastAsia="zh-CN"/>
        </w:rPr>
        <w:t>1</w:t>
      </w:r>
      <w:r>
        <w:rPr>
          <w:rFonts w:hint="eastAsia" w:ascii="宋体" w:hAnsi="宋体" w:cs="宋体"/>
          <w:b/>
          <w:bCs/>
          <w:color w:val="auto"/>
          <w:sz w:val="28"/>
          <w:szCs w:val="28"/>
          <w:highlight w:val="none"/>
          <w:lang w:eastAsia="zh-CN"/>
        </w:rPr>
        <w:t>）</w:t>
      </w:r>
      <w:r>
        <w:rPr>
          <w:rFonts w:hint="eastAsia" w:ascii="宋体" w:hAnsi="宋体" w:cs="宋体"/>
          <w:b/>
          <w:bCs/>
          <w:color w:val="auto"/>
          <w:sz w:val="30"/>
          <w:szCs w:val="32"/>
          <w:highlight w:val="none"/>
        </w:rPr>
        <w:t>政务中台</w:t>
      </w:r>
    </w:p>
    <w:p>
      <w:pPr>
        <w:adjustRightInd/>
        <w:spacing w:before="120" w:beforeLines="50" w:after="120" w:afterLines="50"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西湖区深入贯彻省市数字化改革部署要求,围绕“162”与“141”体系衔接贯通,以“对象中心、任务中心、协作中心”等中台服务为基础，配合“掌上基层”等微应用，实现政务中台各组件中心的相互协同，构建以一体化智能化公共数据平台为基准，涵盖各基层条线全量全新的标准化基层数据基底，实现数据的深度融合，并以此创新拓展各种管理和服务应用场景，助推区域治理现代化、智慧化。</w:t>
      </w:r>
    </w:p>
    <w:p>
      <w:pPr>
        <w:adjustRightInd/>
        <w:spacing w:before="120" w:beforeLines="50" w:after="120" w:afterLines="50" w:line="360" w:lineRule="auto"/>
        <w:rPr>
          <w:rFonts w:ascii="宋体" w:hAnsi="宋体" w:cs="宋体"/>
          <w:color w:val="auto"/>
          <w:sz w:val="24"/>
          <w:szCs w:val="22"/>
          <w:highlight w:val="none"/>
        </w:rPr>
      </w:pPr>
      <w:r>
        <w:rPr>
          <w:rFonts w:hint="eastAsia" w:ascii="宋体" w:hAnsi="宋体" w:cs="宋体"/>
          <w:color w:val="auto"/>
          <w:sz w:val="24"/>
          <w:szCs w:val="22"/>
          <w:highlight w:val="none"/>
        </w:rPr>
        <w:t>建设详细需求如下：</w:t>
      </w:r>
    </w:p>
    <w:tbl>
      <w:tblPr>
        <w:tblStyle w:val="62"/>
        <w:tblW w:w="5000" w:type="pct"/>
        <w:tblInd w:w="0" w:type="dxa"/>
        <w:tblLayout w:type="autofit"/>
        <w:tblCellMar>
          <w:top w:w="0" w:type="dxa"/>
          <w:left w:w="108" w:type="dxa"/>
          <w:bottom w:w="0" w:type="dxa"/>
          <w:right w:w="108" w:type="dxa"/>
        </w:tblCellMar>
      </w:tblPr>
      <w:tblGrid>
        <w:gridCol w:w="776"/>
        <w:gridCol w:w="2173"/>
        <w:gridCol w:w="3365"/>
        <w:gridCol w:w="2972"/>
      </w:tblGrid>
      <w:tr>
        <w:tblPrEx>
          <w:tblCellMar>
            <w:top w:w="0" w:type="dxa"/>
            <w:left w:w="108" w:type="dxa"/>
            <w:bottom w:w="0" w:type="dxa"/>
            <w:right w:w="108" w:type="dxa"/>
          </w:tblCellMar>
        </w:tblPrEx>
        <w:trPr>
          <w:trHeight w:val="1203"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bidi="ar"/>
              </w:rPr>
              <w:t>序号</w:t>
            </w:r>
          </w:p>
        </w:tc>
        <w:tc>
          <w:tcPr>
            <w:tcW w:w="117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类目</w:t>
            </w:r>
          </w:p>
        </w:tc>
        <w:tc>
          <w:tcPr>
            <w:tcW w:w="1812"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建设任务</w:t>
            </w: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子模块</w:t>
            </w:r>
          </w:p>
        </w:tc>
      </w:tr>
      <w:tr>
        <w:tblPrEx>
          <w:tblCellMar>
            <w:top w:w="0" w:type="dxa"/>
            <w:left w:w="108" w:type="dxa"/>
            <w:bottom w:w="0" w:type="dxa"/>
            <w:right w:w="108" w:type="dxa"/>
          </w:tblCellMar>
        </w:tblPrEx>
        <w:trPr>
          <w:trHeight w:val="90"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p>
        </w:tc>
        <w:tc>
          <w:tcPr>
            <w:tcW w:w="117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政务中台</w:t>
            </w:r>
          </w:p>
        </w:tc>
        <w:tc>
          <w:tcPr>
            <w:tcW w:w="18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地址标准化引擎</w:t>
            </w:r>
          </w:p>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引擎设计</w:t>
            </w:r>
          </w:p>
        </w:tc>
      </w:tr>
      <w:tr>
        <w:tblPrEx>
          <w:tblCellMar>
            <w:top w:w="0" w:type="dxa"/>
            <w:left w:w="108" w:type="dxa"/>
            <w:bottom w:w="0" w:type="dxa"/>
            <w:right w:w="108" w:type="dxa"/>
          </w:tblCellMar>
        </w:tblPrEx>
        <w:trPr>
          <w:trHeight w:val="560"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基础服务</w:t>
            </w:r>
          </w:p>
        </w:tc>
      </w:tr>
      <w:tr>
        <w:tblPrEx>
          <w:tblCellMar>
            <w:top w:w="0" w:type="dxa"/>
            <w:left w:w="108" w:type="dxa"/>
            <w:bottom w:w="0" w:type="dxa"/>
            <w:right w:w="108" w:type="dxa"/>
          </w:tblCellMar>
        </w:tblPrEx>
        <w:trPr>
          <w:trHeight w:val="520"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业务服务</w:t>
            </w:r>
          </w:p>
        </w:tc>
      </w:tr>
      <w:tr>
        <w:tblPrEx>
          <w:tblCellMar>
            <w:top w:w="0" w:type="dxa"/>
            <w:left w:w="108" w:type="dxa"/>
            <w:bottom w:w="0" w:type="dxa"/>
            <w:right w:w="108" w:type="dxa"/>
          </w:tblCellMar>
        </w:tblPrEx>
        <w:trPr>
          <w:trHeight w:val="520"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空间服务</w:t>
            </w:r>
          </w:p>
        </w:tc>
      </w:tr>
      <w:tr>
        <w:tblPrEx>
          <w:tblCellMar>
            <w:top w:w="0" w:type="dxa"/>
            <w:left w:w="108" w:type="dxa"/>
            <w:bottom w:w="0" w:type="dxa"/>
            <w:right w:w="108" w:type="dxa"/>
          </w:tblCellMar>
        </w:tblPrEx>
        <w:trPr>
          <w:trHeight w:val="520"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应用服务</w:t>
            </w:r>
          </w:p>
        </w:tc>
      </w:tr>
      <w:tr>
        <w:tblPrEx>
          <w:tblCellMar>
            <w:top w:w="0" w:type="dxa"/>
            <w:left w:w="108" w:type="dxa"/>
            <w:bottom w:w="0" w:type="dxa"/>
            <w:right w:w="108" w:type="dxa"/>
          </w:tblCellMar>
        </w:tblPrEx>
        <w:trPr>
          <w:trHeight w:val="520"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6</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用户干预</w:t>
            </w:r>
          </w:p>
        </w:tc>
      </w:tr>
      <w:tr>
        <w:tblPrEx>
          <w:tblCellMar>
            <w:top w:w="0" w:type="dxa"/>
            <w:left w:w="108" w:type="dxa"/>
            <w:bottom w:w="0" w:type="dxa"/>
            <w:right w:w="108" w:type="dxa"/>
          </w:tblCellMar>
        </w:tblPrEx>
        <w:trPr>
          <w:trHeight w:val="520"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地址信息服务</w:t>
            </w:r>
          </w:p>
        </w:tc>
      </w:tr>
      <w:tr>
        <w:tblPrEx>
          <w:tblCellMar>
            <w:top w:w="0" w:type="dxa"/>
            <w:left w:w="108" w:type="dxa"/>
            <w:bottom w:w="0" w:type="dxa"/>
            <w:right w:w="108" w:type="dxa"/>
          </w:tblCellMar>
        </w:tblPrEx>
        <w:trPr>
          <w:trHeight w:val="520"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8</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地址数据/服务更新</w:t>
            </w:r>
          </w:p>
        </w:tc>
      </w:tr>
      <w:tr>
        <w:tblPrEx>
          <w:tblCellMar>
            <w:top w:w="0" w:type="dxa"/>
            <w:left w:w="108" w:type="dxa"/>
            <w:bottom w:w="0" w:type="dxa"/>
            <w:right w:w="108" w:type="dxa"/>
          </w:tblCellMar>
        </w:tblPrEx>
        <w:trPr>
          <w:trHeight w:val="840"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9</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kern w:val="0"/>
                <w:sz w:val="24"/>
                <w:szCs w:val="24"/>
                <w:highlight w:val="none"/>
                <w:lang w:bidi="ar"/>
              </w:rPr>
              <w:t>政务中台集成平台</w:t>
            </w: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政务中台门户</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10</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政务中台管理控制台</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11</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地址治理工作台</w:t>
            </w: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地址工作台首页</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12</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镇街治理模块</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地址数据管理</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14</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区级地址治理模块</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15</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能力服务中心</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16</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对象中心</w:t>
            </w: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对象管理</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17</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标签管理</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18</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任务中心</w:t>
            </w: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塔台调度</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19</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管控对象</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20</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标准动作</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21</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任务管理</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22</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任务链</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23</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透出端主题管理</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24</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我的任务</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25</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任务执行透出端</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26</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消息中心</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27</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协作中心</w:t>
            </w: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码上服务码</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28</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码上服务台</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29</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队伍管理</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30</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指数罗盘</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31</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协作中心概况</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32</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pStyle w:val="2"/>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事件中心</w:t>
            </w: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数源管理</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33</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服务管理</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34</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数据库管理</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35</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数据流编排</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36</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发码中心</w:t>
            </w: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发码中心首页</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37</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发码管理</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38</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扫码管理</w:t>
            </w:r>
          </w:p>
        </w:tc>
      </w:tr>
      <w:tr>
        <w:tblPrEx>
          <w:tblCellMar>
            <w:top w:w="0" w:type="dxa"/>
            <w:left w:w="108" w:type="dxa"/>
            <w:bottom w:w="0" w:type="dxa"/>
            <w:right w:w="108" w:type="dxa"/>
          </w:tblCellMar>
        </w:tblPrEx>
        <w:trPr>
          <w:trHeight w:val="586" w:hRule="atLeast"/>
        </w:trPr>
        <w:tc>
          <w:tcPr>
            <w:tcW w:w="41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39</w:t>
            </w:r>
          </w:p>
        </w:tc>
        <w:tc>
          <w:tcPr>
            <w:tcW w:w="1170"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8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p>
        </w:tc>
        <w:tc>
          <w:tcPr>
            <w:tcW w:w="1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二维码管理</w:t>
            </w:r>
          </w:p>
        </w:tc>
      </w:tr>
    </w:tbl>
    <w:p>
      <w:pPr>
        <w:autoSpaceDE w:val="0"/>
        <w:autoSpaceDN w:val="0"/>
        <w:spacing w:line="360" w:lineRule="auto"/>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1）地址标准化引擎</w:t>
      </w:r>
    </w:p>
    <w:p>
      <w:pPr>
        <w:autoSpaceDE w:val="0"/>
        <w:autoSpaceDN w:val="0"/>
        <w:spacing w:line="360" w:lineRule="auto"/>
        <w:ind w:firstLine="480" w:firstLineChars="200"/>
        <w:rPr>
          <w:rFonts w:ascii="宋体" w:hAnsi="宋体" w:cs="宋体"/>
          <w:color w:val="auto"/>
          <w:kern w:val="0"/>
          <w:sz w:val="24"/>
          <w:szCs w:val="21"/>
          <w:highlight w:val="none"/>
        </w:rPr>
      </w:pPr>
      <w:r>
        <w:rPr>
          <w:rFonts w:ascii="宋体" w:hAnsi="宋体" w:cs="宋体"/>
          <w:color w:val="auto"/>
          <w:kern w:val="0"/>
          <w:sz w:val="24"/>
          <w:szCs w:val="21"/>
          <w:highlight w:val="none"/>
        </w:rPr>
        <w:t>地址标准化引擎通过提供基础服务、业务服务、空间服务、</w:t>
      </w:r>
      <w:r>
        <w:rPr>
          <w:rFonts w:hint="eastAsia" w:ascii="宋体" w:hAnsi="宋体" w:cs="宋体"/>
          <w:color w:val="auto"/>
          <w:kern w:val="0"/>
          <w:sz w:val="24"/>
          <w:szCs w:val="21"/>
          <w:highlight w:val="none"/>
          <w:lang w:eastAsia="zh-CN"/>
        </w:rPr>
        <w:t>应用服务、</w:t>
      </w:r>
      <w:r>
        <w:rPr>
          <w:rFonts w:ascii="宋体" w:hAnsi="宋体" w:cs="宋体"/>
          <w:color w:val="auto"/>
          <w:kern w:val="0"/>
          <w:sz w:val="24"/>
          <w:szCs w:val="21"/>
          <w:highlight w:val="none"/>
        </w:rPr>
        <w:t>用户干预服务、地址信息服务的标准API接口，支撑地址工作台为业务部门和基层工作人员针对地址地名数据的日常维护工作。</w:t>
      </w:r>
    </w:p>
    <w:p>
      <w:pPr>
        <w:pStyle w:val="2"/>
        <w:ind w:firstLine="480" w:firstLineChars="200"/>
        <w:rPr>
          <w:rFonts w:hAnsi="宋体" w:cs="宋体"/>
          <w:snapToGrid/>
          <w:color w:val="auto"/>
          <w:kern w:val="0"/>
          <w:highlight w:val="none"/>
          <w:lang w:val="en-US"/>
        </w:rPr>
      </w:pPr>
      <w:r>
        <w:rPr>
          <w:rFonts w:hint="eastAsia" w:hAnsi="宋体" w:cs="宋体"/>
          <w:snapToGrid/>
          <w:color w:val="auto"/>
          <w:kern w:val="0"/>
          <w:highlight w:val="none"/>
          <w:lang w:val="en-US"/>
        </w:rPr>
        <w:t>2）政务中台集成平台</w:t>
      </w:r>
    </w:p>
    <w:p>
      <w:pPr>
        <w:pStyle w:val="32"/>
        <w:spacing w:line="360" w:lineRule="auto"/>
        <w:ind w:left="0" w:leftChars="0" w:firstLine="480" w:firstLineChars="200"/>
        <w:rPr>
          <w:rFonts w:ascii="宋体" w:hAnsi="宋体" w:cs="宋体"/>
          <w:color w:val="auto"/>
          <w:kern w:val="0"/>
          <w:sz w:val="24"/>
          <w:szCs w:val="21"/>
          <w:highlight w:val="none"/>
        </w:rPr>
      </w:pPr>
      <w:r>
        <w:rPr>
          <w:rFonts w:ascii="宋体" w:hAnsi="宋体" w:cs="宋体"/>
          <w:color w:val="auto"/>
          <w:kern w:val="0"/>
          <w:sz w:val="24"/>
          <w:szCs w:val="21"/>
          <w:highlight w:val="none"/>
        </w:rPr>
        <w:t>设计开发政务中台集成门户首页，用户登录成功后，通过“首页”可以轻松跳转到各应用（包括内部中心、外部应用、特色应用）子门户进行相应的业务操作</w:t>
      </w:r>
      <w:r>
        <w:rPr>
          <w:rFonts w:hint="eastAsia" w:ascii="宋体" w:hAnsi="宋体" w:cs="宋体"/>
          <w:color w:val="auto"/>
          <w:kern w:val="0"/>
          <w:sz w:val="24"/>
          <w:szCs w:val="21"/>
          <w:highlight w:val="none"/>
        </w:rPr>
        <w:t>。</w:t>
      </w:r>
    </w:p>
    <w:p>
      <w:pPr>
        <w:autoSpaceDE w:val="0"/>
        <w:autoSpaceDN w:val="0"/>
        <w:spacing w:line="360" w:lineRule="auto"/>
        <w:ind w:firstLine="482" w:firstLineChars="200"/>
        <w:rPr>
          <w:rFonts w:hint="eastAsia" w:ascii="宋体" w:hAnsi="宋体" w:eastAsia="宋体" w:cs="宋体"/>
          <w:b/>
          <w:bCs/>
          <w:color w:val="auto"/>
          <w:kern w:val="0"/>
          <w:sz w:val="24"/>
          <w:szCs w:val="21"/>
          <w:highlight w:val="none"/>
          <w:lang w:eastAsia="zh-CN"/>
        </w:rPr>
      </w:pPr>
      <w:r>
        <w:rPr>
          <w:rFonts w:hint="eastAsia" w:ascii="宋体" w:hAnsi="宋体" w:cs="宋体"/>
          <w:b/>
          <w:bCs/>
          <w:color w:val="auto"/>
          <w:kern w:val="0"/>
          <w:sz w:val="24"/>
          <w:szCs w:val="21"/>
          <w:highlight w:val="none"/>
        </w:rPr>
        <w:t>3）</w:t>
      </w:r>
      <w:r>
        <w:rPr>
          <w:rFonts w:ascii="宋体" w:hAnsi="宋体" w:cs="宋体"/>
          <w:b/>
          <w:bCs/>
          <w:color w:val="auto"/>
          <w:kern w:val="0"/>
          <w:sz w:val="24"/>
          <w:szCs w:val="21"/>
          <w:highlight w:val="none"/>
          <w:lang w:eastAsia="zh-Hans"/>
        </w:rPr>
        <w:t>地址治理工作台</w:t>
      </w:r>
      <w:r>
        <w:rPr>
          <w:rFonts w:hint="eastAsia" w:ascii="宋体" w:hAnsi="宋体" w:cs="宋体"/>
          <w:b/>
          <w:bCs/>
          <w:color w:val="auto"/>
          <w:kern w:val="0"/>
          <w:sz w:val="24"/>
          <w:szCs w:val="21"/>
          <w:highlight w:val="none"/>
          <w:lang w:eastAsia="zh-CN"/>
        </w:rPr>
        <w:t>（提供演示）</w:t>
      </w:r>
    </w:p>
    <w:p>
      <w:pPr>
        <w:autoSpaceDE w:val="0"/>
        <w:autoSpaceDN w:val="0"/>
        <w:spacing w:line="360" w:lineRule="auto"/>
        <w:ind w:firstLine="480" w:firstLineChars="200"/>
        <w:rPr>
          <w:rFonts w:hint="eastAsia" w:ascii="宋体" w:hAnsi="宋体" w:cs="宋体"/>
          <w:color w:val="auto"/>
          <w:kern w:val="0"/>
          <w:sz w:val="24"/>
          <w:szCs w:val="21"/>
          <w:highlight w:val="none"/>
          <w:lang w:val="en-US" w:eastAsia="zh-CN"/>
        </w:rPr>
      </w:pPr>
      <w:r>
        <w:rPr>
          <w:rFonts w:hint="eastAsia" w:ascii="宋体" w:hAnsi="宋体" w:cs="宋体"/>
          <w:color w:val="auto"/>
          <w:kern w:val="0"/>
          <w:sz w:val="24"/>
          <w:szCs w:val="21"/>
          <w:highlight w:val="none"/>
        </w:rPr>
        <w:t xml:space="preserve">  </w:t>
      </w:r>
      <w:r>
        <w:rPr>
          <w:rFonts w:ascii="宋体" w:hAnsi="宋体" w:cs="宋体"/>
          <w:color w:val="auto"/>
          <w:kern w:val="0"/>
          <w:sz w:val="24"/>
          <w:szCs w:val="21"/>
          <w:highlight w:val="none"/>
        </w:rPr>
        <w:t>依托地址标准化引擎的标准API接口，开发建设图形化地址工作台，向各镇街开放使用权限，由各镇街指定专人进行批量地址治理和日常地址维护工作。</w:t>
      </w:r>
      <w:r>
        <w:rPr>
          <w:rFonts w:hint="eastAsia" w:ascii="宋体" w:hAnsi="宋体" w:cs="宋体"/>
          <w:color w:val="auto"/>
          <w:kern w:val="0"/>
          <w:sz w:val="24"/>
          <w:szCs w:val="21"/>
          <w:highlight w:val="none"/>
          <w:lang w:val="en-US" w:eastAsia="zh-CN"/>
        </w:rPr>
        <w:t>其中，区级治理模块中包括地址核查任务的下发；镇街治理模块中包括地址的核查；同时支持对地址批量修改操作。</w:t>
      </w:r>
    </w:p>
    <w:p>
      <w:pPr>
        <w:autoSpaceDE w:val="0"/>
        <w:autoSpaceDN w:val="0"/>
        <w:spacing w:line="360" w:lineRule="auto"/>
        <w:ind w:firstLine="480" w:firstLineChars="200"/>
        <w:rPr>
          <w:rFonts w:hint="eastAsia" w:ascii="宋体" w:hAnsi="宋体" w:eastAsia="宋体" w:cs="宋体"/>
          <w:b w:val="0"/>
          <w:bCs w:val="0"/>
          <w:color w:val="auto"/>
          <w:kern w:val="0"/>
          <w:sz w:val="24"/>
          <w:szCs w:val="21"/>
          <w:highlight w:val="none"/>
          <w:lang w:val="en-US" w:eastAsia="zh-CN"/>
        </w:rPr>
      </w:pPr>
      <w:r>
        <w:rPr>
          <w:rFonts w:hint="default" w:ascii="宋体" w:hAnsi="宋体" w:eastAsia="宋体" w:cs="宋体"/>
          <w:b w:val="0"/>
          <w:bCs w:val="0"/>
          <w:color w:val="auto"/>
          <w:kern w:val="0"/>
          <w:sz w:val="24"/>
          <w:szCs w:val="21"/>
          <w:highlight w:val="none"/>
          <w:lang w:val="en-US" w:eastAsia="zh-CN"/>
        </w:rPr>
        <w:t>地址核查任务下发：</w:t>
      </w:r>
      <w:r>
        <w:rPr>
          <w:rFonts w:hint="default" w:ascii="宋体" w:hAnsi="宋体" w:eastAsia="宋体" w:cs="宋体"/>
          <w:b w:val="0"/>
          <w:bCs w:val="0"/>
          <w:color w:val="auto"/>
          <w:kern w:val="0"/>
          <w:sz w:val="24"/>
          <w:szCs w:val="21"/>
          <w:highlight w:val="none"/>
          <w:lang w:val="en-US"/>
        </w:rPr>
        <w:t>选中待下发核查地址数据，点击核查任务，设置任务截止时间，确认后任务下发至镇街网格员治理任务列表中</w:t>
      </w:r>
      <w:r>
        <w:rPr>
          <w:rFonts w:hint="eastAsia" w:ascii="宋体" w:hAnsi="宋体" w:cs="宋体"/>
          <w:b w:val="0"/>
          <w:bCs w:val="0"/>
          <w:color w:val="auto"/>
          <w:kern w:val="0"/>
          <w:sz w:val="24"/>
          <w:szCs w:val="21"/>
          <w:highlight w:val="none"/>
          <w:lang w:val="en-US" w:eastAsia="zh-CN"/>
        </w:rPr>
        <w:t>。</w:t>
      </w:r>
    </w:p>
    <w:p>
      <w:pPr>
        <w:spacing w:line="360" w:lineRule="auto"/>
        <w:ind w:left="0" w:leftChars="0" w:firstLine="480" w:firstLineChars="200"/>
        <w:outlineLvl w:val="9"/>
        <w:rPr>
          <w:rFonts w:hint="eastAsia" w:ascii="宋体" w:hAnsi="宋体" w:cs="宋体"/>
          <w:color w:val="auto"/>
          <w:kern w:val="0"/>
          <w:sz w:val="24"/>
          <w:szCs w:val="21"/>
          <w:highlight w:val="none"/>
          <w:lang w:val="en-US" w:eastAsia="zh-CN"/>
        </w:rPr>
      </w:pPr>
      <w:r>
        <w:rPr>
          <w:rFonts w:hint="default" w:ascii="宋体" w:hAnsi="宋体" w:cs="宋体"/>
          <w:color w:val="auto"/>
          <w:kern w:val="0"/>
          <w:sz w:val="24"/>
          <w:szCs w:val="21"/>
          <w:highlight w:val="none"/>
          <w:lang w:val="en-US"/>
        </w:rPr>
        <w:t>地址核查</w:t>
      </w:r>
      <w:r>
        <w:rPr>
          <w:rFonts w:hint="default" w:ascii="宋体" w:hAnsi="宋体" w:cs="宋体"/>
          <w:color w:val="auto"/>
          <w:kern w:val="0"/>
          <w:sz w:val="24"/>
          <w:szCs w:val="21"/>
          <w:highlight w:val="none"/>
          <w:lang w:val="en-US" w:eastAsia="zh-CN"/>
        </w:rPr>
        <w:t>：</w:t>
      </w:r>
      <w:r>
        <w:rPr>
          <w:rFonts w:hint="default" w:ascii="宋体" w:hAnsi="宋体" w:cs="宋体"/>
          <w:color w:val="auto"/>
          <w:kern w:val="0"/>
          <w:sz w:val="24"/>
          <w:szCs w:val="21"/>
          <w:highlight w:val="none"/>
          <w:lang w:val="en-US"/>
        </w:rPr>
        <w:t>基于杭州市地址库地址数据进行核查，点击搜索地址名称，调用匹配杭州市库地址，匹配成功后保存地址，核查完成</w:t>
      </w:r>
      <w:r>
        <w:rPr>
          <w:rFonts w:hint="eastAsia" w:ascii="宋体" w:hAnsi="宋体" w:cs="宋体"/>
          <w:color w:val="auto"/>
          <w:kern w:val="0"/>
          <w:sz w:val="24"/>
          <w:szCs w:val="21"/>
          <w:highlight w:val="none"/>
          <w:lang w:val="en-US" w:eastAsia="zh-CN"/>
        </w:rPr>
        <w:t>。</w:t>
      </w:r>
    </w:p>
    <w:p>
      <w:pPr>
        <w:spacing w:line="360" w:lineRule="auto"/>
        <w:ind w:left="0" w:leftChars="0" w:firstLine="480" w:firstLineChars="200"/>
        <w:outlineLvl w:val="9"/>
        <w:rPr>
          <w:rFonts w:ascii="宋体" w:hAnsi="宋体" w:cs="宋体"/>
          <w:color w:val="auto"/>
          <w:kern w:val="0"/>
          <w:sz w:val="24"/>
          <w:szCs w:val="21"/>
          <w:highlight w:val="none"/>
        </w:rPr>
      </w:pPr>
      <w:r>
        <w:rPr>
          <w:rFonts w:hint="default" w:ascii="宋体" w:hAnsi="宋体" w:eastAsia="宋体" w:cs="宋体"/>
          <w:b w:val="0"/>
          <w:bCs w:val="0"/>
          <w:color w:val="auto"/>
          <w:kern w:val="0"/>
          <w:sz w:val="24"/>
          <w:szCs w:val="21"/>
          <w:highlight w:val="none"/>
          <w:lang w:val="en-US"/>
        </w:rPr>
        <w:t>地址批量修改</w:t>
      </w:r>
      <w:r>
        <w:rPr>
          <w:rFonts w:hint="default" w:ascii="宋体" w:hAnsi="宋体" w:eastAsia="宋体" w:cs="宋体"/>
          <w:b w:val="0"/>
          <w:bCs w:val="0"/>
          <w:color w:val="auto"/>
          <w:kern w:val="0"/>
          <w:sz w:val="24"/>
          <w:szCs w:val="21"/>
          <w:highlight w:val="none"/>
          <w:lang w:val="en-US" w:eastAsia="zh-CN"/>
        </w:rPr>
        <w:t>：</w:t>
      </w:r>
      <w:r>
        <w:rPr>
          <w:rFonts w:hint="default" w:ascii="宋体" w:hAnsi="宋体" w:eastAsia="宋体" w:cs="宋体"/>
          <w:b w:val="0"/>
          <w:bCs w:val="0"/>
          <w:color w:val="auto"/>
          <w:kern w:val="0"/>
          <w:sz w:val="24"/>
          <w:szCs w:val="21"/>
          <w:highlight w:val="none"/>
          <w:lang w:val="en-US"/>
        </w:rPr>
        <w:t>选中待修改地址数据，点击批量修改（社区/网格）、批量修改（正常/失效）</w:t>
      </w:r>
      <w:r>
        <w:rPr>
          <w:rFonts w:hint="eastAsia" w:ascii="宋体" w:hAnsi="宋体" w:cs="宋体"/>
          <w:b w:val="0"/>
          <w:bCs w:val="0"/>
          <w:color w:val="auto"/>
          <w:kern w:val="0"/>
          <w:sz w:val="24"/>
          <w:szCs w:val="21"/>
          <w:highlight w:val="none"/>
          <w:lang w:val="en-US" w:eastAsia="zh-CN"/>
        </w:rPr>
        <w:t>。</w:t>
      </w:r>
    </w:p>
    <w:p>
      <w:pPr>
        <w:pStyle w:val="2"/>
        <w:ind w:firstLine="480" w:firstLineChars="200"/>
        <w:rPr>
          <w:rFonts w:hAnsi="宋体" w:cs="宋体"/>
          <w:color w:val="auto"/>
          <w:highlight w:val="none"/>
        </w:rPr>
      </w:pPr>
      <w:r>
        <w:rPr>
          <w:rFonts w:hint="eastAsia" w:hAnsi="宋体" w:cs="宋体"/>
          <w:color w:val="auto"/>
          <w:highlight w:val="none"/>
          <w:lang w:val="en-US"/>
        </w:rPr>
        <w:t>4）</w:t>
      </w:r>
      <w:r>
        <w:rPr>
          <w:rFonts w:hint="eastAsia" w:hAnsi="宋体" w:cs="宋体"/>
          <w:color w:val="auto"/>
          <w:highlight w:val="none"/>
        </w:rPr>
        <w:t>对象中心</w:t>
      </w:r>
    </w:p>
    <w:p>
      <w:pPr>
        <w:pStyle w:val="2"/>
        <w:ind w:firstLine="480" w:firstLineChars="200"/>
        <w:rPr>
          <w:rFonts w:hAnsi="宋体" w:cs="宋体"/>
          <w:color w:val="auto"/>
          <w:highlight w:val="none"/>
        </w:rPr>
      </w:pPr>
      <w:r>
        <w:rPr>
          <w:rFonts w:hint="eastAsia" w:hAnsi="宋体" w:cs="宋体"/>
          <w:color w:val="auto"/>
          <w:highlight w:val="none"/>
        </w:rPr>
        <w:t>实现工作对象的管理，工作对象主要为人、房、地址、单位、事件、物品等社区管理基本信息。通过标签标记对象特征、将对象分层分级分清分细。系统通过对象管理、标签管理、关联关系管理和工作记录等维度对对象进行综合全面管理。</w:t>
      </w:r>
    </w:p>
    <w:p>
      <w:pPr>
        <w:pStyle w:val="2"/>
        <w:ind w:firstLine="482" w:firstLineChars="200"/>
        <w:rPr>
          <w:rFonts w:hAnsi="宋体" w:cs="宋体"/>
          <w:color w:val="auto"/>
          <w:highlight w:val="none"/>
        </w:rPr>
      </w:pPr>
      <w:bookmarkStart w:id="29" w:name="_Toc118389193"/>
      <w:r>
        <w:rPr>
          <w:rFonts w:hint="eastAsia" w:hAnsi="宋体" w:cs="宋体"/>
          <w:b/>
          <w:bCs/>
          <w:color w:val="auto"/>
          <w:highlight w:val="none"/>
          <w:lang w:val="en-US"/>
        </w:rPr>
        <w:t>5）</w:t>
      </w:r>
      <w:r>
        <w:rPr>
          <w:rFonts w:hint="eastAsia" w:hAnsi="宋体" w:cs="宋体"/>
          <w:b/>
          <w:bCs/>
          <w:color w:val="auto"/>
          <w:highlight w:val="none"/>
        </w:rPr>
        <w:t>任务中心</w:t>
      </w:r>
      <w:bookmarkEnd w:id="29"/>
      <w:r>
        <w:rPr>
          <w:rFonts w:hint="eastAsia"/>
          <w:b/>
          <w:bCs/>
          <w:color w:val="auto"/>
          <w:highlight w:val="none"/>
          <w:lang w:eastAsia="zh-CN"/>
        </w:rPr>
        <w:t>（</w:t>
      </w:r>
      <w:r>
        <w:rPr>
          <w:rFonts w:hint="eastAsia"/>
          <w:b/>
          <w:bCs/>
          <w:color w:val="auto"/>
          <w:highlight w:val="none"/>
          <w:lang w:val="en-US" w:eastAsia="zh-CN"/>
        </w:rPr>
        <w:t>提供演示</w:t>
      </w:r>
      <w:r>
        <w:rPr>
          <w:rFonts w:hint="eastAsia"/>
          <w:b/>
          <w:bCs/>
          <w:color w:val="auto"/>
          <w:highlight w:val="none"/>
          <w:lang w:eastAsia="zh-CN"/>
        </w:rPr>
        <w:t>）</w:t>
      </w:r>
    </w:p>
    <w:p>
      <w:pPr>
        <w:spacing w:line="360" w:lineRule="auto"/>
        <w:ind w:firstLine="480" w:firstLineChars="200"/>
        <w:rPr>
          <w:rFonts w:ascii="宋体" w:hAnsi="宋体" w:cs="宋体"/>
          <w:snapToGrid w:val="0"/>
          <w:color w:val="auto"/>
          <w:sz w:val="24"/>
          <w:szCs w:val="21"/>
          <w:highlight w:val="none"/>
        </w:rPr>
      </w:pPr>
      <w:r>
        <w:rPr>
          <w:rFonts w:hint="eastAsia" w:ascii="宋体" w:hAnsi="宋体" w:cs="宋体"/>
          <w:snapToGrid w:val="0"/>
          <w:color w:val="auto"/>
          <w:sz w:val="24"/>
          <w:szCs w:val="21"/>
          <w:highlight w:val="none"/>
          <w:lang w:val="zh-CN"/>
        </w:rPr>
        <w:t>根据各种工作要求，进一步明确社区基层工作人员开展的目标对象、执行动作和考核要求，形成精准化的任务清单、标准化的信息维护表单、精细化的考核考评办法。</w:t>
      </w:r>
      <w:r>
        <w:rPr>
          <w:rFonts w:hint="eastAsia" w:ascii="宋体" w:hAnsi="宋体" w:cs="宋体"/>
          <w:snapToGrid w:val="0"/>
          <w:color w:val="auto"/>
          <w:sz w:val="24"/>
          <w:szCs w:val="21"/>
          <w:highlight w:val="none"/>
        </w:rPr>
        <w:t>具体包括任务的调度、管控对象的管理、通过业务标准化等工具实现自定义表单作制作流程。对浙政钉体系外的用户提供透出端服务，延伸客户群体。支持用户自定义创建任务，通过引导式的界面自定义填写任务的基本信息</w:t>
      </w:r>
      <w:r>
        <w:rPr>
          <w:rFonts w:hint="eastAsia" w:ascii="宋体" w:hAnsi="宋体" w:cs="宋体"/>
          <w:snapToGrid w:val="0"/>
          <w:color w:val="auto"/>
          <w:sz w:val="24"/>
          <w:szCs w:val="21"/>
          <w:highlight w:val="none"/>
          <w:lang w:eastAsia="zh-CN"/>
        </w:rPr>
        <w:t>、</w:t>
      </w:r>
      <w:r>
        <w:rPr>
          <w:rFonts w:hint="eastAsia" w:ascii="宋体" w:hAnsi="宋体" w:cs="宋体"/>
          <w:snapToGrid w:val="0"/>
          <w:color w:val="auto"/>
          <w:sz w:val="24"/>
          <w:szCs w:val="21"/>
          <w:highlight w:val="none"/>
        </w:rPr>
        <w:t>选择执行管控的工作清单、</w:t>
      </w:r>
      <w:r>
        <w:rPr>
          <w:rFonts w:hint="eastAsia" w:ascii="宋体" w:hAnsi="宋体" w:cs="宋体"/>
          <w:snapToGrid w:val="0"/>
          <w:color w:val="auto"/>
          <w:sz w:val="24"/>
          <w:szCs w:val="21"/>
          <w:highlight w:val="none"/>
          <w:lang w:val="en-US" w:eastAsia="zh-CN"/>
        </w:rPr>
        <w:t>选择</w:t>
      </w:r>
      <w:r>
        <w:rPr>
          <w:rFonts w:hint="eastAsia" w:ascii="宋体" w:hAnsi="宋体" w:cs="宋体"/>
          <w:snapToGrid w:val="0"/>
          <w:color w:val="auto"/>
          <w:sz w:val="24"/>
          <w:szCs w:val="21"/>
          <w:highlight w:val="none"/>
        </w:rPr>
        <w:t>自定义完成的执行动作、</w:t>
      </w:r>
      <w:r>
        <w:rPr>
          <w:rFonts w:hint="eastAsia" w:ascii="宋体" w:hAnsi="宋体" w:cs="宋体"/>
          <w:snapToGrid w:val="0"/>
          <w:color w:val="auto"/>
          <w:sz w:val="24"/>
          <w:szCs w:val="21"/>
          <w:highlight w:val="none"/>
          <w:lang w:val="en-US" w:eastAsia="zh-CN"/>
        </w:rPr>
        <w:t>选择</w:t>
      </w:r>
      <w:r>
        <w:rPr>
          <w:rFonts w:hint="eastAsia" w:ascii="宋体" w:hAnsi="宋体" w:cs="宋体"/>
          <w:snapToGrid w:val="0"/>
          <w:color w:val="auto"/>
          <w:sz w:val="24"/>
          <w:szCs w:val="21"/>
          <w:highlight w:val="none"/>
        </w:rPr>
        <w:t>完成的时间要求模式</w:t>
      </w:r>
      <w:r>
        <w:rPr>
          <w:rFonts w:hint="eastAsia" w:ascii="宋体" w:hAnsi="宋体" w:cs="宋体"/>
          <w:snapToGrid w:val="0"/>
          <w:color w:val="auto"/>
          <w:sz w:val="24"/>
          <w:szCs w:val="21"/>
          <w:highlight w:val="none"/>
          <w:lang w:val="en-US" w:eastAsia="zh-CN"/>
        </w:rPr>
        <w:t>等</w:t>
      </w:r>
      <w:r>
        <w:rPr>
          <w:rFonts w:hint="eastAsia" w:ascii="宋体" w:hAnsi="宋体" w:cs="宋体"/>
          <w:snapToGrid w:val="0"/>
          <w:color w:val="auto"/>
          <w:sz w:val="24"/>
          <w:szCs w:val="21"/>
          <w:highlight w:val="none"/>
        </w:rPr>
        <w:t>。</w:t>
      </w:r>
    </w:p>
    <w:p>
      <w:pPr>
        <w:autoSpaceDE w:val="0"/>
        <w:autoSpaceDN w:val="0"/>
        <w:spacing w:line="360" w:lineRule="auto"/>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6）协作中心</w:t>
      </w:r>
    </w:p>
    <w:p>
      <w:pPr>
        <w:pStyle w:val="2"/>
        <w:ind w:firstLine="480" w:firstLineChars="200"/>
        <w:rPr>
          <w:color w:val="auto"/>
          <w:highlight w:val="none"/>
        </w:rPr>
      </w:pPr>
      <w:r>
        <w:rPr>
          <w:color w:val="auto"/>
          <w:highlight w:val="none"/>
        </w:rPr>
        <w:t>通过建立</w:t>
      </w:r>
      <w:r>
        <w:rPr>
          <w:rFonts w:hint="eastAsia"/>
          <w:color w:val="auto"/>
          <w:highlight w:val="none"/>
        </w:rPr>
        <w:t>政务中台协作中心能力，可向社会面</w:t>
      </w:r>
      <w:r>
        <w:rPr>
          <w:color w:val="auto"/>
          <w:highlight w:val="none"/>
        </w:rPr>
        <w:t>责任主体下发任务简单、标准、快捷</w:t>
      </w:r>
      <w:r>
        <w:rPr>
          <w:rFonts w:hint="eastAsia"/>
          <w:color w:val="auto"/>
          <w:highlight w:val="none"/>
        </w:rPr>
        <w:t>的工作指令。</w:t>
      </w:r>
    </w:p>
    <w:p>
      <w:pPr>
        <w:pStyle w:val="32"/>
        <w:ind w:left="0" w:leftChars="0"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7）事件中心</w:t>
      </w:r>
    </w:p>
    <w:p>
      <w:pPr>
        <w:rPr>
          <w:color w:val="auto"/>
          <w:highlight w:val="none"/>
        </w:rPr>
      </w:pPr>
    </w:p>
    <w:p>
      <w:pPr>
        <w:pStyle w:val="2"/>
        <w:ind w:firstLine="480" w:firstLineChars="200"/>
        <w:rPr>
          <w:rFonts w:ascii="Times New Roman Regular" w:hAnsi="Times New Roman Regular" w:cs="Times New Roman Regular"/>
          <w:color w:val="auto"/>
          <w:highlight w:val="none"/>
          <w:lang w:val="en-US"/>
        </w:rPr>
      </w:pPr>
      <w:r>
        <w:rPr>
          <w:rFonts w:hint="eastAsia"/>
          <w:color w:val="auto"/>
          <w:highlight w:val="none"/>
          <w:lang w:val="en-US"/>
        </w:rPr>
        <w:t>在原有系统事件中心包含的事件生成、事件定义、事件分拨以及事件协同的基础上增加</w:t>
      </w:r>
      <w:r>
        <w:rPr>
          <w:rFonts w:hint="eastAsia"/>
          <w:color w:val="auto"/>
          <w:szCs w:val="22"/>
          <w:highlight w:val="none"/>
        </w:rPr>
        <w:t>数源管理、服务管理、</w:t>
      </w:r>
      <w:r>
        <w:rPr>
          <w:rFonts w:hint="eastAsia"/>
          <w:color w:val="auto"/>
          <w:szCs w:val="22"/>
          <w:highlight w:val="none"/>
          <w:lang w:eastAsia="zh-CN"/>
        </w:rPr>
        <w:t>数据库</w:t>
      </w:r>
      <w:r>
        <w:rPr>
          <w:rFonts w:hint="eastAsia"/>
          <w:color w:val="auto"/>
          <w:szCs w:val="22"/>
          <w:highlight w:val="none"/>
        </w:rPr>
        <w:t>管理、</w:t>
      </w:r>
      <w:r>
        <w:rPr>
          <w:rFonts w:hint="eastAsia"/>
          <w:color w:val="auto"/>
          <w:szCs w:val="22"/>
          <w:highlight w:val="none"/>
          <w:lang w:eastAsia="zh-CN"/>
        </w:rPr>
        <w:t>数据流</w:t>
      </w:r>
      <w:r>
        <w:rPr>
          <w:rFonts w:hint="eastAsia"/>
          <w:color w:val="auto"/>
          <w:szCs w:val="22"/>
          <w:highlight w:val="none"/>
        </w:rPr>
        <w:t>编排四个模块。</w:t>
      </w:r>
      <w:r>
        <w:rPr>
          <w:rFonts w:hint="eastAsia"/>
          <w:color w:val="auto"/>
          <w:szCs w:val="22"/>
          <w:highlight w:val="none"/>
          <w:lang w:val="en-US"/>
        </w:rPr>
        <w:t>通过数源管理</w:t>
      </w:r>
      <w:r>
        <w:rPr>
          <w:rFonts w:hint="eastAsia"/>
          <w:color w:val="auto"/>
          <w:szCs w:val="22"/>
          <w:highlight w:val="none"/>
        </w:rPr>
        <w:t>将事件数据按照西湖区标准事件接口输出；</w:t>
      </w:r>
      <w:r>
        <w:rPr>
          <w:rFonts w:hint="eastAsia"/>
          <w:color w:val="auto"/>
          <w:szCs w:val="22"/>
          <w:highlight w:val="none"/>
          <w:lang w:val="en-US"/>
        </w:rPr>
        <w:t>服务管理</w:t>
      </w:r>
      <w:r>
        <w:rPr>
          <w:rFonts w:hint="eastAsia"/>
          <w:color w:val="auto"/>
          <w:szCs w:val="22"/>
          <w:highlight w:val="none"/>
        </w:rPr>
        <w:t>提供对有接入事件数据需求的应用系统进行登记管理的功能以及对事件接收接口进行创建、导出等功能；</w:t>
      </w:r>
      <w:r>
        <w:rPr>
          <w:rFonts w:hint="eastAsia"/>
          <w:color w:val="auto"/>
          <w:szCs w:val="22"/>
          <w:highlight w:val="none"/>
          <w:lang w:val="en-US"/>
        </w:rPr>
        <w:t>同时可针</w:t>
      </w:r>
      <w:r>
        <w:rPr>
          <w:rFonts w:hint="eastAsia" w:ascii="Times New Roman Regular" w:hAnsi="Times New Roman Regular" w:cs="Times New Roman Regular"/>
          <w:color w:val="auto"/>
          <w:highlight w:val="none"/>
        </w:rPr>
        <w:t>对事件数据进行分库管理；</w:t>
      </w:r>
      <w:r>
        <w:rPr>
          <w:rFonts w:hint="eastAsia" w:ascii="Times New Roman Regular" w:hAnsi="Times New Roman Regular" w:cs="Times New Roman Regular"/>
          <w:color w:val="auto"/>
          <w:highlight w:val="none"/>
          <w:lang w:val="en-US"/>
        </w:rPr>
        <w:t>数据流编排提供一种跨系统的事件数据流推送，并结合过滤组件、转换组件、映射组件等组件实现事件数据个性化推送。</w:t>
      </w:r>
    </w:p>
    <w:p>
      <w:pPr>
        <w:pStyle w:val="32"/>
        <w:numPr>
          <w:ilvl w:val="0"/>
          <w:numId w:val="1"/>
        </w:numPr>
        <w:spacing w:line="360" w:lineRule="auto"/>
        <w:ind w:left="0" w:leftChars="0"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发码中心</w:t>
      </w:r>
    </w:p>
    <w:p>
      <w:pPr>
        <w:spacing w:line="360" w:lineRule="auto"/>
        <w:ind w:firstLine="480" w:firstLineChars="200"/>
        <w:rPr>
          <w:rFonts w:hint="eastAsia" w:ascii="宋体" w:hAnsi="Arial" w:cs="Arial"/>
          <w:snapToGrid w:val="0"/>
          <w:color w:val="auto"/>
          <w:sz w:val="24"/>
          <w:szCs w:val="21"/>
          <w:highlight w:val="none"/>
        </w:rPr>
      </w:pPr>
      <w:r>
        <w:rPr>
          <w:rFonts w:ascii="宋体" w:hAnsi="Arial" w:cs="Arial"/>
          <w:snapToGrid w:val="0"/>
          <w:color w:val="auto"/>
          <w:sz w:val="24"/>
          <w:szCs w:val="21"/>
          <w:highlight w:val="none"/>
        </w:rPr>
        <w:t>制定统一的应用接入规范，全区围绕统一的发码标准，对区域内应用场景进行规范集成</w:t>
      </w:r>
      <w:r>
        <w:rPr>
          <w:rFonts w:hint="eastAsia" w:ascii="宋体" w:hAnsi="Arial" w:cs="Arial"/>
          <w:snapToGrid w:val="0"/>
          <w:color w:val="auto"/>
          <w:sz w:val="24"/>
          <w:szCs w:val="21"/>
          <w:highlight w:val="none"/>
        </w:rPr>
        <w:t>；统一二维码的发码端，摸清二维码底数，实现统一发码、统一映射、统一发布，防止二维码乱象；在人房数据仓、企业数据仓、业务数据仓的基础上，汇聚扫码填报扫码地址和企业信息，数据仓触角直达业务前端，让地址库和企业库更加鲜活准确。</w:t>
      </w:r>
    </w:p>
    <w:p>
      <w:pPr>
        <w:spacing w:line="360" w:lineRule="auto"/>
        <w:rPr>
          <w:rFonts w:ascii="宋体" w:hAnsi="宋体" w:cs="宋体"/>
          <w:b/>
          <w:bCs/>
          <w:color w:val="auto"/>
          <w:sz w:val="30"/>
          <w:szCs w:val="32"/>
          <w:highlight w:val="none"/>
        </w:rPr>
      </w:pPr>
      <w:r>
        <w:rPr>
          <w:rFonts w:hint="eastAsia" w:ascii="宋体" w:hAnsi="宋体" w:cs="宋体"/>
          <w:b/>
          <w:bCs/>
          <w:color w:val="auto"/>
          <w:sz w:val="30"/>
          <w:szCs w:val="32"/>
          <w:highlight w:val="none"/>
          <w:lang w:eastAsia="zh-CN"/>
        </w:rPr>
        <w:t>（</w:t>
      </w:r>
      <w:r>
        <w:rPr>
          <w:rFonts w:hint="default" w:ascii="宋体" w:hAnsi="宋体" w:cs="宋体"/>
          <w:b/>
          <w:bCs/>
          <w:color w:val="auto"/>
          <w:sz w:val="30"/>
          <w:szCs w:val="32"/>
          <w:highlight w:val="none"/>
          <w:lang w:val="en-US" w:eastAsia="zh-CN"/>
        </w:rPr>
        <w:t>2</w:t>
      </w:r>
      <w:r>
        <w:rPr>
          <w:rFonts w:hint="eastAsia" w:ascii="宋体" w:hAnsi="宋体" w:cs="宋体"/>
          <w:b/>
          <w:bCs/>
          <w:color w:val="auto"/>
          <w:sz w:val="30"/>
          <w:szCs w:val="32"/>
          <w:highlight w:val="none"/>
          <w:lang w:eastAsia="zh-CN"/>
        </w:rPr>
        <w:t>）</w:t>
      </w:r>
      <w:r>
        <w:rPr>
          <w:rFonts w:hint="eastAsia" w:ascii="宋体" w:hAnsi="宋体" w:cs="宋体"/>
          <w:b/>
          <w:bCs/>
          <w:color w:val="auto"/>
          <w:sz w:val="30"/>
          <w:szCs w:val="32"/>
          <w:highlight w:val="none"/>
        </w:rPr>
        <w:t>基层智治领导驾驶舱</w:t>
      </w:r>
    </w:p>
    <w:p>
      <w:pPr>
        <w:autoSpaceDE w:val="0"/>
        <w:autoSpaceDN w:val="0"/>
        <w:spacing w:line="360" w:lineRule="auto"/>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本期的主要建设内容是对西湖区“基层治理四平台”进行迭代升级，即将“基层四平台”扩展升级成含党建统领、经济生态、平安法治、公共服务的新四跑道的基层智治综合应用。同时为了遵循杭州市对基层综合智治应用系统的建设要求，本期项目需对四条跑道的升级重大任务贯通完成情况，以及西湖区各跑道开展的具体业务运行情况等内容进行可视化展示，其中平安法治跑道专题系列大屏作为本期的建设重点，分主题分层级以不同形式展示多维数据集成、风险排查、分析研判、协同流转等多个重点工作。</w:t>
      </w:r>
    </w:p>
    <w:p>
      <w:pPr>
        <w:autoSpaceDE w:val="0"/>
        <w:autoSpaceDN w:val="0"/>
        <w:spacing w:line="360" w:lineRule="auto"/>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基层智治领导驾驶舱建设详细需求：</w:t>
      </w:r>
    </w:p>
    <w:tbl>
      <w:tblPr>
        <w:tblStyle w:val="62"/>
        <w:tblW w:w="5000" w:type="pct"/>
        <w:tblInd w:w="0" w:type="dxa"/>
        <w:tblLayout w:type="autofit"/>
        <w:tblCellMar>
          <w:top w:w="0" w:type="dxa"/>
          <w:left w:w="108" w:type="dxa"/>
          <w:bottom w:w="0" w:type="dxa"/>
          <w:right w:w="108" w:type="dxa"/>
        </w:tblCellMar>
      </w:tblPr>
      <w:tblGrid>
        <w:gridCol w:w="774"/>
        <w:gridCol w:w="2440"/>
        <w:gridCol w:w="3144"/>
        <w:gridCol w:w="2928"/>
      </w:tblGrid>
      <w:tr>
        <w:tblPrEx>
          <w:tblCellMar>
            <w:top w:w="0" w:type="dxa"/>
            <w:left w:w="108" w:type="dxa"/>
            <w:bottom w:w="0" w:type="dxa"/>
            <w:right w:w="108" w:type="dxa"/>
          </w:tblCellMar>
        </w:tblPrEx>
        <w:trPr>
          <w:trHeight w:val="420" w:hRule="atLeast"/>
        </w:trPr>
        <w:tc>
          <w:tcPr>
            <w:tcW w:w="41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ascii="宋体" w:hAnsi="宋体" w:cs="宋体"/>
                <w:b/>
                <w:bCs/>
                <w:color w:val="auto"/>
                <w:kern w:val="0"/>
                <w:sz w:val="24"/>
                <w:szCs w:val="24"/>
                <w:highlight w:val="none"/>
                <w:lang w:bidi="ar"/>
              </w:rPr>
            </w:pPr>
            <w:r>
              <w:rPr>
                <w:rFonts w:hint="eastAsia" w:ascii="宋体" w:hAnsi="宋体" w:cs="宋体"/>
                <w:b/>
                <w:bCs/>
                <w:color w:val="auto"/>
                <w:kern w:val="0"/>
                <w:sz w:val="24"/>
                <w:szCs w:val="24"/>
                <w:highlight w:val="none"/>
                <w:lang w:bidi="ar"/>
              </w:rPr>
              <w:t>序号</w:t>
            </w:r>
          </w:p>
        </w:tc>
        <w:tc>
          <w:tcPr>
            <w:tcW w:w="1313"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ascii="宋体" w:hAnsi="宋体" w:cs="宋体"/>
                <w:b/>
                <w:bCs/>
                <w:color w:val="auto"/>
                <w:kern w:val="0"/>
                <w:sz w:val="24"/>
                <w:szCs w:val="24"/>
                <w:highlight w:val="none"/>
                <w:lang w:bidi="ar"/>
              </w:rPr>
            </w:pPr>
            <w:r>
              <w:rPr>
                <w:rFonts w:hint="eastAsia" w:ascii="宋体" w:hAnsi="宋体" w:cs="宋体"/>
                <w:b/>
                <w:bCs/>
                <w:color w:val="auto"/>
                <w:kern w:val="0"/>
                <w:sz w:val="24"/>
                <w:szCs w:val="24"/>
                <w:highlight w:val="none"/>
                <w:lang w:bidi="ar"/>
              </w:rPr>
              <w:t>类目</w:t>
            </w:r>
          </w:p>
        </w:tc>
        <w:tc>
          <w:tcPr>
            <w:tcW w:w="1692"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ascii="宋体" w:hAnsi="宋体" w:cs="宋体"/>
                <w:b/>
                <w:bCs/>
                <w:color w:val="auto"/>
                <w:kern w:val="0"/>
                <w:sz w:val="24"/>
                <w:szCs w:val="24"/>
                <w:highlight w:val="none"/>
                <w:lang w:bidi="ar"/>
              </w:rPr>
            </w:pPr>
            <w:r>
              <w:rPr>
                <w:rFonts w:hint="eastAsia" w:ascii="宋体" w:hAnsi="宋体" w:cs="宋体"/>
                <w:b/>
                <w:bCs/>
                <w:color w:val="auto"/>
                <w:kern w:val="0"/>
                <w:sz w:val="24"/>
                <w:szCs w:val="24"/>
                <w:highlight w:val="none"/>
                <w:lang w:bidi="ar"/>
              </w:rPr>
              <w:t>建设任务</w:t>
            </w:r>
          </w:p>
        </w:tc>
        <w:tc>
          <w:tcPr>
            <w:tcW w:w="1576"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djustRightInd/>
              <w:spacing w:line="360" w:lineRule="auto"/>
              <w:jc w:val="center"/>
              <w:textAlignment w:val="center"/>
              <w:rPr>
                <w:rFonts w:ascii="宋体" w:hAnsi="宋体" w:cs="宋体"/>
                <w:b/>
                <w:bCs/>
                <w:color w:val="auto"/>
                <w:kern w:val="0"/>
                <w:sz w:val="24"/>
                <w:szCs w:val="24"/>
                <w:highlight w:val="none"/>
                <w:lang w:bidi="ar"/>
              </w:rPr>
            </w:pPr>
            <w:r>
              <w:rPr>
                <w:rFonts w:hint="eastAsia" w:ascii="宋体" w:hAnsi="宋体" w:cs="宋体"/>
                <w:b/>
                <w:bCs/>
                <w:color w:val="auto"/>
                <w:kern w:val="0"/>
                <w:sz w:val="24"/>
                <w:szCs w:val="24"/>
                <w:highlight w:val="none"/>
                <w:lang w:bidi="ar"/>
              </w:rPr>
              <w:t>子模块</w:t>
            </w:r>
          </w:p>
        </w:tc>
      </w:tr>
      <w:tr>
        <w:tblPrEx>
          <w:tblCellMar>
            <w:top w:w="0" w:type="dxa"/>
            <w:left w:w="108" w:type="dxa"/>
            <w:bottom w:w="0" w:type="dxa"/>
            <w:right w:w="108" w:type="dxa"/>
          </w:tblCellMar>
        </w:tblPrEx>
        <w:trPr>
          <w:trHeight w:val="420"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w:t>
            </w:r>
          </w:p>
        </w:tc>
        <w:tc>
          <w:tcPr>
            <w:tcW w:w="13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基层智治领导驾驶舱</w:t>
            </w:r>
          </w:p>
        </w:tc>
        <w:tc>
          <w:tcPr>
            <w:tcW w:w="16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四条跑道综合领导驾驶舱</w:t>
            </w:r>
          </w:p>
        </w:tc>
        <w:tc>
          <w:tcPr>
            <w:tcW w:w="1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eastAsia="宋体" w:cs="宋体"/>
                <w:color w:val="auto"/>
                <w:kern w:val="0"/>
                <w:sz w:val="24"/>
                <w:szCs w:val="24"/>
                <w:highlight w:val="none"/>
                <w:lang w:eastAsia="zh-CN" w:bidi="ar"/>
              </w:rPr>
            </w:pPr>
            <w:r>
              <w:rPr>
                <w:rFonts w:hint="eastAsia" w:ascii="宋体" w:hAnsi="宋体" w:cs="宋体"/>
                <w:color w:val="auto"/>
                <w:kern w:val="0"/>
                <w:sz w:val="24"/>
                <w:szCs w:val="24"/>
                <w:highlight w:val="none"/>
                <w:lang w:eastAsia="zh-Hans"/>
              </w:rPr>
              <w:t>贯通总览</w:t>
            </w:r>
          </w:p>
        </w:tc>
      </w:tr>
      <w:tr>
        <w:tblPrEx>
          <w:tblCellMar>
            <w:top w:w="0" w:type="dxa"/>
            <w:left w:w="108" w:type="dxa"/>
            <w:bottom w:w="0" w:type="dxa"/>
            <w:right w:w="108" w:type="dxa"/>
          </w:tblCellMar>
        </w:tblPrEx>
        <w:trPr>
          <w:trHeight w:val="420"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default" w:ascii="宋体" w:hAnsi="宋体" w:cs="宋体"/>
                <w:color w:val="auto"/>
                <w:kern w:val="0"/>
                <w:sz w:val="24"/>
                <w:szCs w:val="24"/>
                <w:highlight w:val="none"/>
                <w:lang w:val="en-US" w:bidi="ar"/>
              </w:rPr>
            </w:pPr>
            <w:r>
              <w:rPr>
                <w:rFonts w:hint="default" w:ascii="宋体" w:hAnsi="宋体" w:cs="宋体"/>
                <w:color w:val="auto"/>
                <w:kern w:val="0"/>
                <w:sz w:val="24"/>
                <w:szCs w:val="24"/>
                <w:highlight w:val="none"/>
                <w:lang w:val="en-US" w:bidi="ar"/>
              </w:rPr>
              <w:t>2</w:t>
            </w:r>
          </w:p>
        </w:tc>
        <w:tc>
          <w:tcPr>
            <w:tcW w:w="13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cs="宋体"/>
                <w:color w:val="auto"/>
                <w:kern w:val="0"/>
                <w:sz w:val="24"/>
                <w:szCs w:val="24"/>
                <w:highlight w:val="none"/>
                <w:lang w:bidi="ar"/>
              </w:rPr>
            </w:pPr>
          </w:p>
        </w:tc>
        <w:tc>
          <w:tcPr>
            <w:tcW w:w="16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cs="宋体"/>
                <w:color w:val="auto"/>
                <w:kern w:val="0"/>
                <w:sz w:val="24"/>
                <w:szCs w:val="24"/>
                <w:highlight w:val="none"/>
                <w:lang w:bidi="ar"/>
              </w:rPr>
            </w:pPr>
          </w:p>
        </w:tc>
        <w:tc>
          <w:tcPr>
            <w:tcW w:w="1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cs="宋体"/>
                <w:color w:val="auto"/>
                <w:kern w:val="0"/>
                <w:sz w:val="24"/>
                <w:szCs w:val="24"/>
                <w:highlight w:val="none"/>
                <w:lang w:eastAsia="zh-CN" w:bidi="ar"/>
              </w:rPr>
            </w:pPr>
            <w:r>
              <w:rPr>
                <w:rFonts w:hint="eastAsia" w:ascii="宋体" w:hAnsi="宋体" w:cs="宋体"/>
                <w:color w:val="auto"/>
                <w:kern w:val="0"/>
                <w:sz w:val="24"/>
                <w:szCs w:val="24"/>
                <w:highlight w:val="none"/>
                <w:lang w:eastAsia="zh-Hans"/>
              </w:rPr>
              <w:t>贯通清单</w:t>
            </w:r>
          </w:p>
        </w:tc>
      </w:tr>
      <w:tr>
        <w:tblPrEx>
          <w:tblCellMar>
            <w:top w:w="0" w:type="dxa"/>
            <w:left w:w="108" w:type="dxa"/>
            <w:bottom w:w="0" w:type="dxa"/>
            <w:right w:w="108" w:type="dxa"/>
          </w:tblCellMar>
        </w:tblPrEx>
        <w:trPr>
          <w:trHeight w:val="420"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default" w:ascii="宋体" w:hAnsi="宋体" w:cs="宋体"/>
                <w:color w:val="auto"/>
                <w:kern w:val="0"/>
                <w:sz w:val="24"/>
                <w:szCs w:val="24"/>
                <w:highlight w:val="none"/>
                <w:lang w:val="en-US" w:bidi="ar"/>
              </w:rPr>
            </w:pPr>
            <w:r>
              <w:rPr>
                <w:rFonts w:hint="default" w:ascii="宋体" w:hAnsi="宋体" w:cs="宋体"/>
                <w:color w:val="auto"/>
                <w:kern w:val="0"/>
                <w:sz w:val="24"/>
                <w:szCs w:val="24"/>
                <w:highlight w:val="none"/>
                <w:lang w:val="en-US" w:bidi="ar"/>
              </w:rPr>
              <w:t>3</w:t>
            </w:r>
          </w:p>
        </w:tc>
        <w:tc>
          <w:tcPr>
            <w:tcW w:w="13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cs="宋体"/>
                <w:color w:val="auto"/>
                <w:kern w:val="0"/>
                <w:sz w:val="24"/>
                <w:szCs w:val="24"/>
                <w:highlight w:val="none"/>
                <w:lang w:bidi="ar"/>
              </w:rPr>
            </w:pPr>
          </w:p>
        </w:tc>
        <w:tc>
          <w:tcPr>
            <w:tcW w:w="16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cs="宋体"/>
                <w:color w:val="auto"/>
                <w:kern w:val="0"/>
                <w:sz w:val="24"/>
                <w:szCs w:val="24"/>
                <w:highlight w:val="none"/>
                <w:lang w:bidi="ar"/>
              </w:rPr>
            </w:pPr>
          </w:p>
        </w:tc>
        <w:tc>
          <w:tcPr>
            <w:tcW w:w="1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cs="宋体"/>
                <w:color w:val="auto"/>
                <w:kern w:val="0"/>
                <w:sz w:val="24"/>
                <w:szCs w:val="24"/>
                <w:highlight w:val="none"/>
                <w:lang w:eastAsia="zh-CN" w:bidi="ar"/>
              </w:rPr>
            </w:pPr>
            <w:r>
              <w:rPr>
                <w:rFonts w:hint="eastAsia" w:ascii="宋体" w:hAnsi="宋体" w:cs="宋体"/>
                <w:color w:val="auto"/>
                <w:kern w:val="0"/>
                <w:sz w:val="24"/>
                <w:szCs w:val="24"/>
                <w:highlight w:val="none"/>
                <w:lang w:eastAsia="zh-Hans"/>
              </w:rPr>
              <w:t>跑道应用</w:t>
            </w:r>
          </w:p>
        </w:tc>
      </w:tr>
      <w:tr>
        <w:tblPrEx>
          <w:tblCellMar>
            <w:top w:w="0" w:type="dxa"/>
            <w:left w:w="108" w:type="dxa"/>
            <w:bottom w:w="0" w:type="dxa"/>
            <w:right w:w="108" w:type="dxa"/>
          </w:tblCellMar>
        </w:tblPrEx>
        <w:trPr>
          <w:trHeight w:val="420"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default" w:ascii="宋体" w:hAnsi="宋体" w:cs="宋体"/>
                <w:color w:val="auto"/>
                <w:kern w:val="0"/>
                <w:sz w:val="24"/>
                <w:szCs w:val="24"/>
                <w:highlight w:val="none"/>
                <w:lang w:val="en-US" w:bidi="ar"/>
              </w:rPr>
            </w:pPr>
            <w:r>
              <w:rPr>
                <w:rFonts w:hint="default" w:ascii="宋体" w:hAnsi="宋体" w:cs="宋体"/>
                <w:color w:val="auto"/>
                <w:kern w:val="0"/>
                <w:sz w:val="24"/>
                <w:szCs w:val="24"/>
                <w:highlight w:val="none"/>
                <w:lang w:val="en-US" w:bidi="ar"/>
              </w:rPr>
              <w:t>4</w:t>
            </w:r>
          </w:p>
        </w:tc>
        <w:tc>
          <w:tcPr>
            <w:tcW w:w="13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cs="宋体"/>
                <w:color w:val="auto"/>
                <w:kern w:val="0"/>
                <w:sz w:val="24"/>
                <w:szCs w:val="24"/>
                <w:highlight w:val="none"/>
                <w:lang w:bidi="ar"/>
              </w:rPr>
            </w:pPr>
          </w:p>
        </w:tc>
        <w:tc>
          <w:tcPr>
            <w:tcW w:w="16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cs="宋体"/>
                <w:color w:val="auto"/>
                <w:kern w:val="0"/>
                <w:sz w:val="24"/>
                <w:szCs w:val="24"/>
                <w:highlight w:val="none"/>
                <w:lang w:bidi="ar"/>
              </w:rPr>
            </w:pPr>
          </w:p>
        </w:tc>
        <w:tc>
          <w:tcPr>
            <w:tcW w:w="1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hint="eastAsia" w:ascii="宋体" w:hAnsi="宋体" w:cs="宋体"/>
                <w:color w:val="auto"/>
                <w:kern w:val="0"/>
                <w:sz w:val="24"/>
                <w:szCs w:val="24"/>
                <w:highlight w:val="none"/>
                <w:lang w:eastAsia="zh-CN" w:bidi="ar"/>
              </w:rPr>
            </w:pPr>
            <w:r>
              <w:rPr>
                <w:rFonts w:hint="eastAsia" w:ascii="宋体" w:hAnsi="宋体" w:cs="宋体"/>
                <w:color w:val="auto"/>
                <w:kern w:val="0"/>
                <w:sz w:val="24"/>
                <w:szCs w:val="24"/>
                <w:highlight w:val="none"/>
                <w:lang w:eastAsia="zh-Hans"/>
              </w:rPr>
              <w:t>地图展示</w:t>
            </w:r>
          </w:p>
        </w:tc>
      </w:tr>
      <w:tr>
        <w:tblPrEx>
          <w:tblCellMar>
            <w:top w:w="0" w:type="dxa"/>
            <w:left w:w="108" w:type="dxa"/>
            <w:bottom w:w="0" w:type="dxa"/>
            <w:right w:w="108" w:type="dxa"/>
          </w:tblCellMar>
        </w:tblPrEx>
        <w:trPr>
          <w:trHeight w:val="420"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default" w:ascii="宋体" w:hAnsi="宋体" w:cs="宋体"/>
                <w:color w:val="auto"/>
                <w:kern w:val="0"/>
                <w:sz w:val="24"/>
                <w:szCs w:val="24"/>
                <w:highlight w:val="none"/>
                <w:lang w:val="en-US" w:bidi="ar"/>
              </w:rPr>
              <w:t>5</w:t>
            </w:r>
          </w:p>
        </w:tc>
        <w:tc>
          <w:tcPr>
            <w:tcW w:w="13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p>
        </w:tc>
        <w:tc>
          <w:tcPr>
            <w:tcW w:w="16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平安法治领导驾驶舱</w:t>
            </w:r>
          </w:p>
        </w:tc>
        <w:tc>
          <w:tcPr>
            <w:tcW w:w="1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多维数据集成专题屏</w:t>
            </w:r>
          </w:p>
        </w:tc>
      </w:tr>
      <w:tr>
        <w:tblPrEx>
          <w:tblCellMar>
            <w:top w:w="0" w:type="dxa"/>
            <w:left w:w="108" w:type="dxa"/>
            <w:bottom w:w="0" w:type="dxa"/>
            <w:right w:w="108" w:type="dxa"/>
          </w:tblCellMar>
        </w:tblPrEx>
        <w:trPr>
          <w:trHeight w:val="420"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default" w:ascii="宋体" w:hAnsi="宋体" w:cs="宋体"/>
                <w:color w:val="auto"/>
                <w:kern w:val="0"/>
                <w:sz w:val="24"/>
                <w:szCs w:val="24"/>
                <w:highlight w:val="none"/>
                <w:lang w:val="en-US" w:bidi="ar"/>
              </w:rPr>
              <w:t>6</w:t>
            </w:r>
          </w:p>
        </w:tc>
        <w:tc>
          <w:tcPr>
            <w:tcW w:w="13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p>
        </w:tc>
        <w:tc>
          <w:tcPr>
            <w:tcW w:w="16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p>
        </w:tc>
        <w:tc>
          <w:tcPr>
            <w:tcW w:w="1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风险排查|矛盾调处专题屏</w:t>
            </w:r>
          </w:p>
        </w:tc>
      </w:tr>
      <w:tr>
        <w:tblPrEx>
          <w:tblCellMar>
            <w:top w:w="0" w:type="dxa"/>
            <w:left w:w="108" w:type="dxa"/>
            <w:bottom w:w="0" w:type="dxa"/>
            <w:right w:w="108" w:type="dxa"/>
          </w:tblCellMar>
        </w:tblPrEx>
        <w:trPr>
          <w:trHeight w:val="420"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default" w:ascii="宋体" w:hAnsi="宋体" w:cs="宋体"/>
                <w:color w:val="auto"/>
                <w:kern w:val="0"/>
                <w:sz w:val="24"/>
                <w:szCs w:val="24"/>
                <w:highlight w:val="none"/>
                <w:lang w:val="en-US" w:bidi="ar"/>
              </w:rPr>
              <w:t>7</w:t>
            </w:r>
          </w:p>
        </w:tc>
        <w:tc>
          <w:tcPr>
            <w:tcW w:w="13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p>
        </w:tc>
        <w:tc>
          <w:tcPr>
            <w:tcW w:w="16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p>
        </w:tc>
        <w:tc>
          <w:tcPr>
            <w:tcW w:w="1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分析研判专题屏</w:t>
            </w:r>
          </w:p>
        </w:tc>
      </w:tr>
      <w:tr>
        <w:tblPrEx>
          <w:tblCellMar>
            <w:top w:w="0" w:type="dxa"/>
            <w:left w:w="108" w:type="dxa"/>
            <w:bottom w:w="0" w:type="dxa"/>
            <w:right w:w="108" w:type="dxa"/>
          </w:tblCellMar>
        </w:tblPrEx>
        <w:trPr>
          <w:trHeight w:val="420"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default" w:ascii="宋体" w:hAnsi="宋体" w:cs="宋体"/>
                <w:color w:val="auto"/>
                <w:kern w:val="0"/>
                <w:sz w:val="24"/>
                <w:szCs w:val="24"/>
                <w:highlight w:val="none"/>
                <w:lang w:val="en-US" w:bidi="ar"/>
              </w:rPr>
              <w:t>8</w:t>
            </w:r>
          </w:p>
        </w:tc>
        <w:tc>
          <w:tcPr>
            <w:tcW w:w="13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p>
        </w:tc>
        <w:tc>
          <w:tcPr>
            <w:tcW w:w="16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p>
        </w:tc>
        <w:tc>
          <w:tcPr>
            <w:tcW w:w="1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平安工作指标专题屏</w:t>
            </w:r>
          </w:p>
        </w:tc>
      </w:tr>
      <w:tr>
        <w:tblPrEx>
          <w:tblCellMar>
            <w:top w:w="0" w:type="dxa"/>
            <w:left w:w="108" w:type="dxa"/>
            <w:bottom w:w="0" w:type="dxa"/>
            <w:right w:w="108" w:type="dxa"/>
          </w:tblCellMar>
        </w:tblPrEx>
        <w:trPr>
          <w:trHeight w:val="420"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default" w:ascii="宋体" w:hAnsi="宋体" w:cs="宋体"/>
                <w:color w:val="auto"/>
                <w:kern w:val="0"/>
                <w:sz w:val="24"/>
                <w:szCs w:val="24"/>
                <w:highlight w:val="none"/>
                <w:lang w:val="en-US" w:bidi="ar"/>
              </w:rPr>
              <w:t>9</w:t>
            </w:r>
          </w:p>
        </w:tc>
        <w:tc>
          <w:tcPr>
            <w:tcW w:w="13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p>
        </w:tc>
        <w:tc>
          <w:tcPr>
            <w:tcW w:w="16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p>
        </w:tc>
        <w:tc>
          <w:tcPr>
            <w:tcW w:w="1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360" w:lineRule="auto"/>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协同流转专题屏</w:t>
            </w:r>
          </w:p>
        </w:tc>
      </w:tr>
    </w:tbl>
    <w:p>
      <w:pPr>
        <w:autoSpaceDE w:val="0"/>
        <w:autoSpaceDN w:val="0"/>
        <w:spacing w:line="360" w:lineRule="auto"/>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1）四条跑道综合领导驾驶舱</w:t>
      </w:r>
    </w:p>
    <w:p>
      <w:pPr>
        <w:autoSpaceDE w:val="0"/>
        <w:autoSpaceDN w:val="0"/>
        <w:spacing w:line="360" w:lineRule="auto"/>
        <w:ind w:firstLine="480" w:firstLineChars="200"/>
        <w:rPr>
          <w:rFonts w:ascii="宋体" w:hAnsi="宋体" w:cs="宋体"/>
          <w:color w:val="auto"/>
          <w:kern w:val="0"/>
          <w:sz w:val="24"/>
          <w:szCs w:val="21"/>
          <w:highlight w:val="none"/>
          <w:lang w:eastAsia="zh-Hans"/>
        </w:rPr>
      </w:pPr>
      <w:r>
        <w:rPr>
          <w:rFonts w:hint="eastAsia" w:ascii="宋体" w:hAnsi="宋体" w:cs="宋体"/>
          <w:color w:val="auto"/>
          <w:kern w:val="0"/>
          <w:sz w:val="24"/>
          <w:szCs w:val="21"/>
          <w:highlight w:val="none"/>
          <w:lang w:eastAsia="zh-Hans"/>
        </w:rPr>
        <w:t>贯通总览：展示省、市向下贯通的应用总数。</w:t>
      </w:r>
    </w:p>
    <w:p>
      <w:pPr>
        <w:autoSpaceDE w:val="0"/>
        <w:autoSpaceDN w:val="0"/>
        <w:spacing w:line="360" w:lineRule="auto"/>
        <w:ind w:firstLine="480" w:firstLineChars="200"/>
        <w:rPr>
          <w:rFonts w:ascii="宋体" w:hAnsi="宋体" w:cs="宋体"/>
          <w:color w:val="auto"/>
          <w:kern w:val="0"/>
          <w:sz w:val="24"/>
          <w:szCs w:val="21"/>
          <w:highlight w:val="none"/>
          <w:lang w:eastAsia="zh-Hans"/>
        </w:rPr>
      </w:pPr>
      <w:r>
        <w:rPr>
          <w:rFonts w:hint="eastAsia" w:ascii="宋体" w:hAnsi="宋体" w:cs="宋体"/>
          <w:color w:val="auto"/>
          <w:kern w:val="0"/>
          <w:sz w:val="24"/>
          <w:szCs w:val="21"/>
          <w:highlight w:val="none"/>
          <w:lang w:eastAsia="zh-Hans"/>
        </w:rPr>
        <w:t>贯通清单：列表展示贯通应用的任务模块、数量以及贯通层级。</w:t>
      </w:r>
    </w:p>
    <w:p>
      <w:pPr>
        <w:autoSpaceDE w:val="0"/>
        <w:autoSpaceDN w:val="0"/>
        <w:spacing w:line="360" w:lineRule="auto"/>
        <w:ind w:firstLine="480" w:firstLineChars="200"/>
        <w:rPr>
          <w:rFonts w:ascii="宋体" w:hAnsi="宋体" w:cs="宋体"/>
          <w:color w:val="auto"/>
          <w:kern w:val="0"/>
          <w:sz w:val="24"/>
          <w:szCs w:val="21"/>
          <w:highlight w:val="none"/>
          <w:lang w:eastAsia="zh-Hans"/>
        </w:rPr>
      </w:pPr>
      <w:r>
        <w:rPr>
          <w:rFonts w:hint="eastAsia" w:ascii="宋体" w:hAnsi="宋体" w:cs="宋体"/>
          <w:color w:val="auto"/>
          <w:kern w:val="0"/>
          <w:sz w:val="24"/>
          <w:szCs w:val="21"/>
          <w:highlight w:val="none"/>
          <w:lang w:eastAsia="zh-Hans"/>
        </w:rPr>
        <w:t>跑道应用：按照党建统领、经济生态、平安法治、公共服务四个跑道，分别对落在各跑道的应用实效进行展示。</w:t>
      </w:r>
    </w:p>
    <w:p>
      <w:pPr>
        <w:autoSpaceDE w:val="0"/>
        <w:autoSpaceDN w:val="0"/>
        <w:spacing w:line="360" w:lineRule="auto"/>
        <w:ind w:firstLine="480" w:firstLineChars="200"/>
        <w:rPr>
          <w:rFonts w:ascii="宋体" w:hAnsi="宋体" w:cs="宋体"/>
          <w:color w:val="auto"/>
          <w:kern w:val="0"/>
          <w:sz w:val="24"/>
          <w:szCs w:val="21"/>
          <w:highlight w:val="none"/>
          <w:lang w:eastAsia="zh-Hans"/>
        </w:rPr>
      </w:pPr>
      <w:r>
        <w:rPr>
          <w:rFonts w:hint="eastAsia" w:ascii="宋体" w:hAnsi="宋体" w:cs="宋体"/>
          <w:color w:val="auto"/>
          <w:kern w:val="0"/>
          <w:sz w:val="24"/>
          <w:szCs w:val="21"/>
          <w:highlight w:val="none"/>
          <w:lang w:eastAsia="zh-Hans"/>
        </w:rPr>
        <w:t>地图展示：可支撑省市县多个层级选择；根据所选层级对选择的贯通重点任务的进行西湖区各街道的任务执行总体排名展示；</w:t>
      </w:r>
    </w:p>
    <w:p>
      <w:pPr>
        <w:autoSpaceDE w:val="0"/>
        <w:autoSpaceDN w:val="0"/>
        <w:spacing w:line="360" w:lineRule="auto"/>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2）平安法治领导驾驶舱</w:t>
      </w:r>
    </w:p>
    <w:p>
      <w:pPr>
        <w:pStyle w:val="2"/>
        <w:ind w:firstLine="480" w:firstLineChars="200"/>
        <w:rPr>
          <w:rFonts w:hint="eastAsia"/>
          <w:color w:val="auto"/>
          <w:highlight w:val="none"/>
          <w:lang w:val="en-US"/>
        </w:rPr>
      </w:pPr>
      <w:r>
        <w:rPr>
          <w:rFonts w:hint="eastAsia"/>
          <w:color w:val="auto"/>
          <w:highlight w:val="none"/>
          <w:lang w:val="en-US"/>
        </w:rPr>
        <w:t>包含多维数据集成、风险排查|矛盾调处、分析研判、平安工作指标、协同流转多个等涵盖基层治理工作的全周期管控展示的系列专题大屏。</w:t>
      </w:r>
    </w:p>
    <w:p>
      <w:pPr>
        <w:pStyle w:val="32"/>
        <w:spacing w:line="360" w:lineRule="auto"/>
        <w:ind w:left="0" w:leftChars="0" w:firstLine="420"/>
        <w:rPr>
          <w:rFonts w:hint="eastAsia" w:ascii="宋体" w:hAnsi="Arial" w:cs="Arial"/>
          <w:snapToGrid w:val="0"/>
          <w:color w:val="auto"/>
          <w:sz w:val="24"/>
          <w:szCs w:val="21"/>
          <w:highlight w:val="none"/>
          <w:lang w:eastAsia="zh-CN"/>
        </w:rPr>
      </w:pPr>
      <w:r>
        <w:rPr>
          <w:rFonts w:hint="eastAsia" w:ascii="宋体" w:hAnsi="Arial" w:cs="Arial"/>
          <w:b/>
          <w:bCs/>
          <w:snapToGrid w:val="0"/>
          <w:color w:val="auto"/>
          <w:sz w:val="24"/>
          <w:szCs w:val="21"/>
          <w:highlight w:val="none"/>
        </w:rPr>
        <w:t>多维数据集成专题屏</w:t>
      </w:r>
      <w:r>
        <w:rPr>
          <w:rFonts w:hint="eastAsia" w:ascii="宋体" w:hAnsi="Arial" w:cs="Arial"/>
          <w:b/>
          <w:bCs/>
          <w:snapToGrid w:val="0"/>
          <w:color w:val="auto"/>
          <w:sz w:val="24"/>
          <w:szCs w:val="21"/>
          <w:highlight w:val="none"/>
          <w:lang w:eastAsia="zh-CN"/>
        </w:rPr>
        <w:t>（</w:t>
      </w:r>
      <w:r>
        <w:rPr>
          <w:rFonts w:hint="eastAsia" w:ascii="宋体" w:hAnsi="Arial" w:cs="Arial"/>
          <w:b/>
          <w:bCs/>
          <w:snapToGrid w:val="0"/>
          <w:color w:val="auto"/>
          <w:sz w:val="24"/>
          <w:szCs w:val="21"/>
          <w:highlight w:val="none"/>
        </w:rPr>
        <w:t>提供演示</w:t>
      </w:r>
      <w:r>
        <w:rPr>
          <w:rFonts w:hint="eastAsia" w:ascii="宋体" w:hAnsi="Arial" w:cs="Arial"/>
          <w:b/>
          <w:bCs/>
          <w:snapToGrid w:val="0"/>
          <w:color w:val="auto"/>
          <w:sz w:val="24"/>
          <w:szCs w:val="21"/>
          <w:highlight w:val="none"/>
          <w:lang w:eastAsia="zh-CN"/>
        </w:rPr>
        <w:t>）</w:t>
      </w:r>
      <w:r>
        <w:rPr>
          <w:rFonts w:hint="eastAsia" w:ascii="宋体" w:hAnsi="Arial" w:cs="Arial"/>
          <w:snapToGrid w:val="0"/>
          <w:color w:val="auto"/>
          <w:sz w:val="24"/>
          <w:szCs w:val="21"/>
          <w:highlight w:val="none"/>
          <w:lang w:eastAsia="zh-CN"/>
        </w:rPr>
        <w:t>：</w:t>
      </w:r>
      <w:r>
        <w:rPr>
          <w:rFonts w:hint="eastAsia" w:ascii="宋体" w:hAnsi="Arial" w:cs="Arial"/>
          <w:snapToGrid w:val="0"/>
          <w:color w:val="auto"/>
          <w:sz w:val="24"/>
          <w:szCs w:val="21"/>
          <w:highlight w:val="none"/>
        </w:rPr>
        <w:t>详细展示人口、房屋、场所、事件、任务等多个类型基础资源的具体详情，</w:t>
      </w:r>
      <w:r>
        <w:rPr>
          <w:rFonts w:hint="eastAsia" w:ascii="宋体" w:hAnsi="Arial" w:cs="Arial"/>
          <w:snapToGrid w:val="0"/>
          <w:color w:val="auto"/>
          <w:sz w:val="24"/>
          <w:szCs w:val="21"/>
          <w:highlight w:val="none"/>
          <w:lang w:val="en-US" w:eastAsia="zh-CN"/>
        </w:rPr>
        <w:t>其中</w:t>
      </w:r>
      <w:r>
        <w:rPr>
          <w:rFonts w:hint="eastAsia" w:ascii="宋体" w:hAnsi="Arial" w:cs="Arial"/>
          <w:snapToGrid w:val="0"/>
          <w:color w:val="auto"/>
          <w:sz w:val="24"/>
          <w:szCs w:val="21"/>
          <w:highlight w:val="none"/>
        </w:rPr>
        <w:t>人口类型展示：基于GIS地图，实现居住情况、人口分布、区域分布等多个内容的展示</w:t>
      </w:r>
      <w:r>
        <w:rPr>
          <w:rFonts w:hint="eastAsia" w:ascii="宋体" w:hAnsi="Arial" w:cs="Arial"/>
          <w:snapToGrid w:val="0"/>
          <w:color w:val="auto"/>
          <w:sz w:val="24"/>
          <w:szCs w:val="21"/>
          <w:highlight w:val="none"/>
          <w:lang w:eastAsia="zh-CN"/>
        </w:rPr>
        <w:t>。</w:t>
      </w:r>
    </w:p>
    <w:p>
      <w:pPr>
        <w:pStyle w:val="32"/>
        <w:spacing w:line="360" w:lineRule="auto"/>
        <w:ind w:left="0" w:leftChars="0" w:firstLine="420"/>
        <w:rPr>
          <w:rFonts w:hint="eastAsia" w:ascii="宋体" w:hAnsi="Arial" w:cs="Arial"/>
          <w:snapToGrid w:val="0"/>
          <w:color w:val="auto"/>
          <w:sz w:val="24"/>
          <w:szCs w:val="21"/>
          <w:highlight w:val="none"/>
        </w:rPr>
      </w:pPr>
      <w:r>
        <w:rPr>
          <w:rFonts w:hint="eastAsia" w:ascii="宋体" w:hAnsi="Arial" w:cs="Arial"/>
          <w:snapToGrid w:val="0"/>
          <w:color w:val="auto"/>
          <w:sz w:val="24"/>
          <w:szCs w:val="21"/>
          <w:highlight w:val="none"/>
          <w:lang w:val="en-US"/>
        </w:rPr>
        <w:t>风险排查|矛盾调处</w:t>
      </w:r>
      <w:r>
        <w:rPr>
          <w:rFonts w:hint="eastAsia" w:ascii="宋体" w:hAnsi="Arial" w:cs="Arial"/>
          <w:snapToGrid w:val="0"/>
          <w:color w:val="auto"/>
          <w:sz w:val="24"/>
          <w:szCs w:val="21"/>
          <w:highlight w:val="none"/>
          <w:lang w:val="en-US" w:eastAsia="zh-CN"/>
        </w:rPr>
        <w:t>专题屏：</w:t>
      </w:r>
      <w:r>
        <w:rPr>
          <w:rFonts w:hint="eastAsia" w:ascii="宋体" w:hAnsi="Arial" w:cs="Arial"/>
          <w:snapToGrid w:val="0"/>
          <w:color w:val="auto"/>
          <w:sz w:val="24"/>
          <w:szCs w:val="21"/>
          <w:highlight w:val="none"/>
        </w:rPr>
        <w:t>包含重点人员、热点问题的处置情况。基于GIS地图，对全区不同重点场所的分类及占比，重点人员类型及重点人员构成情况，全区热点关键词等内容进行不同形式的可视化展示。</w:t>
      </w:r>
    </w:p>
    <w:p>
      <w:pPr>
        <w:pStyle w:val="32"/>
        <w:spacing w:line="360" w:lineRule="auto"/>
        <w:ind w:left="0" w:leftChars="0" w:firstLine="420"/>
        <w:rPr>
          <w:rFonts w:hint="eastAsia" w:ascii="宋体" w:hAnsi="Arial" w:cs="Arial"/>
          <w:snapToGrid w:val="0"/>
          <w:color w:val="auto"/>
          <w:sz w:val="24"/>
          <w:szCs w:val="21"/>
          <w:highlight w:val="none"/>
          <w:lang w:eastAsia="zh-CN"/>
        </w:rPr>
      </w:pPr>
      <w:r>
        <w:rPr>
          <w:rFonts w:hint="eastAsia" w:ascii="宋体" w:hAnsi="Arial" w:cs="Arial"/>
          <w:snapToGrid w:val="0"/>
          <w:color w:val="auto"/>
          <w:sz w:val="24"/>
          <w:szCs w:val="21"/>
          <w:highlight w:val="none"/>
        </w:rPr>
        <w:t>分析研判</w:t>
      </w:r>
      <w:r>
        <w:rPr>
          <w:rFonts w:hint="eastAsia" w:ascii="宋体" w:hAnsi="Arial" w:cs="Arial"/>
          <w:snapToGrid w:val="0"/>
          <w:color w:val="auto"/>
          <w:sz w:val="24"/>
          <w:szCs w:val="21"/>
          <w:highlight w:val="none"/>
          <w:lang w:val="en-US" w:eastAsia="zh-CN"/>
        </w:rPr>
        <w:t>专题屏：</w:t>
      </w:r>
      <w:r>
        <w:rPr>
          <w:rFonts w:hint="eastAsia" w:ascii="宋体" w:hAnsi="Arial" w:cs="Arial"/>
          <w:snapToGrid w:val="0"/>
          <w:color w:val="auto"/>
          <w:sz w:val="24"/>
          <w:szCs w:val="21"/>
          <w:highlight w:val="none"/>
        </w:rPr>
        <w:t>基于GIS地图，对全区的关注风险和隐性问题的监控进行详情展示，从识别、管控、处置的过程要素，整体展示关注风险和隐性问题内容，不同镇街的同类问题和频发问题分布落图展示，并以列表展示问题关连事件及等级</w:t>
      </w:r>
      <w:r>
        <w:rPr>
          <w:rFonts w:hint="eastAsia" w:ascii="宋体" w:hAnsi="Arial" w:cs="Arial"/>
          <w:snapToGrid w:val="0"/>
          <w:color w:val="auto"/>
          <w:sz w:val="24"/>
          <w:szCs w:val="21"/>
          <w:highlight w:val="none"/>
          <w:lang w:eastAsia="zh-CN"/>
        </w:rPr>
        <w:t>。</w:t>
      </w:r>
    </w:p>
    <w:p>
      <w:pPr>
        <w:pStyle w:val="32"/>
        <w:spacing w:line="360" w:lineRule="auto"/>
        <w:ind w:left="0" w:leftChars="0" w:firstLine="420"/>
        <w:rPr>
          <w:rFonts w:hint="eastAsia" w:ascii="宋体" w:hAnsi="Arial" w:cs="Arial"/>
          <w:snapToGrid w:val="0"/>
          <w:color w:val="auto"/>
          <w:sz w:val="24"/>
          <w:szCs w:val="21"/>
          <w:highlight w:val="none"/>
          <w:lang w:eastAsia="zh-CN"/>
        </w:rPr>
      </w:pPr>
      <w:r>
        <w:rPr>
          <w:rFonts w:hint="eastAsia" w:ascii="宋体" w:hAnsi="Arial" w:cs="Arial"/>
          <w:snapToGrid w:val="0"/>
          <w:color w:val="auto"/>
          <w:sz w:val="24"/>
          <w:szCs w:val="21"/>
          <w:highlight w:val="none"/>
        </w:rPr>
        <w:t>平安工作指标</w:t>
      </w:r>
      <w:r>
        <w:rPr>
          <w:rFonts w:hint="eastAsia" w:ascii="宋体" w:hAnsi="Arial" w:cs="Arial"/>
          <w:snapToGrid w:val="0"/>
          <w:color w:val="auto"/>
          <w:sz w:val="24"/>
          <w:szCs w:val="21"/>
          <w:highlight w:val="none"/>
          <w:lang w:val="en-US" w:eastAsia="zh-CN"/>
        </w:rPr>
        <w:t>专题屏</w:t>
      </w:r>
      <w:r>
        <w:rPr>
          <w:rFonts w:hint="eastAsia" w:ascii="宋体" w:hAnsi="Arial" w:cs="Arial"/>
          <w:snapToGrid w:val="0"/>
          <w:color w:val="auto"/>
          <w:sz w:val="24"/>
          <w:szCs w:val="21"/>
          <w:highlight w:val="none"/>
          <w:lang w:eastAsia="zh-CN"/>
        </w:rPr>
        <w:t>：</w:t>
      </w:r>
      <w:r>
        <w:rPr>
          <w:rFonts w:hint="eastAsia" w:ascii="宋体" w:hAnsi="Arial" w:cs="Arial"/>
          <w:snapToGrid w:val="0"/>
          <w:color w:val="auto"/>
          <w:sz w:val="24"/>
          <w:szCs w:val="21"/>
          <w:highlight w:val="none"/>
        </w:rPr>
        <w:t>详细西湖区全区基层社会治理全要素平安工作指标完成情况，包括西湖区整体运行的不同指标数</w:t>
      </w:r>
      <w:r>
        <w:rPr>
          <w:rFonts w:hint="eastAsia" w:ascii="宋体" w:hAnsi="Arial" w:cs="Arial"/>
          <w:snapToGrid w:val="0"/>
          <w:color w:val="auto"/>
          <w:sz w:val="24"/>
          <w:szCs w:val="21"/>
          <w:highlight w:val="none"/>
          <w:lang w:eastAsia="zh-CN"/>
        </w:rPr>
        <w:t>。</w:t>
      </w:r>
    </w:p>
    <w:p>
      <w:pPr>
        <w:pStyle w:val="32"/>
        <w:spacing w:line="360" w:lineRule="auto"/>
        <w:ind w:left="0" w:leftChars="0" w:firstLine="0" w:firstLineChars="0"/>
        <w:rPr>
          <w:rFonts w:hint="eastAsia" w:ascii="宋体" w:hAnsi="Arial" w:cs="Arial"/>
          <w:snapToGrid w:val="0"/>
          <w:color w:val="auto"/>
          <w:sz w:val="24"/>
          <w:szCs w:val="21"/>
          <w:highlight w:val="none"/>
        </w:rPr>
      </w:pPr>
      <w:r>
        <w:rPr>
          <w:rFonts w:hint="eastAsia" w:ascii="宋体" w:hAnsi="Arial" w:cs="Arial"/>
          <w:snapToGrid w:val="0"/>
          <w:color w:val="auto"/>
          <w:sz w:val="24"/>
          <w:szCs w:val="21"/>
          <w:highlight w:val="none"/>
        </w:rPr>
        <w:t>协同流转</w:t>
      </w:r>
      <w:r>
        <w:rPr>
          <w:rFonts w:hint="eastAsia" w:ascii="宋体" w:hAnsi="Arial" w:cs="Arial"/>
          <w:snapToGrid w:val="0"/>
          <w:color w:val="auto"/>
          <w:sz w:val="24"/>
          <w:szCs w:val="21"/>
          <w:highlight w:val="none"/>
          <w:lang w:val="en-US" w:eastAsia="zh-CN"/>
        </w:rPr>
        <w:t>专题屏：</w:t>
      </w:r>
      <w:r>
        <w:rPr>
          <w:rFonts w:hint="eastAsia" w:ascii="宋体" w:hAnsi="Arial" w:cs="Arial"/>
          <w:snapToGrid w:val="0"/>
          <w:color w:val="auto"/>
          <w:sz w:val="24"/>
          <w:szCs w:val="21"/>
          <w:highlight w:val="none"/>
        </w:rPr>
        <w:t>详细展示西湖区协同事件、专项整治任务等工作的执行情况。</w:t>
      </w:r>
    </w:p>
    <w:p>
      <w:pPr>
        <w:pStyle w:val="32"/>
        <w:spacing w:line="360" w:lineRule="auto"/>
        <w:ind w:left="0" w:leftChars="0" w:firstLine="0" w:firstLineChars="0"/>
        <w:rPr>
          <w:rFonts w:ascii="宋体" w:hAnsi="宋体" w:cs="宋体"/>
          <w:b/>
          <w:bCs/>
          <w:color w:val="auto"/>
          <w:sz w:val="30"/>
          <w:szCs w:val="32"/>
          <w:highlight w:val="none"/>
        </w:rPr>
      </w:pPr>
      <w:r>
        <w:rPr>
          <w:rFonts w:hint="eastAsia" w:ascii="宋体" w:hAnsi="宋体" w:cs="宋体"/>
          <w:b/>
          <w:bCs/>
          <w:color w:val="auto"/>
          <w:sz w:val="30"/>
          <w:szCs w:val="32"/>
          <w:highlight w:val="none"/>
          <w:lang w:eastAsia="zh-CN"/>
        </w:rPr>
        <w:t>（</w:t>
      </w:r>
      <w:r>
        <w:rPr>
          <w:rFonts w:hint="default" w:ascii="宋体" w:hAnsi="宋体" w:cs="宋体"/>
          <w:b/>
          <w:bCs/>
          <w:color w:val="auto"/>
          <w:sz w:val="30"/>
          <w:szCs w:val="32"/>
          <w:highlight w:val="none"/>
          <w:lang w:val="en-US" w:eastAsia="zh-CN"/>
        </w:rPr>
        <w:t>3</w:t>
      </w:r>
      <w:r>
        <w:rPr>
          <w:rFonts w:hint="eastAsia" w:ascii="宋体" w:hAnsi="宋体" w:cs="宋体"/>
          <w:b/>
          <w:bCs/>
          <w:color w:val="auto"/>
          <w:sz w:val="30"/>
          <w:szCs w:val="32"/>
          <w:highlight w:val="none"/>
          <w:lang w:eastAsia="zh-CN"/>
        </w:rPr>
        <w:t>）</w:t>
      </w:r>
      <w:r>
        <w:rPr>
          <w:rFonts w:hint="eastAsia" w:ascii="宋体" w:hAnsi="宋体" w:cs="宋体"/>
          <w:b/>
          <w:bCs/>
          <w:color w:val="auto"/>
          <w:sz w:val="30"/>
          <w:szCs w:val="32"/>
          <w:highlight w:val="none"/>
        </w:rPr>
        <w:t>基层智治综合应用</w:t>
      </w:r>
    </w:p>
    <w:p>
      <w:pPr>
        <w:autoSpaceDE w:val="0"/>
        <w:autoSpaceDN w:val="0"/>
        <w:spacing w:line="360" w:lineRule="auto"/>
        <w:ind w:firstLine="480" w:firstLineChars="200"/>
        <w:rPr>
          <w:rFonts w:ascii="宋体" w:hAnsi="宋体" w:cs="宋体"/>
          <w:color w:val="auto"/>
          <w:kern w:val="0"/>
          <w:sz w:val="24"/>
          <w:szCs w:val="21"/>
          <w:highlight w:val="none"/>
        </w:rPr>
      </w:pPr>
      <w:r>
        <w:rPr>
          <w:rFonts w:hint="eastAsia" w:ascii="宋体" w:hAnsi="宋体" w:cs="宋体"/>
          <w:color w:val="auto"/>
          <w:kern w:val="0"/>
          <w:sz w:val="24"/>
          <w:szCs w:val="21"/>
          <w:highlight w:val="none"/>
        </w:rPr>
        <w:t>根据省市关于基层智治系统的建设依据和验收指标，结合实际工作需求以及省级重大应用贯通需求，对基层智治综合应用工作台中的业务模块进行相应升级改造及功能拓展，包含基层智治业务组件建设和基层智治基础应用升级。</w:t>
      </w:r>
    </w:p>
    <w:p>
      <w:pPr>
        <w:autoSpaceDE w:val="0"/>
        <w:autoSpaceDN w:val="0"/>
        <w:spacing w:line="360" w:lineRule="auto"/>
        <w:rPr>
          <w:rFonts w:ascii="宋体" w:hAnsi="宋体" w:cs="宋体"/>
          <w:color w:val="auto"/>
          <w:kern w:val="0"/>
          <w:sz w:val="24"/>
          <w:szCs w:val="21"/>
          <w:highlight w:val="none"/>
        </w:rPr>
      </w:pPr>
      <w:r>
        <w:rPr>
          <w:rFonts w:hint="eastAsia" w:ascii="宋体" w:hAnsi="宋体" w:cs="宋体"/>
          <w:color w:val="auto"/>
          <w:kern w:val="0"/>
          <w:sz w:val="24"/>
          <w:szCs w:val="21"/>
          <w:highlight w:val="none"/>
          <w:lang w:val="zh-CN"/>
        </w:rPr>
        <w:t>基层智治综合应用</w:t>
      </w:r>
      <w:r>
        <w:rPr>
          <w:rFonts w:hint="eastAsia" w:ascii="宋体" w:hAnsi="宋体" w:cs="宋体"/>
          <w:color w:val="auto"/>
          <w:kern w:val="0"/>
          <w:sz w:val="24"/>
          <w:szCs w:val="21"/>
          <w:highlight w:val="none"/>
        </w:rPr>
        <w:t>建设详细需求：</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3375"/>
        <w:gridCol w:w="2648"/>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spacing w:after="120"/>
              <w:jc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序号</w:t>
            </w:r>
          </w:p>
        </w:tc>
        <w:tc>
          <w:tcPr>
            <w:tcW w:w="3375" w:type="dxa"/>
            <w:vAlign w:val="center"/>
          </w:tcPr>
          <w:p>
            <w:pPr>
              <w:adjustRightInd/>
              <w:spacing w:after="120"/>
              <w:jc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类目</w:t>
            </w:r>
          </w:p>
        </w:tc>
        <w:tc>
          <w:tcPr>
            <w:tcW w:w="2648" w:type="dxa"/>
            <w:vAlign w:val="center"/>
          </w:tcPr>
          <w:p>
            <w:pPr>
              <w:adjustRightInd/>
              <w:spacing w:after="120"/>
              <w:jc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建设任务</w:t>
            </w:r>
          </w:p>
        </w:tc>
        <w:tc>
          <w:tcPr>
            <w:tcW w:w="2648" w:type="dxa"/>
            <w:vAlign w:val="center"/>
          </w:tcPr>
          <w:p>
            <w:pPr>
              <w:adjustRightInd/>
              <w:spacing w:after="120"/>
              <w:jc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p>
        </w:tc>
        <w:tc>
          <w:tcPr>
            <w:tcW w:w="3375" w:type="dxa"/>
            <w:vMerge w:val="restart"/>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基层智治综合应用</w:t>
            </w:r>
          </w:p>
        </w:tc>
        <w:tc>
          <w:tcPr>
            <w:tcW w:w="2648" w:type="dxa"/>
            <w:vMerge w:val="restart"/>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基层智治业务组件建设</w:t>
            </w:r>
          </w:p>
        </w:tc>
        <w:tc>
          <w:tcPr>
            <w:tcW w:w="2648"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网格事项准入组件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w:t>
            </w:r>
          </w:p>
        </w:tc>
        <w:tc>
          <w:tcPr>
            <w:tcW w:w="3375"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事件管理组件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12"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w:t>
            </w:r>
          </w:p>
        </w:tc>
        <w:tc>
          <w:tcPr>
            <w:tcW w:w="3375"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效能评估组件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default" w:ascii="宋体" w:hAnsi="宋体" w:eastAsia="宋体" w:cs="宋体"/>
                <w:color w:val="auto"/>
                <w:kern w:val="0"/>
                <w:sz w:val="24"/>
                <w:szCs w:val="24"/>
                <w:highlight w:val="none"/>
                <w:lang w:val="en-US" w:bidi="ar"/>
              </w:rPr>
              <w:t>4</w:t>
            </w:r>
          </w:p>
        </w:tc>
        <w:tc>
          <w:tcPr>
            <w:tcW w:w="3375"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决策赋能组件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default" w:ascii="宋体" w:hAnsi="宋体" w:eastAsia="宋体" w:cs="宋体"/>
                <w:color w:val="auto"/>
                <w:kern w:val="0"/>
                <w:sz w:val="24"/>
                <w:szCs w:val="24"/>
                <w:highlight w:val="none"/>
                <w:lang w:val="en-US" w:bidi="ar"/>
              </w:rPr>
              <w:t>5</w:t>
            </w:r>
          </w:p>
        </w:tc>
        <w:tc>
          <w:tcPr>
            <w:tcW w:w="3375"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Merge w:val="restart"/>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基层智治基础应用升级</w:t>
            </w:r>
          </w:p>
        </w:tc>
        <w:tc>
          <w:tcPr>
            <w:tcW w:w="2648"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工作台首页升级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default" w:ascii="宋体" w:hAnsi="宋体" w:eastAsia="宋体" w:cs="宋体"/>
                <w:color w:val="auto"/>
                <w:kern w:val="0"/>
                <w:sz w:val="24"/>
                <w:szCs w:val="24"/>
                <w:highlight w:val="none"/>
                <w:lang w:val="en-US" w:bidi="ar"/>
              </w:rPr>
              <w:t>6</w:t>
            </w:r>
          </w:p>
        </w:tc>
        <w:tc>
          <w:tcPr>
            <w:tcW w:w="3375"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Merge w:val="continue"/>
            <w:vAlign w:val="center"/>
          </w:tcPr>
          <w:p>
            <w:pPr>
              <w:adjustRightInd/>
              <w:spacing w:after="120"/>
              <w:rPr>
                <w:rFonts w:hint="eastAsia" w:ascii="宋体" w:hAnsi="宋体" w:eastAsia="宋体" w:cs="宋体"/>
                <w:color w:val="auto"/>
                <w:kern w:val="0"/>
                <w:sz w:val="24"/>
                <w:szCs w:val="24"/>
                <w:highlight w:val="none"/>
                <w:lang w:bidi="ar"/>
              </w:rPr>
            </w:pPr>
          </w:p>
        </w:tc>
        <w:tc>
          <w:tcPr>
            <w:tcW w:w="2648"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网格管理模块升级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default" w:ascii="宋体" w:hAnsi="宋体" w:eastAsia="宋体" w:cs="宋体"/>
                <w:color w:val="auto"/>
                <w:kern w:val="0"/>
                <w:sz w:val="24"/>
                <w:szCs w:val="24"/>
                <w:highlight w:val="none"/>
                <w:lang w:val="en-US" w:bidi="ar"/>
              </w:rPr>
              <w:t>7</w:t>
            </w:r>
          </w:p>
        </w:tc>
        <w:tc>
          <w:tcPr>
            <w:tcW w:w="3375"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Merge w:val="continue"/>
            <w:vAlign w:val="center"/>
          </w:tcPr>
          <w:p>
            <w:pPr>
              <w:adjustRightInd/>
              <w:spacing w:after="120"/>
              <w:rPr>
                <w:rFonts w:hint="eastAsia" w:ascii="宋体" w:hAnsi="宋体" w:eastAsia="宋体" w:cs="宋体"/>
                <w:color w:val="auto"/>
                <w:kern w:val="0"/>
                <w:sz w:val="24"/>
                <w:szCs w:val="24"/>
                <w:highlight w:val="none"/>
                <w:lang w:bidi="ar"/>
              </w:rPr>
            </w:pPr>
          </w:p>
        </w:tc>
        <w:tc>
          <w:tcPr>
            <w:tcW w:w="2648"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事件协同处置模块升级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default" w:ascii="宋体" w:hAnsi="宋体" w:eastAsia="宋体" w:cs="宋体"/>
                <w:color w:val="auto"/>
                <w:kern w:val="0"/>
                <w:sz w:val="24"/>
                <w:szCs w:val="24"/>
                <w:highlight w:val="none"/>
                <w:lang w:val="en-US" w:bidi="ar"/>
              </w:rPr>
              <w:t>8</w:t>
            </w:r>
          </w:p>
        </w:tc>
        <w:tc>
          <w:tcPr>
            <w:tcW w:w="3375"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Merge w:val="continue"/>
            <w:vAlign w:val="center"/>
          </w:tcPr>
          <w:p>
            <w:pPr>
              <w:adjustRightInd/>
              <w:spacing w:after="120"/>
              <w:rPr>
                <w:rFonts w:hint="eastAsia" w:ascii="宋体" w:hAnsi="宋体" w:eastAsia="宋体" w:cs="宋体"/>
                <w:color w:val="auto"/>
                <w:kern w:val="0"/>
                <w:sz w:val="24"/>
                <w:szCs w:val="24"/>
                <w:highlight w:val="none"/>
                <w:lang w:bidi="ar"/>
              </w:rPr>
            </w:pPr>
          </w:p>
        </w:tc>
        <w:tc>
          <w:tcPr>
            <w:tcW w:w="2648"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数据管理模块升级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default" w:ascii="宋体" w:hAnsi="宋体" w:eastAsia="宋体" w:cs="宋体"/>
                <w:color w:val="auto"/>
                <w:kern w:val="0"/>
                <w:sz w:val="24"/>
                <w:szCs w:val="24"/>
                <w:highlight w:val="none"/>
                <w:lang w:val="en-US" w:bidi="ar"/>
              </w:rPr>
              <w:t>9</w:t>
            </w:r>
          </w:p>
        </w:tc>
        <w:tc>
          <w:tcPr>
            <w:tcW w:w="3375"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绩效考核模块升级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default" w:ascii="宋体" w:hAnsi="宋体" w:eastAsia="宋体" w:cs="宋体"/>
                <w:color w:val="auto"/>
                <w:kern w:val="0"/>
                <w:sz w:val="24"/>
                <w:szCs w:val="24"/>
                <w:highlight w:val="none"/>
                <w:lang w:val="en-US" w:bidi="ar"/>
              </w:rPr>
              <w:t>0</w:t>
            </w:r>
          </w:p>
        </w:tc>
        <w:tc>
          <w:tcPr>
            <w:tcW w:w="3375"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研判分析模块升级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spacing w:after="120"/>
              <w:jc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11</w:t>
            </w:r>
          </w:p>
        </w:tc>
        <w:tc>
          <w:tcPr>
            <w:tcW w:w="3375"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Merge w:val="continue"/>
            <w:vAlign w:val="center"/>
          </w:tcPr>
          <w:p>
            <w:pPr>
              <w:adjustRightInd/>
              <w:spacing w:after="120"/>
              <w:jc w:val="center"/>
              <w:rPr>
                <w:rFonts w:hint="eastAsia" w:ascii="宋体" w:hAnsi="宋体" w:eastAsia="宋体" w:cs="宋体"/>
                <w:color w:val="auto"/>
                <w:kern w:val="0"/>
                <w:sz w:val="24"/>
                <w:szCs w:val="24"/>
                <w:highlight w:val="none"/>
                <w:lang w:bidi="ar"/>
              </w:rPr>
            </w:pPr>
          </w:p>
        </w:tc>
        <w:tc>
          <w:tcPr>
            <w:tcW w:w="2648" w:type="dxa"/>
            <w:vAlign w:val="center"/>
          </w:tcPr>
          <w:p>
            <w:pPr>
              <w:adjustRightInd/>
              <w:spacing w:after="120"/>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任务本地化管理</w:t>
            </w:r>
          </w:p>
        </w:tc>
      </w:tr>
    </w:tbl>
    <w:p>
      <w:pPr>
        <w:adjustRightInd/>
        <w:spacing w:after="120"/>
        <w:rPr>
          <w:rFonts w:ascii="宋体" w:hAnsi="宋体" w:cs="宋体"/>
          <w:color w:val="auto"/>
          <w:kern w:val="0"/>
          <w:highlight w:val="none"/>
        </w:rPr>
      </w:pP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1）基层智治业务组件建设</w:t>
      </w:r>
    </w:p>
    <w:p>
      <w:pPr>
        <w:pStyle w:val="2"/>
        <w:ind w:firstLine="480" w:firstLineChars="200"/>
        <w:rPr>
          <w:rFonts w:ascii="Times New Roman" w:hAnsi="Times New Roman" w:cs="Times New Roman"/>
          <w:color w:val="auto"/>
          <w:highlight w:val="none"/>
        </w:rPr>
      </w:pPr>
      <w:r>
        <w:rPr>
          <w:rFonts w:ascii="Times New Roman" w:hAnsi="Times New Roman" w:cs="Times New Roman"/>
          <w:color w:val="auto"/>
          <w:highlight w:val="none"/>
        </w:rPr>
        <w:t>网格事项准入组件</w:t>
      </w:r>
      <w:r>
        <w:rPr>
          <w:rFonts w:hint="eastAsia" w:ascii="Times New Roman" w:hAnsi="Times New Roman" w:cs="Times New Roman"/>
          <w:color w:val="auto"/>
          <w:highlight w:val="none"/>
        </w:rPr>
        <w:t>：</w:t>
      </w:r>
      <w:r>
        <w:rPr>
          <w:rFonts w:ascii="Times New Roman" w:hAnsi="Times New Roman" w:cs="Times New Roman"/>
          <w:color w:val="auto"/>
          <w:highlight w:val="none"/>
        </w:rPr>
        <w:t>网格事项准入</w:t>
      </w:r>
      <w:r>
        <w:rPr>
          <w:rFonts w:hint="eastAsia" w:cs="Times New Roman"/>
          <w:color w:val="auto"/>
          <w:highlight w:val="none"/>
          <w:lang w:val="en-US"/>
        </w:rPr>
        <w:t>组件</w:t>
      </w:r>
      <w:r>
        <w:rPr>
          <w:rFonts w:ascii="Times New Roman" w:hAnsi="Times New Roman" w:cs="Times New Roman"/>
          <w:color w:val="auto"/>
          <w:highlight w:val="none"/>
        </w:rPr>
        <w:t>提供网格事项准入的线上申请、审批、事项入格、网格事务退出等管理，业务部门填报《</w:t>
      </w:r>
      <w:r>
        <w:rPr>
          <w:rFonts w:ascii="Times New Roman" w:hAnsi="Times New Roman" w:cs="Times New Roman"/>
          <w:color w:val="auto"/>
          <w:highlight w:val="none"/>
          <w:lang w:val="en-US" w:eastAsia="zh-Hans"/>
        </w:rPr>
        <w:t>西湖区</w:t>
      </w:r>
      <w:r>
        <w:rPr>
          <w:rFonts w:ascii="Times New Roman" w:hAnsi="Times New Roman" w:cs="Times New Roman"/>
          <w:color w:val="auto"/>
          <w:highlight w:val="none"/>
        </w:rPr>
        <w:t>网格事务准入申请审定表》、《</w:t>
      </w:r>
      <w:r>
        <w:rPr>
          <w:rFonts w:ascii="Times New Roman" w:hAnsi="Times New Roman" w:cs="Times New Roman"/>
          <w:color w:val="auto"/>
          <w:highlight w:val="none"/>
          <w:lang w:val="en-US" w:eastAsia="zh-Hans"/>
        </w:rPr>
        <w:t>西湖区</w:t>
      </w:r>
      <w:r>
        <w:rPr>
          <w:rFonts w:ascii="Times New Roman" w:hAnsi="Times New Roman" w:cs="Times New Roman"/>
          <w:color w:val="auto"/>
          <w:highlight w:val="none"/>
        </w:rPr>
        <w:t>网格事务退出申请审定表》提交线上申请，</w:t>
      </w:r>
      <w:r>
        <w:rPr>
          <w:rFonts w:ascii="Times New Roman" w:hAnsi="Times New Roman" w:cs="Times New Roman"/>
          <w:color w:val="auto"/>
          <w:highlight w:val="none"/>
          <w:lang w:val="en-US" w:eastAsia="zh-Hans"/>
        </w:rPr>
        <w:t>西湖区</w:t>
      </w:r>
      <w:r>
        <w:rPr>
          <w:rFonts w:ascii="Times New Roman" w:hAnsi="Times New Roman" w:cs="Times New Roman"/>
          <w:color w:val="auto"/>
          <w:highlight w:val="none"/>
        </w:rPr>
        <w:t>党委政法委</w:t>
      </w:r>
      <w:r>
        <w:rPr>
          <w:rFonts w:ascii="Times New Roman" w:hAnsi="Times New Roman" w:cs="Times New Roman"/>
          <w:color w:val="auto"/>
          <w:highlight w:val="none"/>
          <w:lang w:val="en-US" w:eastAsia="zh-Hans"/>
        </w:rPr>
        <w:t>进行</w:t>
      </w:r>
      <w:r>
        <w:rPr>
          <w:rFonts w:ascii="Times New Roman" w:hAnsi="Times New Roman" w:cs="Times New Roman"/>
          <w:color w:val="auto"/>
          <w:highlight w:val="none"/>
        </w:rPr>
        <w:t>审核。</w:t>
      </w:r>
    </w:p>
    <w:p>
      <w:pPr>
        <w:pStyle w:val="32"/>
        <w:spacing w:line="360" w:lineRule="auto"/>
        <w:ind w:left="0" w:leftChars="0" w:firstLine="420"/>
        <w:rPr>
          <w:snapToGrid w:val="0"/>
          <w:color w:val="auto"/>
          <w:sz w:val="24"/>
          <w:szCs w:val="21"/>
          <w:highlight w:val="none"/>
        </w:rPr>
      </w:pPr>
      <w:r>
        <w:rPr>
          <w:rFonts w:hint="eastAsia"/>
          <w:snapToGrid w:val="0"/>
          <w:color w:val="auto"/>
          <w:sz w:val="24"/>
          <w:szCs w:val="21"/>
          <w:highlight w:val="none"/>
        </w:rPr>
        <w:t>事件管理组件：能够对西湖中各个部门事件进行联动，根据事件触发规则、部门职责进行联动处置。提供可配置触发机制。</w:t>
      </w:r>
    </w:p>
    <w:p>
      <w:pPr>
        <w:pStyle w:val="32"/>
        <w:spacing w:line="360" w:lineRule="auto"/>
        <w:ind w:left="0" w:leftChars="0" w:firstLine="420"/>
        <w:rPr>
          <w:snapToGrid w:val="0"/>
          <w:color w:val="auto"/>
          <w:sz w:val="24"/>
          <w:szCs w:val="21"/>
          <w:highlight w:val="none"/>
        </w:rPr>
      </w:pPr>
      <w:r>
        <w:rPr>
          <w:rFonts w:hint="eastAsia"/>
          <w:snapToGrid w:val="0"/>
          <w:color w:val="auto"/>
          <w:sz w:val="24"/>
          <w:szCs w:val="21"/>
          <w:highlight w:val="none"/>
        </w:rPr>
        <w:t>效能评估组件：对整个贯通应用的以及区县级到镇街的任务下达的基层集成实战实效的评估，针对整体任务的监测而形成功能组件。</w:t>
      </w:r>
    </w:p>
    <w:p>
      <w:pPr>
        <w:spacing w:line="360" w:lineRule="auto"/>
        <w:ind w:firstLine="480" w:firstLineChars="200"/>
        <w:rPr>
          <w:snapToGrid w:val="0"/>
          <w:color w:val="auto"/>
          <w:sz w:val="24"/>
          <w:szCs w:val="21"/>
          <w:highlight w:val="none"/>
        </w:rPr>
      </w:pPr>
      <w:r>
        <w:rPr>
          <w:rFonts w:hint="eastAsia"/>
          <w:snapToGrid w:val="0"/>
          <w:color w:val="auto"/>
          <w:sz w:val="24"/>
          <w:szCs w:val="21"/>
          <w:highlight w:val="none"/>
        </w:rPr>
        <w:t>决策赋能组件：主要通过社会隐形问题分析进行隐形问题挖掘、问题的定级、问题多维度分析、隐性问题处置以及问题处置综合评价。</w:t>
      </w:r>
    </w:p>
    <w:p>
      <w:pPr>
        <w:autoSpaceDE w:val="0"/>
        <w:autoSpaceDN w:val="0"/>
        <w:spacing w:line="360" w:lineRule="auto"/>
        <w:ind w:firstLine="420"/>
        <w:rPr>
          <w:snapToGrid w:val="0"/>
          <w:color w:val="auto"/>
          <w:sz w:val="24"/>
          <w:szCs w:val="21"/>
          <w:highlight w:val="none"/>
        </w:rPr>
      </w:pPr>
      <w:r>
        <w:rPr>
          <w:rFonts w:hint="eastAsia" w:ascii="宋体" w:hAnsi="宋体" w:cs="宋体"/>
          <w:color w:val="auto"/>
          <w:sz w:val="24"/>
          <w:highlight w:val="none"/>
        </w:rPr>
        <w:t>2</w:t>
      </w:r>
      <w:r>
        <w:rPr>
          <w:rFonts w:hint="eastAsia"/>
          <w:snapToGrid w:val="0"/>
          <w:color w:val="auto"/>
          <w:sz w:val="24"/>
          <w:szCs w:val="21"/>
          <w:highlight w:val="none"/>
        </w:rPr>
        <w:t>）基层智治基础应用升级</w:t>
      </w:r>
    </w:p>
    <w:p>
      <w:pPr>
        <w:pStyle w:val="2"/>
        <w:ind w:firstLine="480" w:firstLineChars="200"/>
        <w:rPr>
          <w:rFonts w:ascii="Times New Roman" w:hAnsi="Times New Roman" w:cs="Times New Roman"/>
          <w:color w:val="auto"/>
          <w:szCs w:val="24"/>
          <w:highlight w:val="none"/>
          <w:lang w:val="en-US"/>
        </w:rPr>
      </w:pPr>
      <w:r>
        <w:rPr>
          <w:rFonts w:hint="eastAsia"/>
          <w:color w:val="auto"/>
          <w:highlight w:val="none"/>
          <w:lang w:val="en-US"/>
        </w:rPr>
        <w:t>工作台升级：镇街工作台首页要实现党建统领、经济生态、平安法治、公共服务四个跑道中应用贯通实施情况的监测展示；社区工作台升级内容</w:t>
      </w:r>
      <w:r>
        <w:rPr>
          <w:rFonts w:ascii="Times New Roman" w:hAnsi="Times New Roman" w:cs="Times New Roman"/>
          <w:color w:val="auto"/>
          <w:szCs w:val="24"/>
          <w:highlight w:val="none"/>
          <w:lang w:val="en-US" w:eastAsia="zh-Hans"/>
        </w:rPr>
        <w:t>与镇街工作台首页展示要素一致</w:t>
      </w:r>
      <w:r>
        <w:rPr>
          <w:rFonts w:hint="eastAsia" w:ascii="Times New Roman" w:hAnsi="Times New Roman" w:cs="Times New Roman"/>
          <w:color w:val="auto"/>
          <w:szCs w:val="24"/>
          <w:highlight w:val="none"/>
          <w:lang w:val="en-US"/>
        </w:rPr>
        <w:t>。</w:t>
      </w:r>
    </w:p>
    <w:p>
      <w:pPr>
        <w:pStyle w:val="2"/>
        <w:ind w:firstLine="480" w:firstLineChars="200"/>
        <w:rPr>
          <w:color w:val="auto"/>
          <w:highlight w:val="none"/>
          <w:lang w:val="en-US"/>
        </w:rPr>
      </w:pPr>
      <w:r>
        <w:rPr>
          <w:rFonts w:hint="eastAsia"/>
          <w:color w:val="auto"/>
          <w:highlight w:val="none"/>
          <w:lang w:val="en-US"/>
        </w:rPr>
        <w:t>网格管理模块升级：根据《“141”体系迭代升级建设指南》中对基础网格的科学划分和定义，对原网格功能进行升级，实现全面覆盖所辖空间、组织人群，综合集成治理事项、资源、力量等要素的管理；在基础网格建设的基础上，进行微网格建设，进一步增强基层队伍的管理。</w:t>
      </w:r>
    </w:p>
    <w:p>
      <w:pPr>
        <w:pStyle w:val="2"/>
        <w:ind w:firstLine="480" w:firstLineChars="200"/>
        <w:rPr>
          <w:color w:val="auto"/>
          <w:highlight w:val="none"/>
          <w:lang w:val="en-US"/>
        </w:rPr>
      </w:pPr>
      <w:r>
        <w:rPr>
          <w:rFonts w:hint="eastAsia"/>
          <w:color w:val="auto"/>
          <w:highlight w:val="none"/>
          <w:lang w:val="en-US"/>
        </w:rPr>
        <w:t>事件协同处置模块升级：通过调用政务中台标签能力实现对处置事件进行标签打标；事件流转升级，项目一期已经具备了基层事件上报、受理、分派、处置、反馈等事件处置操作标准流程，在本期项目建设中,在原有事件流转派发事件的建设基础上，升级了智能辅助手段，开发事件登记智能推荐模型、事件指派智能派遣算法模型，自动签收识别模型；增设多个事件节点的追踪，以及事件列表的自定义配置功能。</w:t>
      </w:r>
    </w:p>
    <w:p>
      <w:pPr>
        <w:pStyle w:val="2"/>
        <w:ind w:firstLine="480" w:firstLineChars="200"/>
        <w:rPr>
          <w:color w:val="auto"/>
          <w:highlight w:val="none"/>
          <w:lang w:val="en-US"/>
        </w:rPr>
      </w:pPr>
      <w:r>
        <w:rPr>
          <w:rFonts w:hint="eastAsia"/>
          <w:color w:val="auto"/>
          <w:highlight w:val="none"/>
          <w:lang w:val="en-US"/>
        </w:rPr>
        <w:t>数据管理模块升级：一期建设已按照《浙江省基层治理综合信息平台技术指南基础公共数据说明》对西湖区“基层治理四平台”的基础公共数据项和编码规则进行统一规范，实现与省基础公共数据采集共享。本期建设将根据杭州市同一地址库编码要求以及西湖区基层治理基础数据采集治理要求，调用政务中台统一地址编码能力，同时，为满足实际业务需求，增加基础数据迁移记录，便于对基础数据的回溯；支持企业多网格并存，满足企业注册地、经营地分离（或多家经营地）情况下的基层管理需求。</w:t>
      </w:r>
    </w:p>
    <w:p>
      <w:pPr>
        <w:pStyle w:val="32"/>
        <w:spacing w:line="360" w:lineRule="auto"/>
        <w:ind w:left="0" w:leftChars="0" w:firstLine="480" w:firstLineChars="200"/>
        <w:rPr>
          <w:rFonts w:ascii="宋体" w:hAnsi="Arial" w:cs="Arial"/>
          <w:snapToGrid w:val="0"/>
          <w:color w:val="auto"/>
          <w:sz w:val="24"/>
          <w:szCs w:val="21"/>
          <w:highlight w:val="none"/>
        </w:rPr>
      </w:pPr>
      <w:r>
        <w:rPr>
          <w:rFonts w:hint="eastAsia" w:ascii="宋体" w:hAnsi="Arial" w:cs="Arial"/>
          <w:snapToGrid w:val="0"/>
          <w:color w:val="auto"/>
          <w:sz w:val="24"/>
          <w:szCs w:val="21"/>
          <w:highlight w:val="none"/>
        </w:rPr>
        <w:t>绩效考核模块升级：包括考核项和权重配置自定义、考核管理功能升级，支持分级查看，对不同层级的考核结果查看列表进行升级，支撑区县、镇街、网格各层级的考核分数明细、考核工作量、考核排名、考核积分情况的分级查看。</w:t>
      </w:r>
    </w:p>
    <w:p>
      <w:pPr>
        <w:pStyle w:val="32"/>
        <w:spacing w:line="360" w:lineRule="auto"/>
        <w:ind w:left="0" w:leftChars="0" w:firstLine="480" w:firstLineChars="200"/>
        <w:rPr>
          <w:rFonts w:ascii="宋体" w:hAnsi="Arial" w:cs="Arial"/>
          <w:snapToGrid w:val="0"/>
          <w:color w:val="auto"/>
          <w:sz w:val="24"/>
          <w:szCs w:val="21"/>
          <w:highlight w:val="none"/>
        </w:rPr>
      </w:pPr>
      <w:r>
        <w:rPr>
          <w:rFonts w:ascii="宋体" w:hAnsi="Arial" w:cs="Arial"/>
          <w:snapToGrid w:val="0"/>
          <w:color w:val="auto"/>
          <w:sz w:val="24"/>
          <w:szCs w:val="21"/>
          <w:highlight w:val="none"/>
        </w:rPr>
        <w:t>研判分析模块升级</w:t>
      </w:r>
      <w:r>
        <w:rPr>
          <w:rFonts w:hint="eastAsia" w:ascii="宋体" w:hAnsi="Arial" w:cs="Arial"/>
          <w:snapToGrid w:val="0"/>
          <w:color w:val="auto"/>
          <w:sz w:val="24"/>
          <w:szCs w:val="21"/>
          <w:highlight w:val="none"/>
        </w:rPr>
        <w:t>：基础分析由原来的围绕着综合治理，监管执法，应急管理，公共服务等维度升级成围绕党建统领、经济生态、平安法治、公共服务四个跑道纬度进行统计分析。决策分析，在日常基层工作统计的基础上，进行问题复盘回溯分析、常态化研判等功能，提升智能化风险识别、管控和预测预警能力。</w:t>
      </w:r>
    </w:p>
    <w:p>
      <w:pPr>
        <w:spacing w:line="360" w:lineRule="auto"/>
        <w:ind w:firstLine="480" w:firstLineChars="200"/>
        <w:rPr>
          <w:rFonts w:hint="eastAsia" w:ascii="宋体" w:hAnsi="Arial" w:cs="Arial"/>
          <w:snapToGrid w:val="0"/>
          <w:color w:val="auto"/>
          <w:sz w:val="24"/>
          <w:szCs w:val="21"/>
          <w:highlight w:val="none"/>
        </w:rPr>
      </w:pPr>
      <w:r>
        <w:rPr>
          <w:rFonts w:ascii="宋体" w:hAnsi="Arial" w:cs="Arial"/>
          <w:snapToGrid w:val="0"/>
          <w:color w:val="auto"/>
          <w:sz w:val="24"/>
          <w:szCs w:val="21"/>
          <w:highlight w:val="none"/>
        </w:rPr>
        <w:t>任务本地化管理</w:t>
      </w:r>
      <w:r>
        <w:rPr>
          <w:rFonts w:hint="eastAsia" w:ascii="宋体" w:hAnsi="Arial" w:cs="Arial"/>
          <w:snapToGrid w:val="0"/>
          <w:color w:val="auto"/>
          <w:sz w:val="24"/>
          <w:szCs w:val="21"/>
          <w:highlight w:val="none"/>
        </w:rPr>
        <w:t>：对省、市、区各来源任务进行评估，判断任务数据的质量和可用性，通过数据碰撞对比后补充完整所需的任务数据，并对任务进行本地化转化使其可明确入格。对完善后的任务数据进行解析和拆分，以任务形式推送至执行端。同时需对在执行的任务进行监测，掌握任务下发和执行完成情况。</w:t>
      </w:r>
    </w:p>
    <w:p>
      <w:pPr>
        <w:spacing w:line="360" w:lineRule="auto"/>
        <w:rPr>
          <w:rFonts w:ascii="宋体" w:hAnsi="宋体" w:cs="宋体"/>
          <w:b/>
          <w:bCs/>
          <w:color w:val="auto"/>
          <w:sz w:val="30"/>
          <w:szCs w:val="32"/>
          <w:highlight w:val="none"/>
        </w:rPr>
      </w:pPr>
      <w:r>
        <w:rPr>
          <w:rFonts w:hint="eastAsia" w:ascii="宋体" w:hAnsi="宋体" w:cs="宋体"/>
          <w:b/>
          <w:bCs/>
          <w:color w:val="auto"/>
          <w:sz w:val="30"/>
          <w:szCs w:val="32"/>
          <w:highlight w:val="none"/>
          <w:lang w:eastAsia="zh-CN"/>
        </w:rPr>
        <w:t>（</w:t>
      </w:r>
      <w:r>
        <w:rPr>
          <w:rFonts w:hint="default" w:ascii="宋体" w:hAnsi="宋体" w:cs="宋体"/>
          <w:b/>
          <w:bCs/>
          <w:color w:val="auto"/>
          <w:sz w:val="30"/>
          <w:szCs w:val="32"/>
          <w:highlight w:val="none"/>
          <w:lang w:val="en-US" w:eastAsia="zh-CN"/>
        </w:rPr>
        <w:t>4</w:t>
      </w:r>
      <w:r>
        <w:rPr>
          <w:rFonts w:hint="eastAsia" w:ascii="宋体" w:hAnsi="宋体" w:cs="宋体"/>
          <w:b/>
          <w:bCs/>
          <w:color w:val="auto"/>
          <w:sz w:val="30"/>
          <w:szCs w:val="32"/>
          <w:highlight w:val="none"/>
          <w:lang w:eastAsia="zh-CN"/>
        </w:rPr>
        <w:t>）</w:t>
      </w:r>
      <w:r>
        <w:rPr>
          <w:rFonts w:hint="eastAsia" w:ascii="宋体" w:hAnsi="宋体" w:cs="宋体"/>
          <w:b/>
          <w:bCs/>
          <w:color w:val="auto"/>
          <w:sz w:val="30"/>
          <w:szCs w:val="32"/>
          <w:highlight w:val="none"/>
        </w:rPr>
        <w:t>社会协作执行端</w:t>
      </w:r>
    </w:p>
    <w:p>
      <w:pPr>
        <w:autoSpaceDE w:val="0"/>
        <w:autoSpaceDN w:val="0"/>
        <w:spacing w:line="360" w:lineRule="auto"/>
        <w:ind w:firstLine="420"/>
        <w:rPr>
          <w:rFonts w:ascii="宋体" w:hAnsi="宋体" w:cs="宋体"/>
          <w:color w:val="auto"/>
          <w:kern w:val="0"/>
          <w:sz w:val="24"/>
          <w:szCs w:val="21"/>
          <w:highlight w:val="none"/>
        </w:rPr>
      </w:pPr>
      <w:r>
        <w:rPr>
          <w:rFonts w:hint="eastAsia" w:ascii="宋体" w:hAnsi="宋体" w:cs="宋体"/>
          <w:color w:val="auto"/>
          <w:sz w:val="24"/>
          <w:highlight w:val="none"/>
        </w:rPr>
        <w:t>由于社会面的治理队伍管理，通常为企业负责人、物业工作人员、保安员等，可组织调动的人员数量庞大，也不属于政务体系内的工作人员。由于此特征，一般情况下以执行端对其进行工作协作任务下发</w:t>
      </w:r>
      <w:r>
        <w:rPr>
          <w:rFonts w:hint="eastAsia" w:ascii="宋体" w:hAnsi="宋体" w:cs="宋体"/>
          <w:color w:val="auto"/>
          <w:kern w:val="0"/>
          <w:sz w:val="24"/>
          <w:szCs w:val="21"/>
          <w:highlight w:val="none"/>
        </w:rPr>
        <w:t>。</w:t>
      </w:r>
    </w:p>
    <w:p>
      <w:pPr>
        <w:autoSpaceDE w:val="0"/>
        <w:autoSpaceDN w:val="0"/>
        <w:spacing w:line="360" w:lineRule="auto"/>
        <w:rPr>
          <w:rFonts w:ascii="宋体" w:hAnsi="宋体" w:cs="宋体"/>
          <w:color w:val="auto"/>
          <w:kern w:val="0"/>
          <w:sz w:val="24"/>
          <w:szCs w:val="21"/>
          <w:highlight w:val="none"/>
        </w:rPr>
      </w:pPr>
      <w:r>
        <w:rPr>
          <w:rFonts w:hint="eastAsia" w:ascii="宋体" w:hAnsi="宋体" w:cs="宋体"/>
          <w:color w:val="auto"/>
          <w:kern w:val="0"/>
          <w:sz w:val="24"/>
          <w:szCs w:val="21"/>
          <w:highlight w:val="none"/>
        </w:rPr>
        <w:t>社会协作执行端建设详细需求：</w:t>
      </w:r>
    </w:p>
    <w:tbl>
      <w:tblPr>
        <w:tblStyle w:val="62"/>
        <w:tblW w:w="5000" w:type="pct"/>
        <w:tblInd w:w="0" w:type="dxa"/>
        <w:tblLayout w:type="autofit"/>
        <w:tblCellMar>
          <w:top w:w="0" w:type="dxa"/>
          <w:left w:w="108" w:type="dxa"/>
          <w:bottom w:w="0" w:type="dxa"/>
          <w:right w:w="108" w:type="dxa"/>
        </w:tblCellMar>
      </w:tblPr>
      <w:tblGrid>
        <w:gridCol w:w="783"/>
        <w:gridCol w:w="2241"/>
        <w:gridCol w:w="3181"/>
        <w:gridCol w:w="3081"/>
      </w:tblGrid>
      <w:tr>
        <w:tblPrEx>
          <w:tblCellMar>
            <w:top w:w="0" w:type="dxa"/>
            <w:left w:w="108" w:type="dxa"/>
            <w:bottom w:w="0" w:type="dxa"/>
            <w:right w:w="108" w:type="dxa"/>
          </w:tblCellMar>
        </w:tblPrEx>
        <w:trPr>
          <w:trHeight w:val="673"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序号</w:t>
            </w:r>
          </w:p>
        </w:tc>
        <w:tc>
          <w:tcPr>
            <w:tcW w:w="12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类目</w:t>
            </w:r>
          </w:p>
        </w:tc>
        <w:tc>
          <w:tcPr>
            <w:tcW w:w="1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建设任务</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子模块</w:t>
            </w:r>
          </w:p>
        </w:tc>
      </w:tr>
      <w:tr>
        <w:tblPrEx>
          <w:tblCellMar>
            <w:top w:w="0" w:type="dxa"/>
            <w:left w:w="108" w:type="dxa"/>
            <w:bottom w:w="0" w:type="dxa"/>
            <w:right w:w="108" w:type="dxa"/>
          </w:tblCellMar>
        </w:tblPrEx>
        <w:trPr>
          <w:trHeight w:val="34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p>
        </w:tc>
        <w:tc>
          <w:tcPr>
            <w:tcW w:w="12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社会协作执行端</w:t>
            </w: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任务管理</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待办任务</w:t>
            </w:r>
          </w:p>
        </w:tc>
      </w:tr>
      <w:tr>
        <w:tblPrEx>
          <w:tblCellMar>
            <w:top w:w="0" w:type="dxa"/>
            <w:left w:w="108" w:type="dxa"/>
            <w:bottom w:w="0" w:type="dxa"/>
            <w:right w:w="108" w:type="dxa"/>
          </w:tblCellMar>
        </w:tblPrEx>
        <w:trPr>
          <w:trHeight w:val="36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逾期任务</w:t>
            </w:r>
          </w:p>
        </w:tc>
      </w:tr>
      <w:tr>
        <w:tblPrEx>
          <w:tblCellMar>
            <w:top w:w="0" w:type="dxa"/>
            <w:left w:w="108" w:type="dxa"/>
            <w:bottom w:w="0" w:type="dxa"/>
            <w:right w:w="108" w:type="dxa"/>
          </w:tblCellMar>
        </w:tblPrEx>
        <w:trPr>
          <w:trHeight w:val="56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分类任务</w:t>
            </w:r>
          </w:p>
        </w:tc>
      </w:tr>
      <w:tr>
        <w:tblPrEx>
          <w:tblCellMar>
            <w:top w:w="0" w:type="dxa"/>
            <w:left w:w="108" w:type="dxa"/>
            <w:bottom w:w="0" w:type="dxa"/>
            <w:right w:w="108" w:type="dxa"/>
          </w:tblCellMar>
        </w:tblPrEx>
        <w:trPr>
          <w:trHeight w:val="36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收藏任务</w:t>
            </w:r>
          </w:p>
        </w:tc>
      </w:tr>
      <w:tr>
        <w:tblPrEx>
          <w:tblCellMar>
            <w:top w:w="0" w:type="dxa"/>
            <w:left w:w="108" w:type="dxa"/>
            <w:bottom w:w="0" w:type="dxa"/>
            <w:right w:w="108" w:type="dxa"/>
          </w:tblCellMar>
        </w:tblPrEx>
        <w:trPr>
          <w:trHeight w:val="36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搜索</w:t>
            </w:r>
          </w:p>
        </w:tc>
      </w:tr>
      <w:tr>
        <w:tblPrEx>
          <w:tblCellMar>
            <w:top w:w="0" w:type="dxa"/>
            <w:left w:w="108" w:type="dxa"/>
            <w:bottom w:w="0" w:type="dxa"/>
            <w:right w:w="108" w:type="dxa"/>
          </w:tblCellMar>
        </w:tblPrEx>
        <w:trPr>
          <w:trHeight w:val="36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6</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任务详情</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对象详情（有对象任务）</w:t>
            </w:r>
          </w:p>
        </w:tc>
      </w:tr>
      <w:tr>
        <w:tblPrEx>
          <w:tblCellMar>
            <w:top w:w="0" w:type="dxa"/>
            <w:left w:w="108" w:type="dxa"/>
            <w:bottom w:w="0" w:type="dxa"/>
            <w:right w:w="108" w:type="dxa"/>
          </w:tblCellMar>
        </w:tblPrEx>
        <w:trPr>
          <w:trHeight w:val="381"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8</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我的</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sz w:val="24"/>
                <w:szCs w:val="24"/>
                <w:highlight w:val="none"/>
                <w:lang w:val="en-US" w:eastAsia="zh-CN"/>
              </w:rPr>
              <w:t>电话号码</w:t>
            </w:r>
          </w:p>
        </w:tc>
      </w:tr>
      <w:tr>
        <w:tblPrEx>
          <w:tblCellMar>
            <w:top w:w="0" w:type="dxa"/>
            <w:left w:w="108" w:type="dxa"/>
            <w:bottom w:w="0" w:type="dxa"/>
            <w:right w:w="108" w:type="dxa"/>
          </w:tblCellMar>
        </w:tblPrEx>
        <w:trPr>
          <w:trHeight w:val="381"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9</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所属单位</w:t>
            </w:r>
          </w:p>
        </w:tc>
      </w:tr>
      <w:tr>
        <w:tblPrEx>
          <w:tblCellMar>
            <w:top w:w="0" w:type="dxa"/>
            <w:left w:w="108" w:type="dxa"/>
            <w:bottom w:w="0" w:type="dxa"/>
            <w:right w:w="108" w:type="dxa"/>
          </w:tblCellMar>
        </w:tblPrEx>
        <w:trPr>
          <w:trHeight w:val="381"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10</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用户识别码</w:t>
            </w:r>
          </w:p>
        </w:tc>
      </w:tr>
      <w:tr>
        <w:tblPrEx>
          <w:tblCellMar>
            <w:top w:w="0" w:type="dxa"/>
            <w:left w:w="108" w:type="dxa"/>
            <w:bottom w:w="0" w:type="dxa"/>
            <w:right w:w="108" w:type="dxa"/>
          </w:tblCellMar>
        </w:tblPrEx>
        <w:trPr>
          <w:trHeight w:val="381"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11</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用户协议</w:t>
            </w:r>
          </w:p>
        </w:tc>
      </w:tr>
      <w:tr>
        <w:tblPrEx>
          <w:tblCellMar>
            <w:top w:w="0" w:type="dxa"/>
            <w:left w:w="108" w:type="dxa"/>
            <w:bottom w:w="0" w:type="dxa"/>
            <w:right w:w="108" w:type="dxa"/>
          </w:tblCellMar>
        </w:tblPrEx>
        <w:trPr>
          <w:trHeight w:val="381"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12</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切换空间</w:t>
            </w:r>
          </w:p>
        </w:tc>
      </w:tr>
      <w:tr>
        <w:tblPrEx>
          <w:tblCellMar>
            <w:top w:w="0" w:type="dxa"/>
            <w:left w:w="108" w:type="dxa"/>
            <w:bottom w:w="0" w:type="dxa"/>
            <w:right w:w="108" w:type="dxa"/>
          </w:tblCellMar>
        </w:tblPrEx>
        <w:trPr>
          <w:trHeight w:val="381"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13</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退出登录</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14</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组织发动</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责任单位分组</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default" w:ascii="宋体" w:hAnsi="宋体" w:eastAsia="宋体" w:cs="宋体"/>
                <w:color w:val="auto"/>
                <w:kern w:val="0"/>
                <w:sz w:val="24"/>
                <w:szCs w:val="24"/>
                <w:highlight w:val="none"/>
                <w:lang w:val="en-US" w:bidi="ar"/>
              </w:rPr>
              <w:t>5</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责任单位管理</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default" w:ascii="宋体" w:hAnsi="宋体" w:eastAsia="宋体" w:cs="宋体"/>
                <w:color w:val="auto"/>
                <w:kern w:val="0"/>
                <w:sz w:val="24"/>
                <w:szCs w:val="24"/>
                <w:highlight w:val="none"/>
                <w:lang w:val="en-US" w:bidi="ar"/>
              </w:rPr>
              <w:t>6</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责任人</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17</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从业人员</w:t>
            </w:r>
          </w:p>
        </w:tc>
      </w:tr>
    </w:tbl>
    <w:p>
      <w:pPr>
        <w:autoSpaceDE w:val="0"/>
        <w:autoSpaceDN w:val="0"/>
        <w:spacing w:line="360" w:lineRule="auto"/>
        <w:ind w:firstLine="42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）任务管理：对待办任务、逾期任务进行执行操作，支持查看分类任务、对任务进行收藏、搜索以及查看任务详情和对象详情操作。</w:t>
      </w: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2）我的：包括手机号、所属单位、用户识别码等信息以及人员邀请、账号切换等操作。</w:t>
      </w:r>
    </w:p>
    <w:p>
      <w:pPr>
        <w:autoSpaceDE w:val="0"/>
        <w:autoSpaceDN w:val="0"/>
        <w:spacing w:line="360" w:lineRule="auto"/>
        <w:ind w:firstLine="420"/>
        <w:rPr>
          <w:rFonts w:hint="eastAsia" w:ascii="宋体" w:hAnsi="宋体" w:cs="宋体"/>
          <w:color w:val="auto"/>
          <w:sz w:val="24"/>
          <w:highlight w:val="none"/>
        </w:rPr>
      </w:pPr>
      <w:r>
        <w:rPr>
          <w:rFonts w:hint="eastAsia" w:ascii="宋体" w:hAnsi="宋体" w:cs="宋体"/>
          <w:color w:val="auto"/>
          <w:sz w:val="24"/>
          <w:highlight w:val="none"/>
        </w:rPr>
        <w:t>3）组织发动：包括责任单位分组管理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责任单位管理、</w:t>
      </w:r>
      <w:r>
        <w:rPr>
          <w:rFonts w:hint="eastAsia" w:ascii="宋体" w:hAnsi="宋体" w:cs="宋体"/>
          <w:color w:val="auto"/>
          <w:sz w:val="24"/>
          <w:highlight w:val="none"/>
        </w:rPr>
        <w:t>责任人以及从业人员信息展示即相关操作。</w:t>
      </w:r>
    </w:p>
    <w:p>
      <w:pPr>
        <w:autoSpaceDE w:val="0"/>
        <w:autoSpaceDN w:val="0"/>
        <w:spacing w:line="360" w:lineRule="auto"/>
        <w:rPr>
          <w:rFonts w:ascii="宋体" w:hAnsi="宋体" w:cs="宋体"/>
          <w:b/>
          <w:bCs/>
          <w:color w:val="auto"/>
          <w:sz w:val="30"/>
          <w:szCs w:val="32"/>
          <w:highlight w:val="none"/>
        </w:rPr>
      </w:pPr>
      <w:r>
        <w:rPr>
          <w:rFonts w:hint="eastAsia" w:ascii="宋体" w:hAnsi="宋体" w:cs="宋体"/>
          <w:b/>
          <w:bCs/>
          <w:color w:val="auto"/>
          <w:sz w:val="30"/>
          <w:szCs w:val="32"/>
          <w:highlight w:val="none"/>
          <w:lang w:eastAsia="zh-CN"/>
        </w:rPr>
        <w:t>（</w:t>
      </w:r>
      <w:r>
        <w:rPr>
          <w:rFonts w:hint="default" w:ascii="宋体" w:hAnsi="宋体" w:cs="宋体"/>
          <w:b/>
          <w:bCs/>
          <w:color w:val="auto"/>
          <w:sz w:val="30"/>
          <w:szCs w:val="32"/>
          <w:highlight w:val="none"/>
          <w:lang w:val="en-US" w:eastAsia="zh-CN"/>
        </w:rPr>
        <w:t>5</w:t>
      </w:r>
      <w:r>
        <w:rPr>
          <w:rFonts w:hint="eastAsia" w:ascii="宋体" w:hAnsi="宋体" w:cs="宋体"/>
          <w:b/>
          <w:bCs/>
          <w:color w:val="auto"/>
          <w:sz w:val="30"/>
          <w:szCs w:val="32"/>
          <w:highlight w:val="none"/>
          <w:lang w:eastAsia="zh-CN"/>
        </w:rPr>
        <w:t>）</w:t>
      </w:r>
      <w:r>
        <w:rPr>
          <w:rFonts w:hint="eastAsia" w:ascii="宋体" w:hAnsi="宋体" w:cs="宋体"/>
          <w:b/>
          <w:bCs/>
          <w:color w:val="auto"/>
          <w:sz w:val="30"/>
          <w:szCs w:val="32"/>
          <w:highlight w:val="none"/>
        </w:rPr>
        <w:t>网格智能应用（掌上基层2.0）</w:t>
      </w: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设置网格智能应用，即“掌上基层”作为网格员移动端的工作平台，涵盖事件上报、任务下发、信息核查、处置反馈等功能，确保指令和数据可以直达基层、及时回流、双向互通。本期将配合省市任务改造，调取集成西湖区政务中台各中心能力，对各项核心功能进行迭代升级，进行流程操作的优化，及场景应用的拓展。</w:t>
      </w:r>
    </w:p>
    <w:p>
      <w:pPr>
        <w:autoSpaceDE w:val="0"/>
        <w:autoSpaceDN w:val="0"/>
        <w:spacing w:line="360" w:lineRule="auto"/>
        <w:rPr>
          <w:color w:val="auto"/>
          <w:highlight w:val="none"/>
        </w:rPr>
      </w:pPr>
      <w:r>
        <w:rPr>
          <w:rFonts w:hint="eastAsia" w:ascii="宋体" w:hAnsi="宋体" w:cs="宋体"/>
          <w:color w:val="auto"/>
          <w:kern w:val="0"/>
          <w:sz w:val="24"/>
          <w:szCs w:val="21"/>
          <w:highlight w:val="none"/>
        </w:rPr>
        <w:t>网格智能应用（掌上基层2.0）建设详细需求：</w:t>
      </w:r>
    </w:p>
    <w:tbl>
      <w:tblPr>
        <w:tblStyle w:val="62"/>
        <w:tblW w:w="5000" w:type="pct"/>
        <w:tblInd w:w="0" w:type="dxa"/>
        <w:tblLayout w:type="autofit"/>
        <w:tblCellMar>
          <w:top w:w="0" w:type="dxa"/>
          <w:left w:w="108" w:type="dxa"/>
          <w:bottom w:w="0" w:type="dxa"/>
          <w:right w:w="108" w:type="dxa"/>
        </w:tblCellMar>
      </w:tblPr>
      <w:tblGrid>
        <w:gridCol w:w="783"/>
        <w:gridCol w:w="2241"/>
        <w:gridCol w:w="3181"/>
        <w:gridCol w:w="3081"/>
      </w:tblGrid>
      <w:tr>
        <w:tblPrEx>
          <w:tblCellMar>
            <w:top w:w="0" w:type="dxa"/>
            <w:left w:w="108" w:type="dxa"/>
            <w:bottom w:w="0" w:type="dxa"/>
            <w:right w:w="108" w:type="dxa"/>
          </w:tblCellMar>
        </w:tblPrEx>
        <w:trPr>
          <w:trHeight w:val="673"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序号</w:t>
            </w:r>
          </w:p>
        </w:tc>
        <w:tc>
          <w:tcPr>
            <w:tcW w:w="12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类目</w:t>
            </w:r>
          </w:p>
        </w:tc>
        <w:tc>
          <w:tcPr>
            <w:tcW w:w="1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建设任务</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子模块</w:t>
            </w:r>
          </w:p>
        </w:tc>
      </w:tr>
      <w:tr>
        <w:tblPrEx>
          <w:tblCellMar>
            <w:top w:w="0" w:type="dxa"/>
            <w:left w:w="108" w:type="dxa"/>
            <w:bottom w:w="0" w:type="dxa"/>
            <w:right w:w="108" w:type="dxa"/>
          </w:tblCellMar>
        </w:tblPrEx>
        <w:trPr>
          <w:trHeight w:val="577"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p>
        </w:tc>
        <w:tc>
          <w:tcPr>
            <w:tcW w:w="12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网格智能应用（掌上基层2.0）</w:t>
            </w:r>
          </w:p>
        </w:tc>
        <w:tc>
          <w:tcPr>
            <w:tcW w:w="1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省市改造任务</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统一地址库控件绑定</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工作台升级</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首页升级</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人房互查</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人口管理</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房屋管理</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人口核查一件事</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人口核查</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6</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人员状态</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核查验证</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8</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智能应用</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一键呼叫</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9</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超时预警</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10</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场景应用</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镇街频道</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11</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页面集成</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12</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单点登录</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功能联调</w:t>
            </w:r>
          </w:p>
        </w:tc>
      </w:tr>
    </w:tbl>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1）省市改造任务：对统一地址库控件绑定操作，包括事件上报统一地址地图选点、基础数据采集统一地址地图选点。</w:t>
      </w: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2）工作台升级：对工作台首页展示进行升级，增加展示网格底数，人口、地址等内容信息，可下钻至社区层级进行查看。</w:t>
      </w: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3）人房互查：人口和房屋信息关联设置。</w:t>
      </w: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4）人口核查一件事：包括人口核查对比、人员状态自动更新以及核查验证等功能。</w:t>
      </w: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5）智能应用：一键呼叫，提供语音呼叫功能。在人口管理和房屋管理模块中，通过调用手机通话接口，实现直接拨打人和户主手机号码，以便快速联系人口管理和房屋管理中的人；超时预警，对待办事项中走访巡查、数据核查、指令下达三大模块的超时任务提供超时预警提醒。</w:t>
      </w:r>
    </w:p>
    <w:p>
      <w:pPr>
        <w:autoSpaceDE w:val="0"/>
        <w:autoSpaceDN w:val="0"/>
        <w:spacing w:line="360" w:lineRule="auto"/>
        <w:ind w:firstLine="420"/>
        <w:rPr>
          <w:rFonts w:hint="eastAsia" w:ascii="宋体" w:hAnsi="宋体" w:cs="宋体"/>
          <w:color w:val="auto"/>
          <w:sz w:val="24"/>
          <w:highlight w:val="none"/>
        </w:rPr>
      </w:pPr>
      <w:r>
        <w:rPr>
          <w:rFonts w:hint="eastAsia" w:ascii="宋体" w:hAnsi="宋体" w:cs="宋体"/>
          <w:color w:val="auto"/>
          <w:sz w:val="24"/>
          <w:highlight w:val="none"/>
        </w:rPr>
        <w:t>6）场景应用：集成镇街频道（网格通、一表通、民情誌）等功能应用；实现所有浙政钉集成功能单点登录功能开发；需完成页面集成、业务协同与数据共享网关等开发单位的联调、测试工作。</w:t>
      </w:r>
    </w:p>
    <w:p>
      <w:pPr>
        <w:autoSpaceDE w:val="0"/>
        <w:autoSpaceDN w:val="0"/>
        <w:spacing w:line="360" w:lineRule="auto"/>
        <w:rPr>
          <w:rFonts w:ascii="宋体" w:hAnsi="宋体" w:cs="宋体"/>
          <w:b/>
          <w:bCs/>
          <w:color w:val="auto"/>
          <w:sz w:val="30"/>
          <w:szCs w:val="32"/>
          <w:highlight w:val="none"/>
        </w:rPr>
      </w:pPr>
      <w:r>
        <w:rPr>
          <w:rFonts w:hint="eastAsia" w:ascii="宋体" w:hAnsi="宋体" w:cs="宋体"/>
          <w:b/>
          <w:bCs/>
          <w:color w:val="auto"/>
          <w:sz w:val="30"/>
          <w:szCs w:val="32"/>
          <w:highlight w:val="none"/>
          <w:lang w:eastAsia="zh-CN"/>
        </w:rPr>
        <w:t>（</w:t>
      </w:r>
      <w:r>
        <w:rPr>
          <w:rFonts w:hint="default" w:ascii="宋体" w:hAnsi="宋体" w:cs="宋体"/>
          <w:b/>
          <w:bCs/>
          <w:color w:val="auto"/>
          <w:sz w:val="30"/>
          <w:szCs w:val="32"/>
          <w:highlight w:val="none"/>
          <w:lang w:val="en-US" w:eastAsia="zh-CN"/>
        </w:rPr>
        <w:t>6</w:t>
      </w:r>
      <w:r>
        <w:rPr>
          <w:rFonts w:hint="eastAsia" w:ascii="宋体" w:hAnsi="宋体" w:cs="宋体"/>
          <w:b/>
          <w:bCs/>
          <w:color w:val="auto"/>
          <w:sz w:val="30"/>
          <w:szCs w:val="32"/>
          <w:highlight w:val="none"/>
          <w:lang w:eastAsia="zh-CN"/>
        </w:rPr>
        <w:t>）</w:t>
      </w:r>
      <w:r>
        <w:rPr>
          <w:rFonts w:ascii="宋体" w:hAnsi="宋体" w:cs="宋体"/>
          <w:b/>
          <w:bCs/>
          <w:color w:val="auto"/>
          <w:sz w:val="30"/>
          <w:szCs w:val="32"/>
          <w:highlight w:val="none"/>
        </w:rPr>
        <w:t>应用</w:t>
      </w:r>
      <w:r>
        <w:rPr>
          <w:rFonts w:ascii="宋体" w:hAnsi="宋体" w:cs="宋体"/>
          <w:b/>
          <w:bCs/>
          <w:color w:val="auto"/>
          <w:sz w:val="30"/>
          <w:szCs w:val="32"/>
          <w:highlight w:val="none"/>
          <w:lang w:eastAsia="zh-Hans"/>
        </w:rPr>
        <w:t>场景</w:t>
      </w:r>
      <w:r>
        <w:rPr>
          <w:rFonts w:ascii="宋体" w:hAnsi="宋体" w:cs="宋体"/>
          <w:b/>
          <w:bCs/>
          <w:color w:val="auto"/>
          <w:sz w:val="30"/>
          <w:szCs w:val="32"/>
          <w:highlight w:val="none"/>
        </w:rPr>
        <w:t>建设</w:t>
      </w:r>
    </w:p>
    <w:p>
      <w:pPr>
        <w:autoSpaceDE w:val="0"/>
        <w:autoSpaceDN w:val="0"/>
        <w:spacing w:line="360" w:lineRule="auto"/>
        <w:ind w:firstLine="420"/>
        <w:rPr>
          <w:rFonts w:ascii="宋体" w:hAnsi="宋体" w:cs="宋体"/>
          <w:color w:val="auto"/>
          <w:sz w:val="24"/>
          <w:highlight w:val="none"/>
          <w:lang w:eastAsia="zh-Hans"/>
        </w:rPr>
      </w:pPr>
      <w:r>
        <w:rPr>
          <w:rFonts w:ascii="宋体" w:hAnsi="宋体" w:cs="宋体"/>
          <w:color w:val="auto"/>
          <w:sz w:val="24"/>
          <w:highlight w:val="none"/>
          <w:lang w:eastAsia="zh-Hans"/>
        </w:rPr>
        <w:t>西湖区一体化智治平台作为“141”体系业务应用载体，为“</w:t>
      </w:r>
      <w:r>
        <w:rPr>
          <w:rFonts w:hint="eastAsia" w:ascii="宋体" w:hAnsi="宋体" w:cs="宋体"/>
          <w:color w:val="auto"/>
          <w:sz w:val="24"/>
          <w:highlight w:val="none"/>
        </w:rPr>
        <w:t>162</w:t>
      </w:r>
      <w:r>
        <w:rPr>
          <w:rFonts w:ascii="宋体" w:hAnsi="宋体" w:cs="宋体"/>
          <w:color w:val="auto"/>
          <w:sz w:val="24"/>
          <w:highlight w:val="none"/>
          <w:lang w:eastAsia="zh-Hans"/>
        </w:rPr>
        <w:t>”与“141”体系的贯通衔接提供支撑，实现对四条跑道省市重大应用及区级应用的贯通落地。本期项目包括对党建统领跑道七张问题清单应用，经济生态跑道西湖净尘协同业务，平安法治跑道社区矫正业务、防汛防台应用、浙江e行在线等应用，公共服务跑道未来社区协同业务</w:t>
      </w:r>
      <w:r>
        <w:rPr>
          <w:rFonts w:hint="eastAsia" w:ascii="宋体" w:hAnsi="宋体" w:cs="宋体"/>
          <w:color w:val="auto"/>
          <w:sz w:val="24"/>
          <w:highlight w:val="none"/>
        </w:rPr>
        <w:t>共23个</w:t>
      </w:r>
      <w:r>
        <w:rPr>
          <w:rFonts w:ascii="宋体" w:hAnsi="宋体" w:cs="宋体"/>
          <w:color w:val="auto"/>
          <w:sz w:val="24"/>
          <w:highlight w:val="none"/>
          <w:lang w:eastAsia="zh-Hans"/>
        </w:rPr>
        <w:t>应用的贯通。</w:t>
      </w:r>
    </w:p>
    <w:p>
      <w:pPr>
        <w:autoSpaceDE w:val="0"/>
        <w:autoSpaceDN w:val="0"/>
        <w:spacing w:line="360" w:lineRule="auto"/>
        <w:ind w:firstLine="420"/>
        <w:rPr>
          <w:rFonts w:ascii="宋体" w:hAnsi="宋体" w:cs="宋体"/>
          <w:color w:val="auto"/>
          <w:sz w:val="24"/>
          <w:highlight w:val="none"/>
          <w:lang w:eastAsia="zh-Hans"/>
        </w:rPr>
      </w:pPr>
      <w:r>
        <w:rPr>
          <w:rFonts w:ascii="宋体" w:hAnsi="宋体" w:cs="宋体"/>
          <w:color w:val="auto"/>
          <w:sz w:val="24"/>
          <w:highlight w:val="none"/>
          <w:lang w:eastAsia="zh-Hans"/>
        </w:rPr>
        <w:t>同时以强大的适配集成、应用支撑能力，实现对各类业务应用的事件流及数据流的统一赋能，并拓展大情报一体化平台、</w:t>
      </w:r>
      <w:r>
        <w:rPr>
          <w:rFonts w:hint="eastAsia" w:ascii="宋体" w:hAnsi="宋体" w:cs="宋体"/>
          <w:color w:val="auto"/>
          <w:sz w:val="24"/>
          <w:highlight w:val="none"/>
          <w:lang w:eastAsia="zh-Hans"/>
        </w:rPr>
        <w:t>西湖区数字法治门户</w:t>
      </w:r>
      <w:r>
        <w:rPr>
          <w:rFonts w:ascii="宋体" w:hAnsi="宋体" w:cs="宋体"/>
          <w:color w:val="auto"/>
          <w:sz w:val="24"/>
          <w:highlight w:val="none"/>
          <w:lang w:eastAsia="zh-Hans"/>
        </w:rPr>
        <w:t>、</w:t>
      </w:r>
      <w:r>
        <w:rPr>
          <w:rFonts w:hint="eastAsia" w:ascii="宋体" w:hAnsi="宋体" w:cs="宋体"/>
          <w:color w:val="auto"/>
          <w:sz w:val="24"/>
          <w:highlight w:val="none"/>
        </w:rPr>
        <w:t>人口治理平台、业务示范建设</w:t>
      </w:r>
      <w:r>
        <w:rPr>
          <w:rFonts w:ascii="宋体" w:hAnsi="宋体" w:cs="宋体"/>
          <w:color w:val="auto"/>
          <w:sz w:val="24"/>
          <w:highlight w:val="none"/>
          <w:lang w:eastAsia="zh-Hans"/>
        </w:rPr>
        <w:t>等特色应用场景建设。</w:t>
      </w:r>
    </w:p>
    <w:p>
      <w:pPr>
        <w:autoSpaceDE w:val="0"/>
        <w:autoSpaceDN w:val="0"/>
        <w:spacing w:line="360" w:lineRule="auto"/>
        <w:rPr>
          <w:color w:val="auto"/>
          <w:highlight w:val="none"/>
        </w:rPr>
      </w:pPr>
      <w:r>
        <w:rPr>
          <w:rFonts w:hint="eastAsia" w:ascii="宋体" w:hAnsi="宋体" w:cs="宋体"/>
          <w:color w:val="auto"/>
          <w:kern w:val="0"/>
          <w:sz w:val="24"/>
          <w:szCs w:val="21"/>
          <w:highlight w:val="none"/>
        </w:rPr>
        <w:t>应用场景建设详细需求：</w:t>
      </w:r>
    </w:p>
    <w:tbl>
      <w:tblPr>
        <w:tblStyle w:val="62"/>
        <w:tblW w:w="5000" w:type="pct"/>
        <w:tblInd w:w="0" w:type="dxa"/>
        <w:tblLayout w:type="autofit"/>
        <w:tblCellMar>
          <w:top w:w="0" w:type="dxa"/>
          <w:left w:w="108" w:type="dxa"/>
          <w:bottom w:w="0" w:type="dxa"/>
          <w:right w:w="108" w:type="dxa"/>
        </w:tblCellMar>
      </w:tblPr>
      <w:tblGrid>
        <w:gridCol w:w="783"/>
        <w:gridCol w:w="2241"/>
        <w:gridCol w:w="3181"/>
        <w:gridCol w:w="3081"/>
      </w:tblGrid>
      <w:tr>
        <w:tblPrEx>
          <w:tblCellMar>
            <w:top w:w="0" w:type="dxa"/>
            <w:left w:w="108" w:type="dxa"/>
            <w:bottom w:w="0" w:type="dxa"/>
            <w:right w:w="108" w:type="dxa"/>
          </w:tblCellMar>
        </w:tblPrEx>
        <w:trPr>
          <w:trHeight w:val="673"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序号</w:t>
            </w:r>
          </w:p>
        </w:tc>
        <w:tc>
          <w:tcPr>
            <w:tcW w:w="12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类目</w:t>
            </w:r>
          </w:p>
        </w:tc>
        <w:tc>
          <w:tcPr>
            <w:tcW w:w="1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建设任务</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子模块</w:t>
            </w:r>
          </w:p>
        </w:tc>
      </w:tr>
      <w:tr>
        <w:tblPrEx>
          <w:tblCellMar>
            <w:top w:w="0" w:type="dxa"/>
            <w:left w:w="108" w:type="dxa"/>
            <w:bottom w:w="0" w:type="dxa"/>
            <w:right w:w="108" w:type="dxa"/>
          </w:tblCellMar>
        </w:tblPrEx>
        <w:trPr>
          <w:trHeight w:val="577"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p>
        </w:tc>
        <w:tc>
          <w:tcPr>
            <w:tcW w:w="12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应用场景</w:t>
            </w: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重大应用贯通场景建设</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党建统领跑道</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平安法治跑道</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经济生态跑道</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公共服务跑道</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大情报一体化平台</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公安侧情报一体化平台</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6</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政府侧情报一体化平台</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西湖区数字法治门户</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门户首页</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8</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后台功能</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9</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用户体系</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10</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人口治理平台</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概况</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11</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人口治理</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12</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人口治理场景</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综合评价</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14</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人口治理业务平台</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15</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业务示范建设</w:t>
            </w: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业务需求分析</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16</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业务流程设计</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17</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业务制作上线</w:t>
            </w:r>
          </w:p>
        </w:tc>
      </w:tr>
      <w:tr>
        <w:tblPrEx>
          <w:tblCellMar>
            <w:top w:w="0" w:type="dxa"/>
            <w:left w:w="108" w:type="dxa"/>
            <w:bottom w:w="0" w:type="dxa"/>
            <w:right w:w="108" w:type="dxa"/>
          </w:tblCellMar>
        </w:tblPrEx>
        <w:trPr>
          <w:trHeight w:val="320" w:hRule="atLeast"/>
        </w:trPr>
        <w:tc>
          <w:tcPr>
            <w:tcW w:w="4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18</w:t>
            </w:r>
          </w:p>
        </w:tc>
        <w:tc>
          <w:tcPr>
            <w:tcW w:w="12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业务日常运维（一年）</w:t>
            </w:r>
          </w:p>
        </w:tc>
      </w:tr>
    </w:tbl>
    <w:p>
      <w:pPr>
        <w:numPr>
          <w:ilvl w:val="0"/>
          <w:numId w:val="2"/>
        </w:numPr>
        <w:autoSpaceDE w:val="0"/>
        <w:autoSpaceDN w:val="0"/>
        <w:spacing w:line="360" w:lineRule="auto"/>
        <w:ind w:firstLine="420"/>
        <w:rPr>
          <w:rFonts w:ascii="宋体" w:hAnsi="宋体" w:cs="宋体"/>
          <w:color w:val="auto"/>
          <w:sz w:val="24"/>
          <w:highlight w:val="none"/>
        </w:rPr>
      </w:pPr>
      <w:r>
        <w:rPr>
          <w:rFonts w:ascii="宋体" w:hAnsi="宋体" w:cs="宋体"/>
          <w:color w:val="auto"/>
          <w:sz w:val="24"/>
          <w:highlight w:val="none"/>
        </w:rPr>
        <w:t>重大应用贯通场景建设</w:t>
      </w:r>
      <w:r>
        <w:rPr>
          <w:rFonts w:hint="eastAsia" w:ascii="宋体" w:hAnsi="宋体" w:cs="宋体"/>
          <w:color w:val="auto"/>
          <w:sz w:val="24"/>
          <w:highlight w:val="none"/>
        </w:rPr>
        <w:t>：实现对四条跑道省市重大应用及区级应用的贯通落地。</w:t>
      </w:r>
    </w:p>
    <w:p>
      <w:pPr>
        <w:pStyle w:val="2"/>
        <w:ind w:firstLine="480" w:firstLineChars="200"/>
        <w:rPr>
          <w:color w:val="auto"/>
          <w:highlight w:val="none"/>
        </w:rPr>
      </w:pPr>
      <w:r>
        <w:rPr>
          <w:rFonts w:hint="eastAsia"/>
          <w:color w:val="auto"/>
          <w:highlight w:val="none"/>
        </w:rPr>
        <w:t>党建统领跑道：七张问题清单、西湖码协同业务、政协委员通道协同业务、人大智联线协同业务、基层公权力大数据监督、红色根脉强基工程、全过程人民民主基层单元、协商在线。</w:t>
      </w:r>
    </w:p>
    <w:p>
      <w:pPr>
        <w:pStyle w:val="32"/>
        <w:spacing w:line="360" w:lineRule="auto"/>
        <w:ind w:left="0" w:leftChars="0" w:firstLine="480" w:firstLineChars="200"/>
        <w:rPr>
          <w:rFonts w:ascii="宋体" w:hAnsi="Arial" w:cs="Arial"/>
          <w:snapToGrid w:val="0"/>
          <w:color w:val="auto"/>
          <w:sz w:val="24"/>
          <w:szCs w:val="21"/>
          <w:highlight w:val="none"/>
          <w:lang w:val="zh-CN"/>
        </w:rPr>
      </w:pPr>
      <w:r>
        <w:rPr>
          <w:rFonts w:hint="eastAsia" w:ascii="宋体" w:hAnsi="Arial" w:cs="Arial"/>
          <w:snapToGrid w:val="0"/>
          <w:color w:val="auto"/>
          <w:sz w:val="24"/>
          <w:szCs w:val="21"/>
          <w:highlight w:val="none"/>
          <w:lang w:val="zh-CN"/>
        </w:rPr>
        <w:t>平安法治跑道：社区矫正、防汛防台、浙江e行在线、乡镇街道矛调应用、治安防控业务、浙里“民转刑”、浙里“青少年”、企诊卫士、110联动、劳资E智理、安信通（电梯）、森林防灭火在线。</w:t>
      </w:r>
    </w:p>
    <w:p>
      <w:pPr>
        <w:spacing w:line="360" w:lineRule="auto"/>
        <w:ind w:firstLine="480" w:firstLineChars="200"/>
        <w:rPr>
          <w:rFonts w:ascii="宋体" w:hAnsi="Arial" w:cs="Arial"/>
          <w:snapToGrid w:val="0"/>
          <w:color w:val="auto"/>
          <w:sz w:val="24"/>
          <w:szCs w:val="21"/>
          <w:highlight w:val="none"/>
          <w:lang w:val="zh-CN"/>
        </w:rPr>
      </w:pPr>
      <w:r>
        <w:rPr>
          <w:rFonts w:hint="eastAsia" w:ascii="宋体" w:hAnsi="Arial" w:cs="Arial"/>
          <w:snapToGrid w:val="0"/>
          <w:color w:val="auto"/>
          <w:sz w:val="24"/>
          <w:szCs w:val="21"/>
          <w:highlight w:val="none"/>
          <w:lang w:val="zh-CN"/>
        </w:rPr>
        <w:t>经济生态跑道：西湖净尘、浙里“亩均论英雄”。</w:t>
      </w:r>
    </w:p>
    <w:p>
      <w:pPr>
        <w:pStyle w:val="2"/>
        <w:ind w:firstLine="480" w:firstLineChars="200"/>
        <w:rPr>
          <w:color w:val="auto"/>
          <w:highlight w:val="none"/>
        </w:rPr>
      </w:pPr>
      <w:r>
        <w:rPr>
          <w:rFonts w:hint="eastAsia"/>
          <w:color w:val="auto"/>
          <w:highlight w:val="none"/>
        </w:rPr>
        <w:t>公共服务跑道：未来社区。</w:t>
      </w: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2）大情报一体化平台：包含公安侧和政府侧，包括基础架构设计、综合搜索、档案中心管理、作业中心建设、线索中心管理、应用中心以及数据归集清洗等功能。</w:t>
      </w: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3）西湖区数字法治门户：为西湖区提供统一系统综合门户，成为西湖区所有应用系统的统一入口以及政策文件下发、重要新闻如改革周报、省揭榜认领的查看等，提供前端页面展示和后端业务设计的功能。</w:t>
      </w: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4）人口治理平台：通过人口治理数据看板+业务场景分析+业务系统建设形成西湖区人口治理平台综合应用场景建设。具体功能需包括人口治理总体概览、场景建设、综合评价、人口治理业务平台建设。</w:t>
      </w:r>
    </w:p>
    <w:p>
      <w:pPr>
        <w:autoSpaceDE w:val="0"/>
        <w:autoSpaceDN w:val="0"/>
        <w:spacing w:line="360" w:lineRule="auto"/>
        <w:ind w:firstLine="420"/>
        <w:rPr>
          <w:rFonts w:hint="eastAsia" w:ascii="宋体" w:hAnsi="宋体" w:cs="宋体"/>
          <w:color w:val="auto"/>
          <w:sz w:val="24"/>
          <w:highlight w:val="none"/>
        </w:rPr>
      </w:pPr>
      <w:r>
        <w:rPr>
          <w:rFonts w:hint="eastAsia" w:ascii="宋体" w:hAnsi="宋体" w:cs="宋体"/>
          <w:color w:val="auto"/>
          <w:sz w:val="24"/>
          <w:highlight w:val="none"/>
        </w:rPr>
        <w:t>5）</w:t>
      </w:r>
      <w:bookmarkStart w:id="30" w:name="_Toc13290"/>
      <w:bookmarkStart w:id="31" w:name="_Toc118389209"/>
      <w:r>
        <w:rPr>
          <w:rFonts w:hint="eastAsia" w:ascii="宋体" w:hAnsi="宋体" w:cs="宋体"/>
          <w:color w:val="auto"/>
          <w:sz w:val="24"/>
          <w:highlight w:val="none"/>
        </w:rPr>
        <w:t>示范业务</w:t>
      </w:r>
      <w:bookmarkEnd w:id="30"/>
      <w:r>
        <w:rPr>
          <w:rFonts w:hint="eastAsia" w:ascii="宋体" w:hAnsi="宋体" w:cs="宋体"/>
          <w:color w:val="auto"/>
          <w:sz w:val="24"/>
          <w:highlight w:val="none"/>
        </w:rPr>
        <w:t>建设</w:t>
      </w:r>
      <w:bookmarkEnd w:id="31"/>
      <w:r>
        <w:rPr>
          <w:rFonts w:hint="eastAsia" w:ascii="宋体" w:hAnsi="宋体" w:cs="宋体"/>
          <w:color w:val="auto"/>
          <w:sz w:val="24"/>
          <w:highlight w:val="none"/>
        </w:rPr>
        <w:t>：业务标准件上线运维工作主要包含业务需求分析、业务流程设计、业务制作上线、业务日常运维四方面的工作。</w:t>
      </w:r>
    </w:p>
    <w:p>
      <w:pPr>
        <w:autoSpaceDE w:val="0"/>
        <w:autoSpaceDN w:val="0"/>
        <w:spacing w:line="360" w:lineRule="auto"/>
        <w:rPr>
          <w:rFonts w:ascii="宋体" w:hAnsi="宋体" w:cs="宋体"/>
          <w:b/>
          <w:bCs/>
          <w:color w:val="auto"/>
          <w:sz w:val="30"/>
          <w:szCs w:val="32"/>
          <w:highlight w:val="none"/>
        </w:rPr>
      </w:pPr>
      <w:r>
        <w:rPr>
          <w:rFonts w:hint="eastAsia" w:ascii="宋体" w:hAnsi="宋体" w:cs="宋体"/>
          <w:b/>
          <w:bCs/>
          <w:color w:val="auto"/>
          <w:sz w:val="30"/>
          <w:szCs w:val="32"/>
          <w:highlight w:val="none"/>
          <w:lang w:eastAsia="zh-CN"/>
        </w:rPr>
        <w:t>（</w:t>
      </w:r>
      <w:r>
        <w:rPr>
          <w:rFonts w:hint="default" w:ascii="宋体" w:hAnsi="宋体" w:cs="宋体"/>
          <w:b/>
          <w:bCs/>
          <w:color w:val="auto"/>
          <w:sz w:val="30"/>
          <w:szCs w:val="32"/>
          <w:highlight w:val="none"/>
          <w:lang w:val="en-US" w:eastAsia="zh-CN"/>
        </w:rPr>
        <w:t>7</w:t>
      </w:r>
      <w:r>
        <w:rPr>
          <w:rFonts w:hint="eastAsia" w:ascii="宋体" w:hAnsi="宋体" w:cs="宋体"/>
          <w:b/>
          <w:bCs/>
          <w:color w:val="auto"/>
          <w:sz w:val="30"/>
          <w:szCs w:val="32"/>
          <w:highlight w:val="none"/>
          <w:lang w:eastAsia="zh-CN"/>
        </w:rPr>
        <w:t>）</w:t>
      </w:r>
      <w:r>
        <w:rPr>
          <w:rFonts w:hint="eastAsia" w:ascii="宋体" w:hAnsi="宋体" w:cs="宋体"/>
          <w:b/>
          <w:bCs/>
          <w:color w:val="auto"/>
          <w:sz w:val="30"/>
          <w:szCs w:val="32"/>
          <w:highlight w:val="none"/>
        </w:rPr>
        <w:t>数据资源体系建设</w:t>
      </w:r>
    </w:p>
    <w:p>
      <w:pPr>
        <w:adjustRightInd/>
        <w:spacing w:line="360" w:lineRule="auto"/>
        <w:ind w:firstLine="420"/>
        <w:rPr>
          <w:rFonts w:ascii="宋体" w:hAnsi="宋体" w:cs="宋体"/>
          <w:color w:val="auto"/>
          <w:sz w:val="24"/>
          <w:highlight w:val="none"/>
          <w:lang w:eastAsia="zh-Hans"/>
        </w:rPr>
      </w:pPr>
      <w:r>
        <w:rPr>
          <w:rFonts w:hint="eastAsia" w:ascii="宋体" w:hAnsi="宋体" w:cs="宋体"/>
          <w:color w:val="auto"/>
          <w:sz w:val="24"/>
          <w:highlight w:val="none"/>
          <w:lang w:eastAsia="zh-Hans"/>
        </w:rPr>
        <w:t>主要包括地址基础数据仓、人口专题库，政务中台业务仓建设，以及基层治理专题数据库迭代升级，提供全量基层治理数据能力，支撑基层治理的智慧化。同时，以“人房”数据为切入点，将公安常口、流口数据，以及镇街自有数据进行治理清洗，形成关联关系，实现与部门、镇街业务系统数据的联动更新，从而盘活数据，确保人口数据“全量、准确、鲜活”，实现高效共享利用。</w:t>
      </w:r>
    </w:p>
    <w:p>
      <w:pPr>
        <w:autoSpaceDE w:val="0"/>
        <w:autoSpaceDN w:val="0"/>
        <w:spacing w:line="360" w:lineRule="auto"/>
        <w:rPr>
          <w:color w:val="auto"/>
          <w:highlight w:val="none"/>
        </w:rPr>
      </w:pPr>
      <w:r>
        <w:rPr>
          <w:rFonts w:hint="eastAsia" w:ascii="宋体" w:hAnsi="宋体" w:cs="宋体"/>
          <w:color w:val="auto"/>
          <w:kern w:val="0"/>
          <w:sz w:val="24"/>
          <w:szCs w:val="21"/>
          <w:highlight w:val="none"/>
        </w:rPr>
        <w:t>数据资源体系建设详细需求：</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2199"/>
        <w:gridCol w:w="3012"/>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序号</w:t>
            </w:r>
          </w:p>
        </w:tc>
        <w:tc>
          <w:tcPr>
            <w:tcW w:w="1184" w:type="pct"/>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类目</w:t>
            </w:r>
          </w:p>
        </w:tc>
        <w:tc>
          <w:tcPr>
            <w:tcW w:w="1622" w:type="pct"/>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建设任务</w:t>
            </w: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p>
        </w:tc>
        <w:tc>
          <w:tcPr>
            <w:tcW w:w="1184" w:type="pct"/>
            <w:vMerge w:val="restar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数据资源体系</w:t>
            </w:r>
          </w:p>
        </w:tc>
        <w:tc>
          <w:tcPr>
            <w:tcW w:w="1622" w:type="pct"/>
            <w:vMerge w:val="restar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地址基础数据仓</w:t>
            </w: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制定地址数据标准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构建数据链路-规划数据链路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构建数据链路-建设数据链路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地址数据归集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地址数据治理-数据清洗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6</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镇街地址赋码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default" w:ascii="宋体" w:hAnsi="宋体" w:eastAsia="宋体" w:cs="宋体"/>
                <w:color w:val="auto"/>
                <w:kern w:val="0"/>
                <w:sz w:val="24"/>
                <w:szCs w:val="24"/>
                <w:highlight w:val="none"/>
                <w:lang w:val="en-US" w:bidi="ar"/>
              </w:rPr>
              <w:t>7</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地址信息融合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default" w:ascii="宋体" w:hAnsi="宋体" w:eastAsia="宋体" w:cs="宋体"/>
                <w:color w:val="auto"/>
                <w:kern w:val="0"/>
                <w:sz w:val="24"/>
                <w:szCs w:val="24"/>
                <w:highlight w:val="none"/>
                <w:lang w:val="en-US" w:bidi="ar"/>
              </w:rPr>
              <w:t>8</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地址库接口开发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default" w:ascii="宋体" w:hAnsi="宋体" w:eastAsia="宋体" w:cs="宋体"/>
                <w:color w:val="auto"/>
                <w:kern w:val="0"/>
                <w:sz w:val="24"/>
                <w:szCs w:val="24"/>
                <w:highlight w:val="none"/>
                <w:lang w:val="en-US" w:bidi="ar"/>
              </w:rPr>
              <w:t>9</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填充经纬度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default" w:ascii="宋体" w:hAnsi="宋体" w:eastAsia="宋体" w:cs="宋体"/>
                <w:color w:val="auto"/>
                <w:kern w:val="0"/>
                <w:sz w:val="24"/>
                <w:szCs w:val="24"/>
                <w:highlight w:val="none"/>
                <w:lang w:val="en-US" w:bidi="ar"/>
              </w:rPr>
              <w:t>0</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与杭州市标准校对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default" w:ascii="宋体" w:hAnsi="宋体" w:eastAsia="宋体" w:cs="宋体"/>
                <w:color w:val="auto"/>
                <w:kern w:val="0"/>
                <w:sz w:val="24"/>
                <w:szCs w:val="24"/>
                <w:highlight w:val="none"/>
                <w:lang w:val="en-US" w:bidi="ar"/>
              </w:rPr>
              <w:t>1</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地址数据共享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default" w:ascii="宋体" w:hAnsi="宋体" w:eastAsia="宋体" w:cs="宋体"/>
                <w:color w:val="auto"/>
                <w:kern w:val="0"/>
                <w:sz w:val="24"/>
                <w:szCs w:val="24"/>
                <w:highlight w:val="none"/>
                <w:lang w:val="en-US" w:bidi="ar"/>
              </w:rPr>
              <w:t>2</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restar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实有人口专题库</w:t>
            </w: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明确标准字段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13</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人口数据归集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default" w:ascii="宋体" w:hAnsi="宋体" w:eastAsia="宋体" w:cs="宋体"/>
                <w:color w:val="auto"/>
                <w:kern w:val="0"/>
                <w:sz w:val="24"/>
                <w:szCs w:val="24"/>
                <w:highlight w:val="none"/>
                <w:lang w:val="en-US" w:bidi="ar"/>
              </w:rPr>
              <w:t>4</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数据质量核查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default" w:ascii="宋体" w:hAnsi="宋体" w:eastAsia="宋体" w:cs="宋体"/>
                <w:color w:val="auto"/>
                <w:kern w:val="0"/>
                <w:sz w:val="24"/>
                <w:szCs w:val="24"/>
                <w:highlight w:val="none"/>
                <w:lang w:val="en-US" w:bidi="ar"/>
              </w:rPr>
              <w:t>5</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人口数据清洗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hint="default" w:ascii="宋体" w:hAnsi="宋体" w:eastAsia="宋体" w:cs="宋体"/>
                <w:color w:val="auto"/>
                <w:kern w:val="0"/>
                <w:sz w:val="24"/>
                <w:szCs w:val="24"/>
                <w:highlight w:val="none"/>
                <w:lang w:val="en-US" w:bidi="ar"/>
              </w:rPr>
              <w:t>6</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人口数据对账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17</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数据融合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18</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人房数据匹配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19</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restar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政务中台业务库</w:t>
            </w: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kern w:val="0"/>
                <w:sz w:val="24"/>
                <w:szCs w:val="24"/>
                <w:highlight w:val="none"/>
                <w:lang w:bidi="ar"/>
              </w:rPr>
              <w:t>业务仓</w:t>
            </w:r>
            <w:r>
              <w:rPr>
                <w:rFonts w:hint="eastAsia" w:ascii="宋体" w:hAnsi="宋体" w:eastAsia="宋体" w:cs="宋体"/>
                <w:color w:val="auto"/>
                <w:kern w:val="0"/>
                <w:sz w:val="24"/>
                <w:szCs w:val="24"/>
                <w:highlight w:val="none"/>
                <w:lang w:eastAsia="zh-CN" w:bidi="ar"/>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eastAsia="宋体" w:cs="宋体"/>
                <w:color w:val="auto"/>
                <w:kern w:val="0"/>
                <w:sz w:val="24"/>
                <w:szCs w:val="24"/>
                <w:highlight w:val="none"/>
                <w:lang w:val="en-US" w:bidi="ar"/>
              </w:rPr>
              <w:t>20</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读写分离设计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w:t>
            </w:r>
            <w:r>
              <w:rPr>
                <w:rFonts w:hint="default" w:ascii="宋体" w:hAnsi="宋体" w:eastAsia="宋体" w:cs="宋体"/>
                <w:color w:val="auto"/>
                <w:kern w:val="0"/>
                <w:sz w:val="24"/>
                <w:szCs w:val="24"/>
                <w:highlight w:val="none"/>
                <w:lang w:val="en-US" w:bidi="ar"/>
              </w:rPr>
              <w:t>1</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数据接口开发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w:t>
            </w:r>
            <w:r>
              <w:rPr>
                <w:rFonts w:hint="default" w:ascii="宋体" w:hAnsi="宋体" w:eastAsia="宋体" w:cs="宋体"/>
                <w:color w:val="auto"/>
                <w:kern w:val="0"/>
                <w:sz w:val="24"/>
                <w:szCs w:val="24"/>
                <w:highlight w:val="none"/>
                <w:lang w:val="en-US" w:bidi="ar"/>
              </w:rPr>
              <w:t>2</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restar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基层治理专题数据库</w:t>
            </w: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微网格数据库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w:t>
            </w:r>
            <w:r>
              <w:rPr>
                <w:rFonts w:hint="default" w:ascii="宋体" w:hAnsi="宋体" w:eastAsia="宋体" w:cs="宋体"/>
                <w:color w:val="auto"/>
                <w:kern w:val="0"/>
                <w:sz w:val="24"/>
                <w:szCs w:val="24"/>
                <w:highlight w:val="none"/>
                <w:lang w:val="en-US" w:bidi="ar"/>
              </w:rPr>
              <w:t>3</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跑道专题数据库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15"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w:t>
            </w:r>
            <w:r>
              <w:rPr>
                <w:rFonts w:hint="default" w:ascii="宋体" w:hAnsi="宋体" w:eastAsia="宋体" w:cs="宋体"/>
                <w:color w:val="auto"/>
                <w:kern w:val="0"/>
                <w:sz w:val="24"/>
                <w:szCs w:val="24"/>
                <w:highlight w:val="none"/>
                <w:lang w:val="en-US" w:bidi="ar"/>
              </w:rPr>
              <w:t>4</w:t>
            </w:r>
          </w:p>
        </w:tc>
        <w:tc>
          <w:tcPr>
            <w:tcW w:w="1184"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622" w:type="pct"/>
            <w:vMerge w:val="continue"/>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p>
        </w:tc>
        <w:tc>
          <w:tcPr>
            <w:tcW w:w="1780" w:type="pct"/>
            <w:shd w:val="clear" w:color="auto" w:fill="auto"/>
            <w:vAlign w:val="center"/>
          </w:tcPr>
          <w:p>
            <w:pPr>
              <w:widowControl/>
              <w:snapToGrid w:val="0"/>
              <w:spacing w:line="36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基层智治综合数据库升级</w:t>
            </w:r>
          </w:p>
        </w:tc>
      </w:tr>
    </w:tbl>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1）地址基础数据仓：结合国家、省、市相关标准规范，制定《西湖区地名地址标准规范》；将镇街“口袋”地址数据与公安地址数据融合，并进行标准化清洗治理；基于标准地址进行赋码，做到“一址一码”；并与市政法委统一地址库进行映射匹配。</w:t>
      </w: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2）实有人口专题库：需满足明确标准字段、实现人口数据归集、数据质量核查、人口数据清洗、人口数据对账、数据融合以及人房数据匹配等功能。</w:t>
      </w:r>
    </w:p>
    <w:p>
      <w:pPr>
        <w:autoSpaceDE w:val="0"/>
        <w:autoSpaceDN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3）政务中台业务库：是政务中台内部，一个面向各个能力中心的操作型业务数据库，须包括业务仓建设，读写分离设计以及数据接口开发等功能。</w:t>
      </w:r>
    </w:p>
    <w:p>
      <w:pPr>
        <w:autoSpaceDE w:val="0"/>
        <w:autoSpaceDN w:val="0"/>
        <w:spacing w:line="360" w:lineRule="auto"/>
        <w:ind w:firstLine="420"/>
        <w:rPr>
          <w:rFonts w:hint="eastAsia" w:ascii="宋体" w:hAnsi="宋体" w:cs="宋体"/>
          <w:color w:val="auto"/>
          <w:sz w:val="24"/>
          <w:highlight w:val="none"/>
        </w:rPr>
      </w:pPr>
      <w:r>
        <w:rPr>
          <w:rFonts w:hint="eastAsia" w:ascii="宋体" w:hAnsi="宋体" w:cs="宋体"/>
          <w:color w:val="auto"/>
          <w:sz w:val="24"/>
          <w:highlight w:val="none"/>
        </w:rPr>
        <w:t>4）基层治理专题数据库：包括微网格数据库、跑道专题数据库以及对基层智治综合数据库升级即重点人员升级，</w:t>
      </w:r>
      <w:r>
        <w:rPr>
          <w:rFonts w:ascii="宋体" w:hAnsi="宋体" w:cs="宋体"/>
          <w:color w:val="auto"/>
          <w:sz w:val="24"/>
          <w:highlight w:val="none"/>
        </w:rPr>
        <w:t>新增的社区矫正人员等信息，通过去重、入格等操作实现西湖区重点人员数据库升级</w:t>
      </w:r>
      <w:r>
        <w:rPr>
          <w:rFonts w:hint="eastAsia" w:ascii="宋体" w:hAnsi="宋体" w:cs="宋体"/>
          <w:color w:val="auto"/>
          <w:sz w:val="24"/>
          <w:highlight w:val="none"/>
        </w:rPr>
        <w:t>；法人数据库升级，</w:t>
      </w:r>
      <w:r>
        <w:rPr>
          <w:rFonts w:ascii="宋体" w:hAnsi="宋体" w:cs="宋体"/>
          <w:color w:val="auto"/>
          <w:sz w:val="24"/>
          <w:highlight w:val="none"/>
        </w:rPr>
        <w:t>调用政务中台标准地址能力，通过地址与法人单位的逻辑关联实现西湖区法人单位数据库升级</w:t>
      </w:r>
      <w:r>
        <w:rPr>
          <w:rFonts w:hint="eastAsia" w:ascii="宋体" w:hAnsi="宋体" w:cs="宋体"/>
          <w:color w:val="auto"/>
          <w:sz w:val="24"/>
          <w:highlight w:val="none"/>
        </w:rPr>
        <w:t>；房屋数据库升级，</w:t>
      </w:r>
      <w:r>
        <w:rPr>
          <w:rFonts w:ascii="宋体" w:hAnsi="宋体" w:cs="宋体"/>
          <w:color w:val="auto"/>
          <w:sz w:val="24"/>
          <w:highlight w:val="none"/>
        </w:rPr>
        <w:t>将调用政务中台标准地址能力，通过地址与房屋的逻辑关联实现西湖区实有房屋数据库升级</w:t>
      </w:r>
      <w:r>
        <w:rPr>
          <w:rFonts w:hint="eastAsia" w:ascii="宋体" w:hAnsi="宋体" w:cs="宋体"/>
          <w:color w:val="auto"/>
          <w:sz w:val="24"/>
          <w:highlight w:val="none"/>
        </w:rPr>
        <w:t>、重点场所数据库升级，</w:t>
      </w:r>
      <w:r>
        <w:rPr>
          <w:rFonts w:ascii="宋体" w:hAnsi="宋体" w:cs="宋体"/>
          <w:color w:val="auto"/>
          <w:sz w:val="24"/>
          <w:highlight w:val="none"/>
        </w:rPr>
        <w:t>用政务中台标准地址能力，通过地址场所的逻辑关联实现西湖区重点场所数据库的升级</w:t>
      </w:r>
      <w:r>
        <w:rPr>
          <w:rFonts w:hint="eastAsia" w:ascii="宋体" w:hAnsi="宋体" w:cs="宋体"/>
          <w:color w:val="auto"/>
          <w:sz w:val="24"/>
          <w:highlight w:val="none"/>
        </w:rPr>
        <w:t>，</w:t>
      </w:r>
      <w:r>
        <w:rPr>
          <w:rFonts w:ascii="宋体" w:hAnsi="宋体" w:cs="宋体"/>
          <w:color w:val="auto"/>
          <w:sz w:val="24"/>
          <w:highlight w:val="none"/>
        </w:rPr>
        <w:t>调</w:t>
      </w:r>
      <w:r>
        <w:rPr>
          <w:rFonts w:hint="eastAsia" w:ascii="宋体" w:hAnsi="宋体" w:cs="宋体"/>
          <w:color w:val="auto"/>
          <w:sz w:val="24"/>
          <w:highlight w:val="none"/>
        </w:rPr>
        <w:t>从而实现网格员基于标准地址对实际采集的场所数据进行比、核实、入库，最终形成西湖区重点场所数据库；全量事件数据库、全量任务数据库。</w:t>
      </w:r>
    </w:p>
    <w:p>
      <w:pPr>
        <w:autoSpaceDE w:val="0"/>
        <w:autoSpaceDN w:val="0"/>
        <w:spacing w:line="360" w:lineRule="auto"/>
        <w:rPr>
          <w:rFonts w:ascii="宋体" w:hAnsi="宋体" w:cs="宋体"/>
          <w:b/>
          <w:bCs/>
          <w:color w:val="auto"/>
          <w:sz w:val="30"/>
          <w:szCs w:val="32"/>
          <w:highlight w:val="none"/>
        </w:rPr>
      </w:pPr>
      <w:r>
        <w:rPr>
          <w:rFonts w:hint="eastAsia" w:ascii="宋体" w:hAnsi="宋体" w:cs="宋体"/>
          <w:b/>
          <w:bCs/>
          <w:color w:val="auto"/>
          <w:sz w:val="30"/>
          <w:szCs w:val="32"/>
          <w:highlight w:val="none"/>
          <w:lang w:eastAsia="zh-CN"/>
        </w:rPr>
        <w:t>（</w:t>
      </w:r>
      <w:r>
        <w:rPr>
          <w:rFonts w:hint="default" w:ascii="宋体" w:hAnsi="宋体" w:cs="宋体"/>
          <w:b/>
          <w:bCs/>
          <w:color w:val="auto"/>
          <w:sz w:val="30"/>
          <w:szCs w:val="32"/>
          <w:highlight w:val="none"/>
          <w:lang w:val="en-US" w:eastAsia="zh-CN"/>
        </w:rPr>
        <w:t>8</w:t>
      </w:r>
      <w:r>
        <w:rPr>
          <w:rFonts w:hint="eastAsia" w:ascii="宋体" w:hAnsi="宋体" w:cs="宋体"/>
          <w:b/>
          <w:bCs/>
          <w:color w:val="auto"/>
          <w:sz w:val="30"/>
          <w:szCs w:val="32"/>
          <w:highlight w:val="none"/>
          <w:lang w:eastAsia="zh-CN"/>
        </w:rPr>
        <w:t>）</w:t>
      </w:r>
      <w:r>
        <w:rPr>
          <w:rFonts w:hint="eastAsia" w:ascii="宋体" w:hAnsi="宋体" w:cs="宋体"/>
          <w:b/>
          <w:bCs/>
          <w:color w:val="auto"/>
          <w:sz w:val="30"/>
          <w:szCs w:val="32"/>
          <w:highlight w:val="none"/>
        </w:rPr>
        <w:t>测评服务</w:t>
      </w:r>
    </w:p>
    <w:p>
      <w:pPr>
        <w:pStyle w:val="2"/>
        <w:ind w:firstLine="240" w:firstLineChars="100"/>
        <w:rPr>
          <w:color w:val="auto"/>
          <w:highlight w:val="none"/>
          <w:lang w:val="en-US"/>
        </w:rPr>
      </w:pPr>
      <w:r>
        <w:rPr>
          <w:rFonts w:hint="eastAsia"/>
          <w:color w:val="auto"/>
          <w:highlight w:val="none"/>
          <w:lang w:val="en-US"/>
        </w:rPr>
        <w:t>项目进行第三方等保评测、功能测评等服务，满足平台持续正常运营需求。</w:t>
      </w:r>
    </w:p>
    <w:p>
      <w:pPr>
        <w:pStyle w:val="2"/>
        <w:ind w:firstLine="240" w:firstLineChars="100"/>
        <w:rPr>
          <w:color w:val="auto"/>
          <w:highlight w:val="none"/>
          <w:lang w:val="en-US"/>
        </w:rPr>
      </w:pPr>
      <w:r>
        <w:rPr>
          <w:rFonts w:hint="eastAsia"/>
          <w:color w:val="auto"/>
          <w:highlight w:val="none"/>
          <w:lang w:val="en-US"/>
        </w:rPr>
        <w:t>1）等保测评（三年三级等保）；</w:t>
      </w:r>
    </w:p>
    <w:p>
      <w:pPr>
        <w:pStyle w:val="2"/>
        <w:ind w:firstLine="240" w:firstLineChars="100"/>
        <w:rPr>
          <w:color w:val="auto"/>
          <w:highlight w:val="none"/>
          <w:lang w:val="en-US"/>
        </w:rPr>
      </w:pPr>
      <w:r>
        <w:rPr>
          <w:rFonts w:hint="eastAsia"/>
          <w:color w:val="auto"/>
          <w:highlight w:val="none"/>
          <w:lang w:val="en-US"/>
        </w:rPr>
        <w:t>2）密评（三年）</w:t>
      </w:r>
    </w:p>
    <w:p>
      <w:pPr>
        <w:pStyle w:val="2"/>
        <w:ind w:firstLine="240" w:firstLineChars="100"/>
        <w:rPr>
          <w:color w:val="auto"/>
          <w:highlight w:val="none"/>
          <w:lang w:val="en-US"/>
        </w:rPr>
      </w:pPr>
      <w:r>
        <w:rPr>
          <w:rFonts w:hint="eastAsia"/>
          <w:color w:val="auto"/>
          <w:highlight w:val="none"/>
          <w:lang w:val="en-US"/>
        </w:rPr>
        <w:t>3）安全测评</w:t>
      </w:r>
    </w:p>
    <w:p>
      <w:pPr>
        <w:pStyle w:val="2"/>
        <w:ind w:firstLine="240" w:firstLineChars="100"/>
        <w:rPr>
          <w:color w:val="auto"/>
          <w:highlight w:val="none"/>
          <w:lang w:val="en-US"/>
        </w:rPr>
      </w:pPr>
      <w:r>
        <w:rPr>
          <w:rFonts w:hint="eastAsia"/>
          <w:color w:val="auto"/>
          <w:highlight w:val="none"/>
          <w:lang w:val="en-US"/>
        </w:rPr>
        <w:t>4）上线风险评估；</w:t>
      </w:r>
    </w:p>
    <w:p>
      <w:pPr>
        <w:pStyle w:val="2"/>
        <w:ind w:firstLine="240" w:firstLineChars="100"/>
        <w:rPr>
          <w:rFonts w:hint="eastAsia"/>
          <w:color w:val="auto"/>
          <w:highlight w:val="none"/>
          <w:lang w:val="en-US"/>
        </w:rPr>
      </w:pPr>
      <w:r>
        <w:rPr>
          <w:rFonts w:hint="eastAsia"/>
          <w:color w:val="auto"/>
          <w:highlight w:val="none"/>
          <w:lang w:val="en-US"/>
        </w:rPr>
        <w:t>5）第三方功能测评。</w:t>
      </w:r>
    </w:p>
    <w:p>
      <w:pPr>
        <w:pStyle w:val="2"/>
        <w:rPr>
          <w:rFonts w:ascii="宋体" w:hAnsi="宋体" w:cs="宋体"/>
          <w:b/>
          <w:bCs/>
          <w:color w:val="auto"/>
          <w:sz w:val="32"/>
          <w:szCs w:val="32"/>
          <w:highlight w:val="none"/>
        </w:rPr>
      </w:pPr>
      <w:r>
        <w:rPr>
          <w:rFonts w:hint="eastAsia" w:ascii="宋体" w:hAnsi="宋体" w:cs="宋体"/>
          <w:b/>
          <w:bCs/>
          <w:color w:val="auto"/>
          <w:sz w:val="32"/>
          <w:szCs w:val="32"/>
          <w:highlight w:val="none"/>
          <w:lang w:val="zh-CN"/>
        </w:rPr>
        <w:t>五、售后服务要求</w:t>
      </w:r>
      <w:bookmarkEnd w:id="28"/>
    </w:p>
    <w:p>
      <w:pPr>
        <w:widowControl/>
        <w:shd w:val="clear" w:color="auto" w:fill="FFFFFF" w:themeFill="background1"/>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szCs w:val="20"/>
          <w:highlight w:val="none"/>
        </w:rPr>
        <w:t>本项目需提供</w:t>
      </w:r>
      <w:r>
        <w:rPr>
          <w:rFonts w:ascii="宋体" w:hAnsi="宋体" w:cs="宋体"/>
          <w:color w:val="auto"/>
          <w:sz w:val="24"/>
          <w:szCs w:val="20"/>
          <w:highlight w:val="none"/>
        </w:rPr>
        <w:t>1</w:t>
      </w:r>
      <w:r>
        <w:rPr>
          <w:rFonts w:hint="eastAsia" w:ascii="宋体" w:hAnsi="宋体" w:cs="宋体"/>
          <w:color w:val="auto"/>
          <w:sz w:val="24"/>
          <w:szCs w:val="20"/>
          <w:highlight w:val="none"/>
        </w:rPr>
        <w:t>年的软件质保，质保期从验收合格之日开始计算。试运行期间需无条件响应并满足用户对系统的修改，并最迟不超过24小时提供免费上门服务。质保期间需及时响应并满足用户对于系统的适应性功能的修改、已有数据交换接口调整。承诺项目验收后提供7*24小时售后技术服务，0.5小时内做出明确响应和安排，现场响应时间要求是接到用户需求电话后2小时内到达</w:t>
      </w:r>
      <w:bookmarkStart w:id="32" w:name="_Toc8590"/>
    </w:p>
    <w:p>
      <w:pPr>
        <w:widowControl/>
        <w:shd w:val="clear" w:color="auto" w:fill="FFFFFF" w:themeFill="background1"/>
        <w:spacing w:line="360" w:lineRule="auto"/>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六、项目验收要求</w:t>
      </w:r>
      <w:bookmarkEnd w:id="32"/>
    </w:p>
    <w:p>
      <w:pPr>
        <w:widowControl/>
        <w:shd w:val="clear" w:color="auto" w:fill="FFFFFF" w:themeFill="background1"/>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szCs w:val="20"/>
          <w:highlight w:val="none"/>
        </w:rPr>
        <w:t>项目验收需根据招标文件以及合同的需求，由采购方召集专家组织项目验收。验收时需提供相应的文档。</w:t>
      </w:r>
      <w:bookmarkStart w:id="33" w:name="_Toc5146"/>
    </w:p>
    <w:p>
      <w:pPr>
        <w:widowControl/>
        <w:shd w:val="clear" w:color="auto" w:fill="FFFFFF" w:themeFill="background1"/>
        <w:spacing w:line="360" w:lineRule="auto"/>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七、质量保证</w:t>
      </w:r>
      <w:bookmarkEnd w:id="33"/>
    </w:p>
    <w:p>
      <w:pPr>
        <w:widowControl/>
        <w:shd w:val="clear" w:color="auto" w:fill="FFFFFF" w:themeFill="background1"/>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szCs w:val="20"/>
          <w:highlight w:val="none"/>
        </w:rPr>
        <w:t>1、投标人须保证所提供产品符合国家有关规定。投标人须保证所提供产品具有合法的版权或使用权，本项目采购的产品，如在本项目范围内使用过程中出现版权或使用权纠纷，应由中标人负责，采购人不承担责任。</w:t>
      </w:r>
    </w:p>
    <w:p>
      <w:pPr>
        <w:widowControl/>
        <w:shd w:val="clear" w:color="auto" w:fill="FFFFFF" w:themeFill="background1"/>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szCs w:val="20"/>
          <w:highlight w:val="none"/>
        </w:rPr>
        <w:t>2、投标人必须保证解决项目所涉及的技术问题，如因技术原因无法满足用户需求，由此产生的风险由应标方承担。</w:t>
      </w:r>
    </w:p>
    <w:p>
      <w:pPr>
        <w:widowControl/>
        <w:shd w:val="clear" w:color="auto" w:fill="FFFFFF" w:themeFill="background1"/>
        <w:spacing w:line="360" w:lineRule="auto"/>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八、项目组人员要求</w:t>
      </w:r>
    </w:p>
    <w:p>
      <w:pPr>
        <w:widowControl/>
        <w:shd w:val="clear" w:color="auto" w:fill="FFFFFF" w:themeFill="background1"/>
        <w:spacing w:line="360" w:lineRule="auto"/>
        <w:ind w:firstLine="480" w:firstLineChars="200"/>
        <w:rPr>
          <w:rFonts w:hint="eastAsia" w:ascii="宋体" w:hAnsi="宋体" w:cs="宋体"/>
          <w:color w:val="auto"/>
          <w:sz w:val="24"/>
          <w:szCs w:val="20"/>
          <w:highlight w:val="none"/>
        </w:rPr>
      </w:pPr>
      <w:bookmarkStart w:id="34" w:name="_Toc46"/>
      <w:r>
        <w:rPr>
          <w:rFonts w:hint="eastAsia" w:ascii="宋体" w:hAnsi="宋体" w:cs="宋体"/>
          <w:color w:val="auto"/>
          <w:sz w:val="24"/>
          <w:szCs w:val="20"/>
          <w:highlight w:val="none"/>
        </w:rPr>
        <w:t>项目经理同时具有高级信息系统项目管理师和高级工程师职称，项目技术负责人具有高级工程师职称，项目组技术人员（除项目经理和技术负责人外），需有4名及以上技术人员具有高级工程师职称或信息系统项目管理师证书，每人需提供1本有效证书（证书上的名字须与担任项目组技术人员相一致）</w:t>
      </w:r>
      <w:r>
        <w:rPr>
          <w:rFonts w:hint="eastAsia" w:ascii="宋体" w:hAnsi="宋体" w:cs="宋体"/>
          <w:color w:val="auto"/>
          <w:sz w:val="24"/>
          <w:szCs w:val="20"/>
          <w:highlight w:val="none"/>
          <w:lang w:eastAsia="zh-CN"/>
        </w:rPr>
        <w:t>，</w:t>
      </w:r>
      <w:r>
        <w:rPr>
          <w:rFonts w:hint="eastAsia" w:ascii="宋体" w:hAnsi="宋体" w:cs="宋体"/>
          <w:color w:val="auto"/>
          <w:sz w:val="24"/>
          <w:szCs w:val="22"/>
          <w:highlight w:val="none"/>
        </w:rPr>
        <w:t>建设工期内要求派出1名经验丰富的运维技术人员驻场服务</w:t>
      </w:r>
      <w:r>
        <w:rPr>
          <w:rFonts w:hint="eastAsia" w:ascii="宋体" w:hAnsi="宋体" w:cs="宋体"/>
          <w:color w:val="auto"/>
          <w:sz w:val="24"/>
          <w:szCs w:val="20"/>
          <w:highlight w:val="none"/>
        </w:rPr>
        <w:t>。</w:t>
      </w:r>
    </w:p>
    <w:p>
      <w:pPr>
        <w:widowControl/>
        <w:shd w:val="clear" w:color="auto" w:fill="FFFFFF" w:themeFill="background1"/>
        <w:spacing w:line="360" w:lineRule="auto"/>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九、工作内容及成果</w:t>
      </w:r>
      <w:bookmarkEnd w:id="34"/>
    </w:p>
    <w:p>
      <w:pPr>
        <w:widowControl/>
        <w:shd w:val="clear" w:color="auto" w:fill="FFFFFF" w:themeFill="background1"/>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szCs w:val="20"/>
          <w:highlight w:val="none"/>
        </w:rPr>
        <w:t>文档的提交应覆盖以下内容，电子文档是成果不可分割的部分。要求如下文档：</w:t>
      </w:r>
    </w:p>
    <w:p>
      <w:pPr>
        <w:widowControl/>
        <w:shd w:val="clear" w:color="auto" w:fill="FFFFFF" w:themeFill="background1"/>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szCs w:val="20"/>
          <w:highlight w:val="none"/>
        </w:rPr>
        <w:t>1、项目实施前：需求分析报告；设计方案；设计说明书；项目实施计划；</w:t>
      </w:r>
    </w:p>
    <w:p>
      <w:pPr>
        <w:widowControl/>
        <w:shd w:val="clear" w:color="auto" w:fill="FFFFFF" w:themeFill="background1"/>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szCs w:val="20"/>
          <w:highlight w:val="none"/>
        </w:rPr>
        <w:t>2、项目实施期间：项目实施工作单、故障诊断及排除记录、项目实施过程中衍生的其它相关资料；</w:t>
      </w:r>
    </w:p>
    <w:p>
      <w:pPr>
        <w:widowControl/>
        <w:shd w:val="clear" w:color="auto" w:fill="FFFFFF" w:themeFill="background1"/>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szCs w:val="20"/>
          <w:highlight w:val="none"/>
        </w:rPr>
        <w:t>3、项目实施后：系统试运行报告和自测报告、开发总结报告；</w:t>
      </w:r>
    </w:p>
    <w:p>
      <w:pPr>
        <w:widowControl/>
        <w:shd w:val="clear" w:color="auto" w:fill="FFFFFF" w:themeFill="background1"/>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szCs w:val="20"/>
          <w:highlight w:val="none"/>
        </w:rPr>
        <w:t>4、培训期间：培训计划、用户使用手册、管理员使用手册；</w:t>
      </w:r>
    </w:p>
    <w:p>
      <w:pPr>
        <w:widowControl/>
        <w:shd w:val="clear" w:color="auto" w:fill="FFFFFF" w:themeFill="background1"/>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szCs w:val="20"/>
          <w:highlight w:val="none"/>
        </w:rPr>
        <w:t>5、其他需要提交的材料。</w:t>
      </w:r>
      <w:bookmarkStart w:id="35" w:name="_Toc15353"/>
    </w:p>
    <w:p>
      <w:pPr>
        <w:widowControl/>
        <w:shd w:val="clear" w:color="auto" w:fill="FFFFFF" w:themeFill="background1"/>
        <w:spacing w:line="360" w:lineRule="auto"/>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十、实施要求</w:t>
      </w:r>
      <w:bookmarkEnd w:id="35"/>
    </w:p>
    <w:p>
      <w:pPr>
        <w:adjustRightInd/>
        <w:spacing w:before="120" w:beforeLines="50" w:after="120" w:afterLines="50" w:line="360" w:lineRule="auto"/>
        <w:ind w:firstLine="482" w:firstLineChars="200"/>
        <w:rPr>
          <w:rFonts w:ascii="宋体" w:hAnsi="宋体" w:cs="宋体"/>
          <w:color w:val="auto"/>
          <w:sz w:val="24"/>
          <w:highlight w:val="none"/>
        </w:rPr>
      </w:pPr>
      <w:r>
        <w:rPr>
          <w:rFonts w:hint="eastAsia" w:ascii="宋体" w:hAnsi="宋体" w:cs="宋体"/>
          <w:b/>
          <w:bCs/>
          <w:color w:val="auto"/>
          <w:sz w:val="24"/>
          <w:szCs w:val="22"/>
          <w:highlight w:val="none"/>
        </w:rPr>
        <w:t>总工期为</w:t>
      </w:r>
      <w:r>
        <w:rPr>
          <w:rFonts w:hint="default" w:ascii="宋体" w:hAnsi="宋体" w:cs="宋体"/>
          <w:b/>
          <w:bCs/>
          <w:color w:val="auto"/>
          <w:sz w:val="24"/>
          <w:szCs w:val="22"/>
          <w:highlight w:val="none"/>
          <w:lang w:val="en-US"/>
        </w:rPr>
        <w:t>3</w:t>
      </w:r>
      <w:r>
        <w:rPr>
          <w:rFonts w:hint="eastAsia" w:ascii="宋体" w:hAnsi="宋体" w:cs="宋体"/>
          <w:b/>
          <w:bCs/>
          <w:color w:val="auto"/>
          <w:sz w:val="24"/>
          <w:szCs w:val="22"/>
          <w:highlight w:val="none"/>
        </w:rPr>
        <w:t>个月。</w:t>
      </w:r>
    </w:p>
    <w:p>
      <w:pPr>
        <w:adjustRightInd/>
        <w:spacing w:before="120" w:beforeLines="50" w:after="120" w:afterLines="50"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投标人要明确项目组人员构成(人员资质、人数、从业经历)，项目建设工期内要求派出1名经验丰富的运维技术人员驻场服务。在项目实施阶段，不允许中途更换项目主要人员。确保项目按期、按质完成。</w:t>
      </w:r>
    </w:p>
    <w:p>
      <w:pPr>
        <w:adjustRightInd/>
        <w:spacing w:before="120" w:beforeLines="50" w:after="120" w:afterLines="50"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项目各阶段提供详细的进度安排，每月提供项目开发进度报告。</w:t>
      </w:r>
    </w:p>
    <w:p>
      <w:pPr>
        <w:adjustRightInd/>
        <w:spacing w:before="120" w:beforeLines="50" w:after="120" w:afterLines="50"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定期与用户召开项目协调会。</w:t>
      </w:r>
    </w:p>
    <w:p>
      <w:pPr>
        <w:adjustRightInd/>
        <w:spacing w:before="120" w:beforeLines="50" w:after="120" w:afterLines="50"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针对本项目的特殊性，提出切实可行的项目质量控制手段，并落实执行。</w:t>
      </w:r>
    </w:p>
    <w:p>
      <w:pPr>
        <w:adjustRightInd/>
        <w:spacing w:before="120" w:beforeLines="50" w:after="120" w:afterLines="50"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按照验收要求，及时提供全面的项目文档。</w:t>
      </w:r>
    </w:p>
    <w:p>
      <w:pPr>
        <w:adjustRightInd/>
        <w:spacing w:before="120" w:beforeLines="50" w:after="120" w:afterLines="50"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详细实施进度要求如下：</w:t>
      </w:r>
    </w:p>
    <w:p>
      <w:pPr>
        <w:numPr>
          <w:ilvl w:val="0"/>
          <w:numId w:val="3"/>
        </w:numPr>
        <w:adjustRightInd/>
        <w:spacing w:line="360" w:lineRule="auto"/>
        <w:ind w:left="0"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合同签订后7天内进一步优化需求分析、概要设计、详细设计，并细化系统建设计划、目标任务书和测试</w:t>
      </w:r>
      <w:r>
        <w:rPr>
          <w:rFonts w:hint="eastAsia" w:ascii="宋体" w:hAnsi="宋体" w:cs="宋体"/>
          <w:color w:val="auto"/>
          <w:sz w:val="24"/>
          <w:szCs w:val="22"/>
          <w:highlight w:val="none"/>
          <w:lang w:eastAsia="zh-CN"/>
        </w:rPr>
        <w:t>、</w:t>
      </w:r>
      <w:r>
        <w:rPr>
          <w:rFonts w:hint="eastAsia" w:ascii="宋体" w:hAnsi="宋体" w:cs="宋体"/>
          <w:color w:val="auto"/>
          <w:sz w:val="24"/>
          <w:szCs w:val="22"/>
          <w:highlight w:val="none"/>
        </w:rPr>
        <w:t>验收方案，向采购人提供上述文档并需经采购人审查通过；</w:t>
      </w:r>
    </w:p>
    <w:p>
      <w:pPr>
        <w:numPr>
          <w:ilvl w:val="0"/>
          <w:numId w:val="3"/>
        </w:numPr>
        <w:adjustRightInd/>
        <w:spacing w:line="360" w:lineRule="auto"/>
        <w:ind w:left="0"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合同签订后</w:t>
      </w:r>
      <w:r>
        <w:rPr>
          <w:rFonts w:hint="default" w:ascii="宋体" w:hAnsi="宋体" w:cs="宋体"/>
          <w:b/>
          <w:bCs/>
          <w:color w:val="auto"/>
          <w:sz w:val="24"/>
          <w:szCs w:val="22"/>
          <w:highlight w:val="none"/>
          <w:lang w:val="en-US"/>
        </w:rPr>
        <w:t>2</w:t>
      </w:r>
      <w:r>
        <w:rPr>
          <w:rFonts w:hint="eastAsia" w:ascii="宋体" w:hAnsi="宋体" w:cs="宋体"/>
          <w:b/>
          <w:bCs/>
          <w:color w:val="auto"/>
          <w:sz w:val="24"/>
          <w:szCs w:val="22"/>
          <w:highlight w:val="none"/>
        </w:rPr>
        <w:t>个月</w:t>
      </w:r>
      <w:r>
        <w:rPr>
          <w:rFonts w:hint="eastAsia" w:ascii="宋体" w:hAnsi="宋体" w:cs="宋体"/>
          <w:color w:val="auto"/>
          <w:sz w:val="24"/>
          <w:szCs w:val="22"/>
          <w:highlight w:val="none"/>
        </w:rPr>
        <w:t>内完成项目的全部系统建设并通过初步验收,进入试运行</w:t>
      </w:r>
      <w:r>
        <w:rPr>
          <w:rFonts w:hint="eastAsia" w:ascii="宋体" w:hAnsi="宋体" w:cs="宋体"/>
          <w:b/>
          <w:bCs/>
          <w:color w:val="auto"/>
          <w:sz w:val="24"/>
          <w:szCs w:val="22"/>
          <w:highlight w:val="none"/>
        </w:rPr>
        <w:t>（试运行1个月）</w:t>
      </w:r>
      <w:r>
        <w:rPr>
          <w:rFonts w:hint="eastAsia" w:ascii="宋体" w:hAnsi="宋体" w:cs="宋体"/>
          <w:color w:val="auto"/>
          <w:sz w:val="24"/>
          <w:szCs w:val="22"/>
          <w:highlight w:val="none"/>
        </w:rPr>
        <w:t>；</w:t>
      </w:r>
    </w:p>
    <w:p>
      <w:pPr>
        <w:numPr>
          <w:ilvl w:val="0"/>
          <w:numId w:val="0"/>
        </w:numPr>
        <w:adjustRightInd/>
        <w:spacing w:line="360" w:lineRule="auto"/>
        <w:ind w:firstLine="480" w:firstLineChars="200"/>
        <w:rPr>
          <w:rFonts w:ascii="宋体" w:hAnsi="宋体" w:cs="宋体"/>
          <w:b/>
          <w:bCs/>
          <w:color w:val="auto"/>
          <w:sz w:val="32"/>
          <w:szCs w:val="32"/>
          <w:highlight w:val="none"/>
          <w:lang w:val="zh-CN"/>
        </w:rPr>
      </w:pPr>
      <w:r>
        <w:rPr>
          <w:rFonts w:hint="default" w:ascii="宋体" w:hAnsi="宋体" w:cs="宋体"/>
          <w:color w:val="auto"/>
          <w:sz w:val="24"/>
          <w:szCs w:val="22"/>
          <w:highlight w:val="none"/>
          <w:lang w:val="en-US" w:eastAsia="zh-CN"/>
        </w:rPr>
        <w:t>3</w:t>
      </w:r>
      <w:r>
        <w:rPr>
          <w:rFonts w:hint="eastAsia" w:ascii="宋体" w:hAnsi="宋体" w:cs="宋体"/>
          <w:color w:val="auto"/>
          <w:sz w:val="24"/>
          <w:szCs w:val="22"/>
          <w:highlight w:val="none"/>
          <w:lang w:eastAsia="zh-CN"/>
        </w:rPr>
        <w:t>）</w:t>
      </w:r>
      <w:r>
        <w:rPr>
          <w:rFonts w:hint="eastAsia" w:ascii="宋体" w:hAnsi="宋体" w:cs="宋体"/>
          <w:color w:val="auto"/>
          <w:sz w:val="24"/>
          <w:szCs w:val="22"/>
          <w:highlight w:val="none"/>
        </w:rPr>
        <w:t>初步验收后完成培训、试运行及相关的修改，建立完善的系统运维体系，经终验合格，正式交付使用，进入质保期。</w:t>
      </w:r>
      <w:bookmarkStart w:id="36" w:name="_Toc26360"/>
    </w:p>
    <w:p>
      <w:pPr>
        <w:numPr>
          <w:ilvl w:val="0"/>
          <w:numId w:val="0"/>
        </w:numPr>
        <w:adjustRightInd/>
        <w:spacing w:line="360" w:lineRule="auto"/>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十一、培训需求</w:t>
      </w:r>
      <w:bookmarkEnd w:id="36"/>
    </w:p>
    <w:p>
      <w:pPr>
        <w:adjustRightInd/>
        <w:spacing w:before="120" w:beforeLines="50" w:after="120" w:afterLines="50"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培训对象主要包括系统管理员及使用人员。系统相关软硬件的日常管理及维护由系统管理员负责，专业性较强，因此需要对其进行专门的培训，以备日常工作的需要。同时也要对使用人员进行必要的培训以确保其对业务系统能够正常、有效地使用。</w:t>
      </w:r>
    </w:p>
    <w:p>
      <w:pPr>
        <w:adjustRightInd/>
        <w:spacing w:before="120" w:beforeLines="50" w:after="120" w:afterLines="50"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培训项目内容纲要：</w:t>
      </w:r>
    </w:p>
    <w:p>
      <w:pPr>
        <w:adjustRightInd/>
        <w:spacing w:before="120" w:beforeLines="50" w:after="120" w:afterLines="50"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（1）系统管理员的培训：系统开始运行后，系统的日常维护由系统管理员来完成。包括系统软件、应用软件系统等。根据系统管理员之间的分工，对其进行专门的培训。</w:t>
      </w:r>
    </w:p>
    <w:p>
      <w:pPr>
        <w:adjustRightInd/>
        <w:spacing w:before="120" w:beforeLines="50" w:after="120" w:afterLines="50"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（2）使用人员的培训：在系统运行前期，对各个使用部门的工作人员开展培训，以确保各系统能够有效使用。</w:t>
      </w:r>
    </w:p>
    <w:p>
      <w:pPr>
        <w:pStyle w:val="79"/>
        <w:rPr>
          <w:rFonts w:hint="eastAsia" w:ascii="宋体" w:hAnsi="宋体" w:eastAsia="宋体" w:cs="宋体"/>
          <w:sz w:val="24"/>
          <w:szCs w:val="24"/>
          <w:highlight w:val="none"/>
        </w:rPr>
      </w:pPr>
      <w:r>
        <w:rPr>
          <w:rFonts w:hint="eastAsia" w:ascii="宋体" w:hAnsi="宋体" w:cs="宋体"/>
          <w:color w:val="auto"/>
          <w:sz w:val="24"/>
          <w:szCs w:val="22"/>
          <w:highlight w:val="none"/>
        </w:rPr>
        <w:t>（3）安全保密培训：针对项目所有参与人员，加强安全保密教育培训来减少和避免失泄密事件的发生；加强信息安全基础知识及防护技能的培训，尤其是个人终端安全技术的培训，提高使用和管理人员的安全保密意识，以及检查入侵、查处失泄密事件的能力。</w:t>
      </w:r>
    </w:p>
    <w:p>
      <w:pPr>
        <w:pStyle w:val="79"/>
        <w:rPr>
          <w:rFonts w:hint="eastAsia" w:ascii="宋体" w:hAnsi="宋体" w:eastAsia="宋体" w:cs="宋体"/>
          <w:sz w:val="24"/>
          <w:szCs w:val="24"/>
          <w:highlight w:val="none"/>
        </w:rPr>
      </w:pPr>
    </w:p>
    <w:p>
      <w:pPr>
        <w:spacing w:line="460" w:lineRule="exact"/>
        <w:jc w:val="both"/>
        <w:rPr>
          <w:rFonts w:asciiTheme="minorEastAsia" w:hAnsiTheme="minorEastAsia" w:eastAsiaTheme="minorEastAsia"/>
          <w:sz w:val="24"/>
          <w:highlight w:val="none"/>
        </w:rPr>
      </w:pPr>
    </w:p>
    <w:p>
      <w:pPr>
        <w:snapToGrid w:val="0"/>
        <w:spacing w:line="360" w:lineRule="auto"/>
        <w:rPr>
          <w:rFonts w:cs="Arial" w:asciiTheme="minorEastAsia" w:hAnsiTheme="minorEastAsia" w:eastAsiaTheme="minorEastAsia"/>
          <w:snapToGrid w:val="0"/>
          <w:kern w:val="0"/>
          <w:sz w:val="24"/>
          <w:highlight w:val="none"/>
        </w:rPr>
      </w:pPr>
    </w:p>
    <w:p>
      <w:pPr>
        <w:spacing w:line="360" w:lineRule="auto"/>
        <w:rPr>
          <w:rFonts w:cs="宋体" w:asciiTheme="minorEastAsia" w:hAnsiTheme="minorEastAsia" w:eastAsiaTheme="minorEastAsia"/>
          <w:snapToGrid w:val="0"/>
          <w:kern w:val="0"/>
          <w:sz w:val="24"/>
          <w:highlight w:val="none"/>
        </w:rPr>
      </w:pPr>
    </w:p>
    <w:p>
      <w:pPr>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24"/>
          <w:highlight w:val="none"/>
        </w:rPr>
        <w:br w:type="page"/>
      </w:r>
      <w:r>
        <w:rPr>
          <w:rFonts w:hint="eastAsia" w:cs="宋体" w:asciiTheme="minorEastAsia" w:hAnsiTheme="minorEastAsia" w:eastAsiaTheme="minorEastAsia"/>
          <w:b/>
          <w:sz w:val="36"/>
          <w:szCs w:val="36"/>
          <w:highlight w:val="none"/>
        </w:rPr>
        <w:t xml:space="preserve">第四部分   </w:t>
      </w:r>
      <w:bookmarkStart w:id="37" w:name="_Toc184308106"/>
      <w:bookmarkEnd w:id="37"/>
      <w:bookmarkStart w:id="38" w:name="_Toc184314447"/>
      <w:bookmarkEnd w:id="38"/>
      <w:bookmarkStart w:id="39" w:name="_Toc184313297"/>
      <w:bookmarkEnd w:id="39"/>
      <w:bookmarkStart w:id="40" w:name="_Toc184313245"/>
      <w:bookmarkEnd w:id="40"/>
      <w:bookmarkStart w:id="41" w:name="_Toc184308078"/>
      <w:bookmarkEnd w:id="41"/>
      <w:bookmarkStart w:id="42" w:name="_Toc184308089"/>
      <w:bookmarkEnd w:id="42"/>
      <w:bookmarkStart w:id="43" w:name="_Toc184314422"/>
      <w:bookmarkEnd w:id="43"/>
      <w:bookmarkStart w:id="44" w:name="_Toc184308076"/>
      <w:bookmarkEnd w:id="44"/>
      <w:bookmarkStart w:id="45" w:name="_Toc184313306"/>
      <w:bookmarkEnd w:id="45"/>
      <w:bookmarkStart w:id="46" w:name="_Toc184310330"/>
      <w:bookmarkEnd w:id="46"/>
      <w:bookmarkStart w:id="47" w:name="_Toc184308095"/>
      <w:bookmarkEnd w:id="47"/>
      <w:bookmarkStart w:id="48" w:name="_Toc184314482"/>
      <w:bookmarkEnd w:id="48"/>
      <w:bookmarkStart w:id="49" w:name="_Toc184308075"/>
      <w:bookmarkEnd w:id="49"/>
      <w:bookmarkStart w:id="50" w:name="_Toc184312075"/>
      <w:bookmarkEnd w:id="50"/>
      <w:bookmarkStart w:id="51" w:name="_Toc184314472"/>
      <w:bookmarkEnd w:id="51"/>
      <w:bookmarkStart w:id="52" w:name="_Toc184310301"/>
      <w:bookmarkEnd w:id="52"/>
      <w:bookmarkStart w:id="53" w:name="_Toc184310307"/>
      <w:bookmarkEnd w:id="53"/>
      <w:bookmarkStart w:id="54" w:name="_Toc184310325"/>
      <w:bookmarkEnd w:id="54"/>
      <w:bookmarkStart w:id="55" w:name="_Toc184313289"/>
      <w:bookmarkEnd w:id="55"/>
      <w:bookmarkStart w:id="56" w:name="_Toc184313298"/>
      <w:bookmarkEnd w:id="56"/>
      <w:bookmarkStart w:id="57" w:name="_Toc184314456"/>
      <w:bookmarkEnd w:id="57"/>
      <w:bookmarkStart w:id="58" w:name="_Toc184313270"/>
      <w:bookmarkEnd w:id="58"/>
      <w:bookmarkStart w:id="59" w:name="_Toc184314410"/>
      <w:bookmarkEnd w:id="59"/>
      <w:bookmarkStart w:id="60" w:name="_Toc184313250"/>
      <w:bookmarkEnd w:id="60"/>
      <w:bookmarkStart w:id="61" w:name="_Toc184312113"/>
      <w:bookmarkEnd w:id="61"/>
      <w:bookmarkStart w:id="62" w:name="_Toc184313307"/>
      <w:bookmarkEnd w:id="62"/>
      <w:bookmarkStart w:id="63" w:name="_Toc184313238"/>
      <w:bookmarkEnd w:id="63"/>
      <w:bookmarkStart w:id="64" w:name="_Toc184313274"/>
      <w:bookmarkEnd w:id="64"/>
      <w:bookmarkStart w:id="65" w:name="_Toc184308085"/>
      <w:bookmarkEnd w:id="65"/>
      <w:bookmarkStart w:id="66" w:name="_Toc184312120"/>
      <w:bookmarkEnd w:id="66"/>
      <w:bookmarkStart w:id="67" w:name="_Toc184312082"/>
      <w:bookmarkEnd w:id="67"/>
      <w:bookmarkStart w:id="68" w:name="_Toc184313290"/>
      <w:bookmarkEnd w:id="68"/>
      <w:bookmarkStart w:id="69" w:name="_Toc184312094"/>
      <w:bookmarkEnd w:id="69"/>
      <w:bookmarkStart w:id="70" w:name="_Toc184312130"/>
      <w:bookmarkEnd w:id="70"/>
      <w:bookmarkStart w:id="71" w:name="_Toc184310338"/>
      <w:bookmarkEnd w:id="71"/>
      <w:bookmarkStart w:id="72" w:name="_Toc184310308"/>
      <w:bookmarkEnd w:id="72"/>
      <w:bookmarkStart w:id="73" w:name="_Toc184308088"/>
      <w:bookmarkEnd w:id="73"/>
      <w:bookmarkStart w:id="74" w:name="_Toc184308047"/>
      <w:bookmarkEnd w:id="74"/>
      <w:bookmarkStart w:id="75" w:name="_Toc184312117"/>
      <w:bookmarkEnd w:id="75"/>
      <w:bookmarkStart w:id="76" w:name="_Toc184314465"/>
      <w:bookmarkEnd w:id="76"/>
      <w:bookmarkStart w:id="77" w:name="_Toc184310299"/>
      <w:bookmarkEnd w:id="77"/>
      <w:bookmarkStart w:id="78" w:name="_Toc184314475"/>
      <w:bookmarkEnd w:id="78"/>
      <w:bookmarkStart w:id="79" w:name="_Toc184312079"/>
      <w:bookmarkEnd w:id="79"/>
      <w:bookmarkStart w:id="80" w:name="_Toc184310289"/>
      <w:bookmarkEnd w:id="80"/>
      <w:bookmarkStart w:id="81" w:name="_Toc184314421"/>
      <w:bookmarkEnd w:id="81"/>
      <w:bookmarkStart w:id="82" w:name="_Toc184312067"/>
      <w:bookmarkEnd w:id="82"/>
      <w:bookmarkStart w:id="83" w:name="_Toc184310284"/>
      <w:bookmarkEnd w:id="83"/>
      <w:bookmarkStart w:id="84" w:name="_Toc184312138"/>
      <w:bookmarkEnd w:id="84"/>
      <w:bookmarkStart w:id="85" w:name="_Toc184312096"/>
      <w:bookmarkEnd w:id="85"/>
      <w:bookmarkStart w:id="86" w:name="_Toc184314450"/>
      <w:bookmarkEnd w:id="86"/>
      <w:bookmarkStart w:id="87" w:name="_Toc184312139"/>
      <w:bookmarkEnd w:id="87"/>
      <w:bookmarkStart w:id="88" w:name="_Toc184308108"/>
      <w:bookmarkEnd w:id="88"/>
      <w:bookmarkStart w:id="89" w:name="_Toc184310283"/>
      <w:bookmarkEnd w:id="89"/>
      <w:bookmarkStart w:id="90" w:name="_Toc184310287"/>
      <w:bookmarkEnd w:id="90"/>
      <w:bookmarkStart w:id="91" w:name="_Toc184313244"/>
      <w:bookmarkEnd w:id="91"/>
      <w:bookmarkStart w:id="92" w:name="_Toc184314444"/>
      <w:bookmarkEnd w:id="92"/>
      <w:bookmarkStart w:id="93" w:name="_Toc184314445"/>
      <w:bookmarkEnd w:id="93"/>
      <w:bookmarkStart w:id="94" w:name="_Toc184308102"/>
      <w:bookmarkEnd w:id="94"/>
      <w:bookmarkStart w:id="95" w:name="_Toc184313282"/>
      <w:bookmarkEnd w:id="95"/>
      <w:bookmarkStart w:id="96" w:name="_Toc184312102"/>
      <w:bookmarkEnd w:id="96"/>
      <w:bookmarkStart w:id="97" w:name="_Toc184312088"/>
      <w:bookmarkEnd w:id="97"/>
      <w:bookmarkStart w:id="98" w:name="_Toc184310272"/>
      <w:bookmarkEnd w:id="98"/>
      <w:bookmarkStart w:id="99" w:name="_Toc184310296"/>
      <w:bookmarkEnd w:id="99"/>
      <w:bookmarkStart w:id="100" w:name="_Toc184312116"/>
      <w:bookmarkEnd w:id="100"/>
      <w:bookmarkStart w:id="101" w:name="_Toc184314415"/>
      <w:bookmarkEnd w:id="101"/>
      <w:bookmarkStart w:id="102" w:name="_Toc184314428"/>
      <w:bookmarkEnd w:id="102"/>
      <w:bookmarkStart w:id="103" w:name="_Toc184313277"/>
      <w:bookmarkEnd w:id="103"/>
      <w:bookmarkStart w:id="104" w:name="_Toc184308079"/>
      <w:bookmarkEnd w:id="104"/>
      <w:bookmarkStart w:id="105" w:name="_Toc184310324"/>
      <w:bookmarkEnd w:id="105"/>
      <w:bookmarkStart w:id="106" w:name="_Toc184314423"/>
      <w:bookmarkEnd w:id="106"/>
      <w:bookmarkStart w:id="107" w:name="_Toc184313265"/>
      <w:bookmarkEnd w:id="107"/>
      <w:bookmarkStart w:id="108" w:name="_Toc184313295"/>
      <w:bookmarkEnd w:id="108"/>
      <w:bookmarkStart w:id="109" w:name="_Toc184314414"/>
      <w:bookmarkEnd w:id="109"/>
      <w:bookmarkStart w:id="110" w:name="_Toc184312132"/>
      <w:bookmarkEnd w:id="110"/>
      <w:bookmarkStart w:id="111" w:name="_Toc184314461"/>
      <w:bookmarkEnd w:id="111"/>
      <w:bookmarkStart w:id="112" w:name="_Toc184313260"/>
      <w:bookmarkEnd w:id="112"/>
      <w:bookmarkStart w:id="113" w:name="_Toc184310319"/>
      <w:bookmarkEnd w:id="113"/>
      <w:bookmarkStart w:id="114" w:name="_Toc184312104"/>
      <w:bookmarkEnd w:id="114"/>
      <w:bookmarkStart w:id="115" w:name="_Toc184314462"/>
      <w:bookmarkEnd w:id="115"/>
      <w:bookmarkStart w:id="116" w:name="_Toc184312099"/>
      <w:bookmarkEnd w:id="116"/>
      <w:bookmarkStart w:id="117" w:name="_Toc184310323"/>
      <w:bookmarkEnd w:id="117"/>
      <w:bookmarkStart w:id="118" w:name="_Toc184310316"/>
      <w:bookmarkEnd w:id="118"/>
      <w:bookmarkStart w:id="119" w:name="_Toc184314460"/>
      <w:bookmarkEnd w:id="119"/>
      <w:bookmarkStart w:id="120" w:name="_Toc184308066"/>
      <w:bookmarkEnd w:id="120"/>
      <w:bookmarkStart w:id="121" w:name="_Toc184313262"/>
      <w:bookmarkEnd w:id="121"/>
      <w:bookmarkStart w:id="122" w:name="_Toc184314411"/>
      <w:bookmarkEnd w:id="122"/>
      <w:bookmarkStart w:id="123" w:name="_Toc184308039"/>
      <w:bookmarkEnd w:id="123"/>
      <w:bookmarkStart w:id="124" w:name="_Toc184312081"/>
      <w:bookmarkEnd w:id="124"/>
      <w:bookmarkStart w:id="125" w:name="_Toc184312074"/>
      <w:bookmarkEnd w:id="125"/>
      <w:bookmarkStart w:id="126" w:name="_Toc184313246"/>
      <w:bookmarkEnd w:id="126"/>
      <w:bookmarkStart w:id="127" w:name="_Toc184312085"/>
      <w:bookmarkEnd w:id="127"/>
      <w:bookmarkStart w:id="128" w:name="_Toc184308096"/>
      <w:bookmarkEnd w:id="128"/>
      <w:bookmarkStart w:id="129" w:name="_Toc184308041"/>
      <w:bookmarkEnd w:id="129"/>
      <w:bookmarkStart w:id="130" w:name="_Toc184314420"/>
      <w:bookmarkEnd w:id="130"/>
      <w:bookmarkStart w:id="131" w:name="_Toc184314449"/>
      <w:bookmarkEnd w:id="131"/>
      <w:bookmarkStart w:id="132" w:name="_Toc184310285"/>
      <w:bookmarkEnd w:id="132"/>
      <w:bookmarkStart w:id="133" w:name="_Toc184310312"/>
      <w:bookmarkEnd w:id="133"/>
      <w:bookmarkStart w:id="134" w:name="_Toc184314478"/>
      <w:bookmarkEnd w:id="134"/>
      <w:bookmarkStart w:id="135" w:name="_Toc184313256"/>
      <w:bookmarkEnd w:id="135"/>
      <w:bookmarkStart w:id="136" w:name="_Toc184312087"/>
      <w:bookmarkEnd w:id="136"/>
      <w:bookmarkStart w:id="137" w:name="_Toc184310339"/>
      <w:bookmarkEnd w:id="137"/>
      <w:bookmarkStart w:id="138" w:name="_Toc184310328"/>
      <w:bookmarkEnd w:id="138"/>
      <w:bookmarkStart w:id="139" w:name="_Toc184314431"/>
      <w:bookmarkEnd w:id="139"/>
      <w:bookmarkStart w:id="140" w:name="_Toc184314432"/>
      <w:bookmarkEnd w:id="140"/>
      <w:bookmarkStart w:id="141" w:name="_Toc184313243"/>
      <w:bookmarkEnd w:id="141"/>
      <w:bookmarkStart w:id="142" w:name="_Toc184308100"/>
      <w:bookmarkEnd w:id="142"/>
      <w:bookmarkStart w:id="143" w:name="_Toc184310303"/>
      <w:bookmarkEnd w:id="143"/>
      <w:bookmarkStart w:id="144" w:name="_Toc184313259"/>
      <w:bookmarkEnd w:id="144"/>
      <w:bookmarkStart w:id="145" w:name="_Toc184312111"/>
      <w:bookmarkEnd w:id="145"/>
      <w:bookmarkStart w:id="146" w:name="_Toc184314442"/>
      <w:bookmarkEnd w:id="146"/>
      <w:bookmarkStart w:id="147" w:name="_Toc184314463"/>
      <w:bookmarkEnd w:id="147"/>
      <w:bookmarkStart w:id="148" w:name="_Toc184308067"/>
      <w:bookmarkEnd w:id="148"/>
      <w:bookmarkStart w:id="149" w:name="_Toc184314467"/>
      <w:bookmarkEnd w:id="149"/>
      <w:bookmarkStart w:id="150" w:name="_Toc184310277"/>
      <w:bookmarkEnd w:id="150"/>
      <w:bookmarkStart w:id="151" w:name="_Toc184314473"/>
      <w:bookmarkEnd w:id="151"/>
      <w:bookmarkStart w:id="152" w:name="_Toc184308086"/>
      <w:bookmarkEnd w:id="152"/>
      <w:bookmarkStart w:id="153" w:name="_Toc184312092"/>
      <w:bookmarkEnd w:id="153"/>
      <w:bookmarkStart w:id="154" w:name="_Toc184313267"/>
      <w:bookmarkEnd w:id="154"/>
      <w:bookmarkStart w:id="155" w:name="_Toc184313266"/>
      <w:bookmarkEnd w:id="155"/>
      <w:bookmarkStart w:id="156" w:name="_Toc184312100"/>
      <w:bookmarkEnd w:id="156"/>
      <w:bookmarkStart w:id="157" w:name="_Toc184310318"/>
      <w:bookmarkEnd w:id="157"/>
      <w:bookmarkStart w:id="158" w:name="_Toc184308044"/>
      <w:bookmarkEnd w:id="158"/>
      <w:bookmarkStart w:id="159" w:name="_Toc184310290"/>
      <w:bookmarkEnd w:id="159"/>
      <w:bookmarkStart w:id="160" w:name="_Toc184313239"/>
      <w:bookmarkEnd w:id="160"/>
      <w:bookmarkStart w:id="161" w:name="_Toc184310314"/>
      <w:bookmarkEnd w:id="161"/>
      <w:bookmarkStart w:id="162" w:name="_Toc184313264"/>
      <w:bookmarkEnd w:id="162"/>
      <w:bookmarkStart w:id="163" w:name="_Toc184312078"/>
      <w:bookmarkEnd w:id="163"/>
      <w:bookmarkStart w:id="164" w:name="_Toc184310344"/>
      <w:bookmarkEnd w:id="164"/>
      <w:bookmarkStart w:id="165" w:name="_Toc184314418"/>
      <w:bookmarkEnd w:id="165"/>
      <w:bookmarkStart w:id="166" w:name="_Toc184312089"/>
      <w:bookmarkEnd w:id="166"/>
      <w:bookmarkStart w:id="167" w:name="_Toc184313301"/>
      <w:bookmarkEnd w:id="167"/>
      <w:bookmarkStart w:id="168" w:name="_Toc184312073"/>
      <w:bookmarkEnd w:id="168"/>
      <w:bookmarkStart w:id="169" w:name="_Toc184310297"/>
      <w:bookmarkEnd w:id="169"/>
      <w:bookmarkStart w:id="170" w:name="_Toc184310274"/>
      <w:bookmarkEnd w:id="170"/>
      <w:bookmarkStart w:id="171" w:name="_Toc184312106"/>
      <w:bookmarkEnd w:id="171"/>
      <w:bookmarkStart w:id="172" w:name="_Toc184310276"/>
      <w:bookmarkEnd w:id="172"/>
      <w:bookmarkStart w:id="173" w:name="_Toc184308062"/>
      <w:bookmarkEnd w:id="173"/>
      <w:bookmarkStart w:id="174" w:name="_Toc184308059"/>
      <w:bookmarkEnd w:id="174"/>
      <w:bookmarkStart w:id="175" w:name="_Toc184310311"/>
      <w:bookmarkEnd w:id="175"/>
      <w:bookmarkStart w:id="176" w:name="_Toc184310337"/>
      <w:bookmarkEnd w:id="176"/>
      <w:bookmarkStart w:id="177" w:name="_Toc184314453"/>
      <w:bookmarkEnd w:id="177"/>
      <w:bookmarkStart w:id="178" w:name="_Toc184313294"/>
      <w:bookmarkEnd w:id="178"/>
      <w:bookmarkStart w:id="179" w:name="_Toc184314474"/>
      <w:bookmarkEnd w:id="179"/>
      <w:bookmarkStart w:id="180" w:name="_Toc184312086"/>
      <w:bookmarkEnd w:id="180"/>
      <w:bookmarkStart w:id="181" w:name="_Toc184312071"/>
      <w:bookmarkEnd w:id="181"/>
      <w:bookmarkStart w:id="182" w:name="_Toc184308043"/>
      <w:bookmarkEnd w:id="182"/>
      <w:bookmarkStart w:id="183" w:name="_Toc184312093"/>
      <w:bookmarkEnd w:id="183"/>
      <w:bookmarkStart w:id="184" w:name="_Toc184313272"/>
      <w:bookmarkEnd w:id="184"/>
      <w:bookmarkStart w:id="185" w:name="_Toc184312129"/>
      <w:bookmarkEnd w:id="185"/>
      <w:bookmarkStart w:id="186" w:name="_Toc184312097"/>
      <w:bookmarkEnd w:id="186"/>
      <w:bookmarkStart w:id="187" w:name="_Toc184308071"/>
      <w:bookmarkEnd w:id="187"/>
      <w:bookmarkStart w:id="188" w:name="_Toc184308091"/>
      <w:bookmarkEnd w:id="188"/>
      <w:bookmarkStart w:id="189" w:name="_Toc184313308"/>
      <w:bookmarkEnd w:id="189"/>
      <w:bookmarkStart w:id="190" w:name="_Toc184314416"/>
      <w:bookmarkEnd w:id="190"/>
      <w:bookmarkStart w:id="191" w:name="_Toc184314470"/>
      <w:bookmarkEnd w:id="191"/>
      <w:bookmarkStart w:id="192" w:name="_Toc184308061"/>
      <w:bookmarkEnd w:id="192"/>
      <w:bookmarkStart w:id="193" w:name="_Toc184314438"/>
      <w:bookmarkEnd w:id="193"/>
      <w:bookmarkStart w:id="194" w:name="_Toc184314480"/>
      <w:bookmarkEnd w:id="194"/>
      <w:bookmarkStart w:id="195" w:name="_Toc184313254"/>
      <w:bookmarkEnd w:id="195"/>
      <w:bookmarkStart w:id="196" w:name="_Toc184308105"/>
      <w:bookmarkEnd w:id="196"/>
      <w:bookmarkStart w:id="197" w:name="_Toc184314457"/>
      <w:bookmarkEnd w:id="197"/>
      <w:bookmarkStart w:id="198" w:name="_Toc184310333"/>
      <w:bookmarkEnd w:id="198"/>
      <w:bookmarkStart w:id="199" w:name="_Toc184314433"/>
      <w:bookmarkEnd w:id="199"/>
      <w:bookmarkStart w:id="200" w:name="_Toc184314479"/>
      <w:bookmarkEnd w:id="200"/>
      <w:bookmarkStart w:id="201" w:name="_Toc184314477"/>
      <w:bookmarkEnd w:id="201"/>
      <w:bookmarkStart w:id="202" w:name="_Toc184310291"/>
      <w:bookmarkEnd w:id="202"/>
      <w:bookmarkStart w:id="203" w:name="_Toc184310342"/>
      <w:bookmarkEnd w:id="203"/>
      <w:bookmarkStart w:id="204" w:name="_Toc184308083"/>
      <w:bookmarkEnd w:id="204"/>
      <w:bookmarkStart w:id="205" w:name="_Toc184308038"/>
      <w:bookmarkEnd w:id="205"/>
      <w:bookmarkStart w:id="206" w:name="_Toc184314417"/>
      <w:bookmarkEnd w:id="206"/>
      <w:bookmarkStart w:id="207" w:name="_Toc184308094"/>
      <w:bookmarkEnd w:id="207"/>
      <w:bookmarkStart w:id="208" w:name="_Toc184314425"/>
      <w:bookmarkEnd w:id="208"/>
      <w:bookmarkStart w:id="209" w:name="_Toc184312137"/>
      <w:bookmarkEnd w:id="209"/>
      <w:bookmarkStart w:id="210" w:name="_Toc184313257"/>
      <w:bookmarkEnd w:id="210"/>
      <w:bookmarkStart w:id="211" w:name="_Toc184312095"/>
      <w:bookmarkEnd w:id="211"/>
      <w:bookmarkStart w:id="212" w:name="_Toc184312091"/>
      <w:bookmarkEnd w:id="212"/>
      <w:bookmarkStart w:id="213" w:name="_Toc184312123"/>
      <w:bookmarkEnd w:id="213"/>
      <w:bookmarkStart w:id="214" w:name="_Toc184312076"/>
      <w:bookmarkEnd w:id="214"/>
      <w:bookmarkStart w:id="215" w:name="_Toc184314439"/>
      <w:bookmarkEnd w:id="215"/>
      <w:bookmarkStart w:id="216" w:name="_Toc184314458"/>
      <w:bookmarkEnd w:id="216"/>
      <w:bookmarkStart w:id="217" w:name="_Toc184312108"/>
      <w:bookmarkEnd w:id="217"/>
      <w:bookmarkStart w:id="218" w:name="_Toc184312121"/>
      <w:bookmarkEnd w:id="218"/>
      <w:bookmarkStart w:id="219" w:name="_Toc184314440"/>
      <w:bookmarkEnd w:id="219"/>
      <w:bookmarkStart w:id="220" w:name="_Toc184313300"/>
      <w:bookmarkEnd w:id="220"/>
      <w:bookmarkStart w:id="221" w:name="_Toc184308065"/>
      <w:bookmarkEnd w:id="221"/>
      <w:bookmarkStart w:id="222" w:name="_Toc184313299"/>
      <w:bookmarkEnd w:id="222"/>
      <w:bookmarkStart w:id="223" w:name="_Toc184310279"/>
      <w:bookmarkEnd w:id="223"/>
      <w:bookmarkStart w:id="224" w:name="_Toc184308040"/>
      <w:bookmarkEnd w:id="224"/>
      <w:bookmarkStart w:id="225" w:name="_Toc184312127"/>
      <w:bookmarkEnd w:id="225"/>
      <w:bookmarkStart w:id="226" w:name="_Toc184308057"/>
      <w:bookmarkEnd w:id="226"/>
      <w:bookmarkStart w:id="227" w:name="_Toc184310317"/>
      <w:bookmarkEnd w:id="227"/>
      <w:bookmarkStart w:id="228" w:name="_Toc184310326"/>
      <w:bookmarkEnd w:id="228"/>
      <w:bookmarkStart w:id="229" w:name="_Toc184308081"/>
      <w:bookmarkEnd w:id="229"/>
      <w:bookmarkStart w:id="230" w:name="_Toc184314459"/>
      <w:bookmarkEnd w:id="230"/>
      <w:bookmarkStart w:id="231" w:name="_Toc184312084"/>
      <w:bookmarkEnd w:id="231"/>
      <w:bookmarkStart w:id="232" w:name="_Toc184308042"/>
      <w:bookmarkEnd w:id="232"/>
      <w:bookmarkStart w:id="233" w:name="_Toc184310335"/>
      <w:bookmarkEnd w:id="233"/>
      <w:bookmarkStart w:id="234" w:name="_Toc184310331"/>
      <w:bookmarkEnd w:id="234"/>
      <w:bookmarkStart w:id="235" w:name="_Toc184313261"/>
      <w:bookmarkEnd w:id="235"/>
      <w:bookmarkStart w:id="236" w:name="_Toc184310278"/>
      <w:bookmarkEnd w:id="236"/>
      <w:bookmarkStart w:id="237" w:name="_Toc184314434"/>
      <w:bookmarkEnd w:id="237"/>
      <w:bookmarkStart w:id="238" w:name="_Toc184314468"/>
      <w:bookmarkEnd w:id="238"/>
      <w:bookmarkStart w:id="239" w:name="_Toc184313263"/>
      <w:bookmarkEnd w:id="239"/>
      <w:bookmarkStart w:id="240" w:name="_Toc184312134"/>
      <w:bookmarkEnd w:id="240"/>
      <w:bookmarkStart w:id="241" w:name="_Toc184312083"/>
      <w:bookmarkEnd w:id="241"/>
      <w:bookmarkStart w:id="242" w:name="_Toc184314424"/>
      <w:bookmarkEnd w:id="242"/>
      <w:bookmarkStart w:id="243" w:name="_Toc184313303"/>
      <w:bookmarkEnd w:id="243"/>
      <w:bookmarkStart w:id="244" w:name="_Toc184313248"/>
      <w:bookmarkEnd w:id="244"/>
      <w:bookmarkStart w:id="245" w:name="_Toc184308064"/>
      <w:bookmarkEnd w:id="245"/>
      <w:bookmarkStart w:id="246" w:name="_Toc184312077"/>
      <w:bookmarkEnd w:id="246"/>
      <w:bookmarkStart w:id="247" w:name="_Toc184312109"/>
      <w:bookmarkEnd w:id="247"/>
      <w:bookmarkStart w:id="248" w:name="_Toc184312068"/>
      <w:bookmarkEnd w:id="248"/>
      <w:bookmarkStart w:id="249" w:name="_Toc184308090"/>
      <w:bookmarkEnd w:id="249"/>
      <w:bookmarkStart w:id="250" w:name="_Toc184310273"/>
      <w:bookmarkEnd w:id="250"/>
      <w:bookmarkStart w:id="251" w:name="_Toc184313304"/>
      <w:bookmarkEnd w:id="251"/>
      <w:bookmarkStart w:id="252" w:name="_Toc184308103"/>
      <w:bookmarkEnd w:id="252"/>
      <w:bookmarkStart w:id="253" w:name="_Toc184308048"/>
      <w:bookmarkEnd w:id="253"/>
      <w:bookmarkStart w:id="254" w:name="_Toc184312112"/>
      <w:bookmarkEnd w:id="254"/>
      <w:bookmarkStart w:id="255" w:name="_Toc184308098"/>
      <w:bookmarkEnd w:id="255"/>
      <w:bookmarkStart w:id="256" w:name="_Toc184310341"/>
      <w:bookmarkEnd w:id="256"/>
      <w:bookmarkStart w:id="257" w:name="_Toc184308084"/>
      <w:bookmarkEnd w:id="257"/>
      <w:bookmarkStart w:id="258" w:name="_Toc184313310"/>
      <w:bookmarkEnd w:id="258"/>
      <w:bookmarkStart w:id="259" w:name="_Toc184314419"/>
      <w:bookmarkEnd w:id="259"/>
      <w:bookmarkStart w:id="260" w:name="_Toc184308104"/>
      <w:bookmarkEnd w:id="260"/>
      <w:bookmarkStart w:id="261" w:name="_Toc184313285"/>
      <w:bookmarkEnd w:id="261"/>
      <w:bookmarkStart w:id="262" w:name="_Toc184313241"/>
      <w:bookmarkEnd w:id="262"/>
      <w:bookmarkStart w:id="263" w:name="_Toc184308055"/>
      <w:bookmarkEnd w:id="263"/>
      <w:bookmarkStart w:id="264" w:name="_Toc184313242"/>
      <w:bookmarkEnd w:id="264"/>
      <w:bookmarkStart w:id="265" w:name="_Toc184314412"/>
      <w:bookmarkEnd w:id="265"/>
      <w:bookmarkStart w:id="266" w:name="_Toc184308087"/>
      <w:bookmarkEnd w:id="266"/>
      <w:bookmarkStart w:id="267" w:name="_Toc184308037"/>
      <w:bookmarkEnd w:id="267"/>
      <w:bookmarkStart w:id="268" w:name="_Toc184314443"/>
      <w:bookmarkEnd w:id="268"/>
      <w:bookmarkStart w:id="269" w:name="_Toc184310275"/>
      <w:bookmarkEnd w:id="269"/>
      <w:bookmarkStart w:id="270" w:name="_Toc184310305"/>
      <w:bookmarkEnd w:id="270"/>
      <w:bookmarkStart w:id="271" w:name="_Toc184310309"/>
      <w:bookmarkEnd w:id="271"/>
      <w:bookmarkStart w:id="272" w:name="_Toc184310288"/>
      <w:bookmarkEnd w:id="272"/>
      <w:bookmarkStart w:id="273" w:name="_Toc184314436"/>
      <w:bookmarkEnd w:id="273"/>
      <w:bookmarkStart w:id="274" w:name="_Toc184312072"/>
      <w:bookmarkEnd w:id="274"/>
      <w:bookmarkStart w:id="275" w:name="_Toc184314466"/>
      <w:bookmarkEnd w:id="275"/>
      <w:bookmarkStart w:id="276" w:name="_Toc184314476"/>
      <w:bookmarkEnd w:id="276"/>
      <w:bookmarkStart w:id="277" w:name="_Toc184308073"/>
      <w:bookmarkEnd w:id="277"/>
      <w:bookmarkStart w:id="278" w:name="_Toc184314446"/>
      <w:bookmarkEnd w:id="278"/>
      <w:bookmarkStart w:id="279" w:name="_Toc184310334"/>
      <w:bookmarkEnd w:id="279"/>
      <w:bookmarkStart w:id="280" w:name="_Toc184308077"/>
      <w:bookmarkEnd w:id="280"/>
      <w:bookmarkStart w:id="281" w:name="_Toc184308099"/>
      <w:bookmarkEnd w:id="281"/>
      <w:bookmarkStart w:id="282" w:name="_Toc184308049"/>
      <w:bookmarkEnd w:id="282"/>
      <w:bookmarkStart w:id="283" w:name="_Toc184313280"/>
      <w:bookmarkEnd w:id="283"/>
      <w:bookmarkStart w:id="284" w:name="_Toc184310329"/>
      <w:bookmarkEnd w:id="284"/>
      <w:bookmarkStart w:id="285" w:name="_Toc184312114"/>
      <w:bookmarkEnd w:id="285"/>
      <w:bookmarkStart w:id="286" w:name="_Toc184314452"/>
      <w:bookmarkEnd w:id="286"/>
      <w:bookmarkStart w:id="287" w:name="_Toc184313258"/>
      <w:bookmarkEnd w:id="287"/>
      <w:bookmarkStart w:id="288" w:name="_Toc184312119"/>
      <w:bookmarkEnd w:id="288"/>
      <w:bookmarkStart w:id="289" w:name="_Toc184310315"/>
      <w:bookmarkEnd w:id="289"/>
      <w:bookmarkStart w:id="290" w:name="_Toc184313281"/>
      <w:bookmarkEnd w:id="290"/>
      <w:bookmarkStart w:id="291" w:name="_Toc184308046"/>
      <w:bookmarkEnd w:id="291"/>
      <w:bookmarkStart w:id="292" w:name="_Toc184312135"/>
      <w:bookmarkEnd w:id="292"/>
      <w:bookmarkStart w:id="293" w:name="_Toc184312125"/>
      <w:bookmarkEnd w:id="293"/>
      <w:bookmarkStart w:id="294" w:name="_Toc184313293"/>
      <w:bookmarkEnd w:id="294"/>
      <w:bookmarkStart w:id="295" w:name="_Toc184314413"/>
      <w:bookmarkEnd w:id="295"/>
      <w:bookmarkStart w:id="296" w:name="_Toc184314454"/>
      <w:bookmarkEnd w:id="296"/>
      <w:bookmarkStart w:id="297" w:name="_Toc184313288"/>
      <w:bookmarkEnd w:id="297"/>
      <w:bookmarkStart w:id="298" w:name="_Toc184312136"/>
      <w:bookmarkEnd w:id="298"/>
      <w:bookmarkStart w:id="299" w:name="_Toc184313251"/>
      <w:bookmarkEnd w:id="299"/>
      <w:bookmarkStart w:id="300" w:name="_Toc184313273"/>
      <w:bookmarkEnd w:id="300"/>
      <w:bookmarkStart w:id="301" w:name="_Toc184314435"/>
      <w:bookmarkEnd w:id="301"/>
      <w:bookmarkStart w:id="302" w:name="_Toc184310304"/>
      <w:bookmarkEnd w:id="302"/>
      <w:bookmarkStart w:id="303" w:name="_Toc184310322"/>
      <w:bookmarkEnd w:id="303"/>
      <w:bookmarkStart w:id="304" w:name="_Toc184308107"/>
      <w:bookmarkEnd w:id="304"/>
      <w:bookmarkStart w:id="305" w:name="_Toc184312090"/>
      <w:bookmarkEnd w:id="305"/>
      <w:bookmarkStart w:id="306" w:name="_Toc184310293"/>
      <w:bookmarkEnd w:id="306"/>
      <w:bookmarkStart w:id="307" w:name="_Toc184314437"/>
      <w:bookmarkEnd w:id="307"/>
      <w:bookmarkStart w:id="308" w:name="_Toc184310294"/>
      <w:bookmarkEnd w:id="308"/>
      <w:bookmarkStart w:id="309" w:name="_Toc184312098"/>
      <w:bookmarkEnd w:id="309"/>
      <w:bookmarkStart w:id="310" w:name="_Toc184312069"/>
      <w:bookmarkEnd w:id="310"/>
      <w:bookmarkStart w:id="311" w:name="_Toc184312118"/>
      <w:bookmarkEnd w:id="311"/>
      <w:bookmarkStart w:id="312" w:name="_Toc184314481"/>
      <w:bookmarkEnd w:id="312"/>
      <w:bookmarkStart w:id="313" w:name="_Toc184308054"/>
      <w:bookmarkEnd w:id="313"/>
      <w:bookmarkStart w:id="314" w:name="_Toc184313247"/>
      <w:bookmarkEnd w:id="314"/>
      <w:bookmarkStart w:id="315" w:name="_Toc184308080"/>
      <w:bookmarkEnd w:id="315"/>
      <w:bookmarkStart w:id="316" w:name="_Toc184312126"/>
      <w:bookmarkEnd w:id="316"/>
      <w:bookmarkStart w:id="317" w:name="_Toc184313279"/>
      <w:bookmarkEnd w:id="317"/>
      <w:bookmarkStart w:id="318" w:name="_Toc184308072"/>
      <w:bookmarkEnd w:id="318"/>
      <w:bookmarkStart w:id="319" w:name="_Toc184312103"/>
      <w:bookmarkEnd w:id="319"/>
      <w:bookmarkStart w:id="320" w:name="_Toc184310280"/>
      <w:bookmarkEnd w:id="320"/>
      <w:bookmarkStart w:id="321" w:name="_Toc184308051"/>
      <w:bookmarkEnd w:id="321"/>
      <w:bookmarkStart w:id="322" w:name="_Toc184312122"/>
      <w:bookmarkEnd w:id="322"/>
      <w:bookmarkStart w:id="323" w:name="_Toc184313253"/>
      <w:bookmarkEnd w:id="323"/>
      <w:bookmarkStart w:id="324" w:name="_Toc184313240"/>
      <w:bookmarkEnd w:id="324"/>
      <w:bookmarkStart w:id="325" w:name="_Toc184310321"/>
      <w:bookmarkEnd w:id="325"/>
      <w:bookmarkStart w:id="326" w:name="_Toc184314427"/>
      <w:bookmarkEnd w:id="326"/>
      <w:bookmarkStart w:id="327" w:name="_Toc184314448"/>
      <w:bookmarkEnd w:id="327"/>
      <w:bookmarkStart w:id="328" w:name="_Toc184313305"/>
      <w:bookmarkEnd w:id="328"/>
      <w:bookmarkStart w:id="329" w:name="_Toc184314441"/>
      <w:bookmarkEnd w:id="329"/>
      <w:bookmarkStart w:id="330" w:name="_Toc184308056"/>
      <w:bookmarkEnd w:id="330"/>
      <w:bookmarkStart w:id="331" w:name="_Toc184308058"/>
      <w:bookmarkEnd w:id="331"/>
      <w:bookmarkStart w:id="332" w:name="_Toc184310286"/>
      <w:bookmarkEnd w:id="332"/>
      <w:bookmarkStart w:id="333" w:name="_Toc184310340"/>
      <w:bookmarkEnd w:id="333"/>
      <w:bookmarkStart w:id="334" w:name="_Toc184308036"/>
      <w:bookmarkEnd w:id="334"/>
      <w:bookmarkStart w:id="335" w:name="_Toc184310313"/>
      <w:bookmarkEnd w:id="335"/>
      <w:bookmarkStart w:id="336" w:name="_Toc184308070"/>
      <w:bookmarkEnd w:id="336"/>
      <w:bookmarkStart w:id="337" w:name="_Toc184312105"/>
      <w:bookmarkEnd w:id="337"/>
      <w:bookmarkStart w:id="338" w:name="_Toc184310327"/>
      <w:bookmarkEnd w:id="338"/>
      <w:bookmarkStart w:id="339" w:name="_Toc184312080"/>
      <w:bookmarkEnd w:id="339"/>
      <w:bookmarkStart w:id="340" w:name="_Toc184310310"/>
      <w:bookmarkEnd w:id="340"/>
      <w:bookmarkStart w:id="341" w:name="_Toc184308097"/>
      <w:bookmarkEnd w:id="341"/>
      <w:bookmarkStart w:id="342" w:name="_Toc184312124"/>
      <w:bookmarkEnd w:id="342"/>
      <w:bookmarkStart w:id="343" w:name="_Toc184310302"/>
      <w:bookmarkEnd w:id="343"/>
      <w:bookmarkStart w:id="344" w:name="_Toc184312101"/>
      <w:bookmarkEnd w:id="344"/>
      <w:bookmarkStart w:id="345" w:name="_Toc184314469"/>
      <w:bookmarkEnd w:id="345"/>
      <w:bookmarkStart w:id="346" w:name="_Toc184313278"/>
      <w:bookmarkEnd w:id="346"/>
      <w:bookmarkStart w:id="347" w:name="_Toc184308101"/>
      <w:bookmarkEnd w:id="347"/>
      <w:bookmarkStart w:id="348" w:name="_Toc184312133"/>
      <w:bookmarkEnd w:id="348"/>
      <w:bookmarkStart w:id="349" w:name="_Toc184313286"/>
      <w:bookmarkEnd w:id="349"/>
      <w:bookmarkStart w:id="350" w:name="_Toc184310298"/>
      <w:bookmarkEnd w:id="350"/>
      <w:bookmarkStart w:id="351" w:name="_Toc184313249"/>
      <w:bookmarkEnd w:id="351"/>
      <w:bookmarkStart w:id="352" w:name="_Toc184308092"/>
      <w:bookmarkEnd w:id="352"/>
      <w:bookmarkStart w:id="353" w:name="_Toc184310336"/>
      <w:bookmarkEnd w:id="353"/>
      <w:bookmarkStart w:id="354" w:name="_Toc184314429"/>
      <w:bookmarkEnd w:id="354"/>
      <w:bookmarkStart w:id="355" w:name="_Toc184312128"/>
      <w:bookmarkEnd w:id="355"/>
      <w:bookmarkStart w:id="356" w:name="_Toc184313276"/>
      <w:bookmarkEnd w:id="356"/>
      <w:bookmarkStart w:id="357" w:name="_Toc184314464"/>
      <w:bookmarkEnd w:id="357"/>
      <w:bookmarkStart w:id="358" w:name="_Toc184314455"/>
      <w:bookmarkEnd w:id="358"/>
      <w:bookmarkStart w:id="359" w:name="_Toc184310332"/>
      <w:bookmarkEnd w:id="359"/>
      <w:bookmarkStart w:id="360" w:name="_Toc184312131"/>
      <w:bookmarkEnd w:id="360"/>
      <w:bookmarkStart w:id="361" w:name="_Toc184313309"/>
      <w:bookmarkEnd w:id="361"/>
      <w:bookmarkStart w:id="362" w:name="_Toc184313302"/>
      <w:bookmarkEnd w:id="362"/>
      <w:bookmarkStart w:id="363" w:name="_Toc184313296"/>
      <w:bookmarkEnd w:id="363"/>
      <w:bookmarkStart w:id="364" w:name="_Toc184308074"/>
      <w:bookmarkEnd w:id="364"/>
      <w:bookmarkStart w:id="365" w:name="_Toc184308053"/>
      <w:bookmarkEnd w:id="365"/>
      <w:bookmarkStart w:id="366" w:name="_Toc184313287"/>
      <w:bookmarkEnd w:id="366"/>
      <w:bookmarkStart w:id="367" w:name="_Toc184308068"/>
      <w:bookmarkEnd w:id="367"/>
      <w:bookmarkStart w:id="368" w:name="_Toc184312070"/>
      <w:bookmarkEnd w:id="368"/>
      <w:bookmarkStart w:id="369" w:name="_Toc184312110"/>
      <w:bookmarkEnd w:id="369"/>
      <w:bookmarkStart w:id="370" w:name="_Toc184313268"/>
      <w:bookmarkEnd w:id="370"/>
      <w:bookmarkStart w:id="371" w:name="_Toc184310320"/>
      <w:bookmarkEnd w:id="371"/>
      <w:bookmarkStart w:id="372" w:name="_Toc184310306"/>
      <w:bookmarkEnd w:id="372"/>
      <w:bookmarkStart w:id="373" w:name="_Toc184314426"/>
      <w:bookmarkEnd w:id="373"/>
      <w:bookmarkStart w:id="374" w:name="_Toc184308045"/>
      <w:bookmarkEnd w:id="374"/>
      <w:bookmarkStart w:id="375" w:name="_Toc184314471"/>
      <w:bookmarkEnd w:id="375"/>
      <w:bookmarkStart w:id="376" w:name="_Toc184310300"/>
      <w:bookmarkEnd w:id="376"/>
      <w:bookmarkStart w:id="377" w:name="_Toc184310295"/>
      <w:bookmarkEnd w:id="377"/>
      <w:bookmarkStart w:id="378" w:name="_Toc184308060"/>
      <w:bookmarkEnd w:id="378"/>
      <w:bookmarkStart w:id="379" w:name="_Toc184310282"/>
      <w:bookmarkEnd w:id="379"/>
      <w:bookmarkStart w:id="380" w:name="_Toc184313283"/>
      <w:bookmarkEnd w:id="380"/>
      <w:bookmarkStart w:id="381" w:name="_Toc184308069"/>
      <w:bookmarkEnd w:id="381"/>
      <w:bookmarkStart w:id="382" w:name="_Toc184313292"/>
      <w:bookmarkEnd w:id="382"/>
      <w:bookmarkStart w:id="383" w:name="_Toc184310343"/>
      <w:bookmarkEnd w:id="383"/>
      <w:bookmarkStart w:id="384" w:name="_Toc184314430"/>
      <w:bookmarkEnd w:id="384"/>
      <w:bookmarkStart w:id="385" w:name="_Toc184308093"/>
      <w:bookmarkEnd w:id="385"/>
      <w:bookmarkStart w:id="386" w:name="_Toc184313271"/>
      <w:bookmarkEnd w:id="386"/>
      <w:bookmarkStart w:id="387" w:name="_Toc184313255"/>
      <w:bookmarkEnd w:id="387"/>
      <w:bookmarkStart w:id="388" w:name="_Toc184310281"/>
      <w:bookmarkEnd w:id="388"/>
      <w:bookmarkStart w:id="389" w:name="_Toc184313252"/>
      <w:bookmarkEnd w:id="389"/>
      <w:bookmarkStart w:id="390" w:name="_Toc184312107"/>
      <w:bookmarkEnd w:id="390"/>
      <w:bookmarkStart w:id="391" w:name="_Toc184308082"/>
      <w:bookmarkEnd w:id="391"/>
      <w:bookmarkStart w:id="392" w:name="_Toc184310292"/>
      <w:bookmarkEnd w:id="392"/>
      <w:bookmarkStart w:id="393" w:name="_Toc184313291"/>
      <w:bookmarkEnd w:id="393"/>
      <w:bookmarkStart w:id="394" w:name="_Toc184308063"/>
      <w:bookmarkEnd w:id="394"/>
      <w:bookmarkStart w:id="395" w:name="_Toc184314451"/>
      <w:bookmarkEnd w:id="395"/>
      <w:bookmarkStart w:id="396" w:name="_Toc184313275"/>
      <w:bookmarkEnd w:id="396"/>
      <w:bookmarkStart w:id="397" w:name="_Toc184313284"/>
      <w:bookmarkEnd w:id="397"/>
      <w:bookmarkStart w:id="398" w:name="_Toc184308052"/>
      <w:bookmarkEnd w:id="398"/>
      <w:bookmarkStart w:id="399" w:name="_Toc184313269"/>
      <w:bookmarkEnd w:id="399"/>
      <w:bookmarkStart w:id="400" w:name="_Toc184308050"/>
      <w:bookmarkEnd w:id="400"/>
      <w:bookmarkStart w:id="401" w:name="_Toc184312115"/>
      <w:bookmarkEnd w:id="401"/>
      <w:r>
        <w:rPr>
          <w:rFonts w:hint="eastAsia" w:cs="宋体" w:asciiTheme="minorEastAsia" w:hAnsiTheme="minorEastAsia" w:eastAsiaTheme="minorEastAsia"/>
          <w:b/>
          <w:sz w:val="36"/>
          <w:szCs w:val="36"/>
          <w:highlight w:val="none"/>
        </w:rPr>
        <w:t>评标办法</w:t>
      </w:r>
    </w:p>
    <w:p>
      <w:pPr>
        <w:snapToGrid w:val="0"/>
        <w:spacing w:line="360" w:lineRule="auto"/>
        <w:jc w:val="center"/>
        <w:rPr>
          <w:rFonts w:cs="宋体" w:asciiTheme="minorEastAsia" w:hAnsiTheme="minorEastAsia" w:eastAsiaTheme="minorEastAsia"/>
          <w:sz w:val="20"/>
          <w:szCs w:val="20"/>
          <w:highlight w:val="none"/>
          <w:shd w:val="clear" w:color="auto" w:fill="FFFFFF"/>
        </w:rPr>
      </w:pPr>
      <w:r>
        <w:rPr>
          <w:rFonts w:hint="eastAsia" w:cs="宋体" w:asciiTheme="minorEastAsia" w:hAnsiTheme="minorEastAsia" w:eastAsiaTheme="minorEastAsia"/>
          <w:b/>
          <w:sz w:val="32"/>
          <w:szCs w:val="20"/>
          <w:highlight w:val="none"/>
        </w:rPr>
        <w:t>评标办法前附表</w:t>
      </w:r>
    </w:p>
    <w:tbl>
      <w:tblPr>
        <w:tblStyle w:val="62"/>
        <w:tblW w:w="4975" w:type="pct"/>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1041"/>
        <w:gridCol w:w="4513"/>
        <w:gridCol w:w="1307"/>
        <w:gridCol w:w="237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70" w:hRule="atLeast"/>
        </w:trPr>
        <w:tc>
          <w:tcPr>
            <w:tcW w:w="563" w:type="pct"/>
            <w:tcBorders>
              <w:bottom w:val="single" w:color="000000" w:sz="8" w:space="0"/>
              <w:right w:val="single" w:color="000000" w:sz="8" w:space="0"/>
            </w:tcBorders>
            <w:shd w:val="clear" w:color="auto" w:fill="auto"/>
            <w:vAlign w:val="center"/>
          </w:tcPr>
          <w:p>
            <w:pPr>
              <w:widowControl/>
              <w:jc w:val="left"/>
              <w:textAlignment w:val="center"/>
              <w:rPr>
                <w:rFonts w:ascii="宋体" w:hAnsi="宋体" w:cs="宋体"/>
                <w:b/>
                <w:bCs/>
                <w:color w:val="auto"/>
                <w:sz w:val="22"/>
                <w:szCs w:val="22"/>
                <w:highlight w:val="none"/>
              </w:rPr>
            </w:pPr>
            <w:r>
              <w:rPr>
                <w:rFonts w:hint="eastAsia" w:ascii="宋体" w:hAnsi="宋体" w:cs="宋体"/>
                <w:b/>
                <w:bCs/>
                <w:color w:val="auto"/>
                <w:kern w:val="0"/>
                <w:sz w:val="22"/>
                <w:szCs w:val="22"/>
                <w:highlight w:val="none"/>
                <w:lang w:bidi="ar"/>
              </w:rPr>
              <w:t>序号</w:t>
            </w:r>
          </w:p>
        </w:tc>
        <w:tc>
          <w:tcPr>
            <w:tcW w:w="2441" w:type="pct"/>
            <w:tcBorders>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b/>
                <w:bCs/>
                <w:color w:val="auto"/>
                <w:sz w:val="24"/>
                <w:highlight w:val="none"/>
              </w:rPr>
            </w:pPr>
            <w:r>
              <w:rPr>
                <w:rFonts w:hint="eastAsia" w:ascii="宋体" w:hAnsi="宋体" w:cs="宋体"/>
                <w:b/>
                <w:bCs/>
                <w:color w:val="auto"/>
                <w:kern w:val="0"/>
                <w:sz w:val="24"/>
                <w:highlight w:val="none"/>
                <w:lang w:bidi="ar"/>
              </w:rPr>
              <w:t>评标标准</w:t>
            </w:r>
          </w:p>
        </w:tc>
        <w:tc>
          <w:tcPr>
            <w:tcW w:w="707" w:type="pct"/>
            <w:tcBorders>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b/>
                <w:bCs/>
                <w:color w:val="auto"/>
                <w:sz w:val="22"/>
                <w:szCs w:val="22"/>
                <w:highlight w:val="none"/>
              </w:rPr>
            </w:pPr>
            <w:r>
              <w:rPr>
                <w:rFonts w:hint="eastAsia" w:ascii="宋体" w:hAnsi="宋体" w:cs="宋体"/>
                <w:b/>
                <w:bCs/>
                <w:color w:val="auto"/>
                <w:kern w:val="0"/>
                <w:sz w:val="22"/>
                <w:szCs w:val="22"/>
                <w:highlight w:val="none"/>
                <w:lang w:bidi="ar"/>
              </w:rPr>
              <w:t>权重</w:t>
            </w:r>
          </w:p>
        </w:tc>
        <w:tc>
          <w:tcPr>
            <w:tcW w:w="1287" w:type="pct"/>
            <w:tcBorders>
              <w:left w:val="single" w:color="000000" w:sz="8" w:space="0"/>
              <w:bottom w:val="single" w:color="000000" w:sz="8" w:space="0"/>
            </w:tcBorders>
            <w:shd w:val="clear" w:color="auto" w:fill="auto"/>
            <w:vAlign w:val="center"/>
          </w:tcPr>
          <w:p>
            <w:pPr>
              <w:widowControl/>
              <w:jc w:val="left"/>
              <w:textAlignment w:val="center"/>
              <w:rPr>
                <w:rFonts w:ascii="宋体" w:hAnsi="宋体" w:cs="宋体"/>
                <w:b/>
                <w:bCs/>
                <w:color w:val="auto"/>
                <w:sz w:val="22"/>
                <w:szCs w:val="22"/>
                <w:highlight w:val="none"/>
              </w:rPr>
            </w:pPr>
            <w:r>
              <w:rPr>
                <w:rFonts w:hint="eastAsia" w:ascii="宋体" w:hAnsi="宋体" w:cs="宋体"/>
                <w:b/>
                <w:bCs/>
                <w:color w:val="auto"/>
                <w:kern w:val="0"/>
                <w:sz w:val="22"/>
                <w:szCs w:val="22"/>
                <w:highlight w:val="none"/>
                <w:lang w:bidi="ar"/>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restart"/>
            <w:tcBorders>
              <w:top w:val="single" w:color="000000" w:sz="8" w:space="0"/>
              <w:right w:val="single" w:color="000000" w:sz="8" w:space="0"/>
            </w:tcBorders>
            <w:shd w:val="clear" w:color="auto" w:fill="auto"/>
            <w:vAlign w:val="center"/>
          </w:tcPr>
          <w:p>
            <w:pPr>
              <w:widowControl/>
              <w:jc w:val="center"/>
              <w:rPr>
                <w:rFonts w:hint="default" w:ascii="宋体" w:hAnsi="宋体" w:cs="宋体"/>
                <w:color w:val="auto"/>
                <w:sz w:val="24"/>
                <w:highlight w:val="none"/>
                <w:lang w:val="en-US"/>
              </w:rPr>
            </w:pPr>
            <w:r>
              <w:rPr>
                <w:rFonts w:hint="default" w:ascii="宋体" w:hAnsi="宋体" w:cs="宋体"/>
                <w:color w:val="auto"/>
                <w:sz w:val="24"/>
                <w:highlight w:val="none"/>
                <w:lang w:val="en-US"/>
              </w:rPr>
              <w:t>1</w:t>
            </w:r>
          </w:p>
        </w:tc>
        <w:tc>
          <w:tcPr>
            <w:tcW w:w="2441" w:type="pct"/>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auto"/>
                <w:sz w:val="24"/>
                <w:highlight w:val="none"/>
                <w:lang w:val="en-US" w:eastAsia="zh-CN"/>
              </w:rPr>
            </w:pPr>
            <w:r>
              <w:rPr>
                <w:rFonts w:hint="eastAsia" w:ascii="宋体" w:hAnsi="宋体" w:cs="宋体"/>
                <w:color w:val="auto"/>
                <w:kern w:val="0"/>
                <w:sz w:val="24"/>
                <w:highlight w:val="none"/>
                <w:lang w:bidi="ar"/>
              </w:rPr>
              <w:t>投标人对项目建设目标准确的理解和阐述，包括对西湖区当前“一体化智治平台二期”处理现状和需求的理解分析程度</w:t>
            </w:r>
            <w:r>
              <w:rPr>
                <w:rFonts w:hint="eastAsia" w:ascii="宋体" w:hAnsi="宋体" w:cs="宋体"/>
                <w:color w:val="auto"/>
                <w:kern w:val="0"/>
                <w:sz w:val="24"/>
                <w:highlight w:val="none"/>
                <w:lang w:val="en-US" w:eastAsia="zh-CN" w:bidi="ar"/>
              </w:rPr>
              <w:t>。完全</w:t>
            </w:r>
            <w:r>
              <w:rPr>
                <w:rFonts w:hint="eastAsia" w:ascii="宋体" w:hAnsi="宋体" w:cs="宋体"/>
                <w:color w:val="auto"/>
                <w:kern w:val="0"/>
                <w:sz w:val="24"/>
                <w:highlight w:val="none"/>
                <w:lang w:bidi="ar"/>
              </w:rPr>
              <w:t>符合采购需求的得</w:t>
            </w:r>
            <w:r>
              <w:rPr>
                <w:rFonts w:hint="default" w:ascii="宋体" w:hAnsi="宋体" w:cs="宋体"/>
                <w:color w:val="auto"/>
                <w:kern w:val="0"/>
                <w:sz w:val="24"/>
                <w:highlight w:val="none"/>
                <w:lang w:val="en-US" w:eastAsia="zh-CN" w:bidi="ar"/>
              </w:rPr>
              <w:t>4</w:t>
            </w:r>
            <w:r>
              <w:rPr>
                <w:rFonts w:hint="eastAsia" w:ascii="宋体" w:hAnsi="宋体" w:cs="宋体"/>
                <w:color w:val="auto"/>
                <w:kern w:val="0"/>
                <w:sz w:val="24"/>
                <w:highlight w:val="none"/>
                <w:lang w:bidi="ar"/>
              </w:rPr>
              <w:t>分，部分符合的得</w:t>
            </w:r>
            <w:r>
              <w:rPr>
                <w:rFonts w:hint="default" w:ascii="宋体" w:hAnsi="宋体" w:cs="宋体"/>
                <w:color w:val="auto"/>
                <w:kern w:val="0"/>
                <w:sz w:val="24"/>
                <w:highlight w:val="none"/>
                <w:lang w:val="en-US" w:bidi="ar"/>
              </w:rPr>
              <w:t>2</w:t>
            </w:r>
            <w:r>
              <w:rPr>
                <w:rFonts w:hint="eastAsia" w:ascii="宋体" w:hAnsi="宋体" w:cs="宋体"/>
                <w:color w:val="auto"/>
                <w:kern w:val="0"/>
                <w:sz w:val="24"/>
                <w:highlight w:val="none"/>
                <w:lang w:bidi="ar"/>
              </w:rPr>
              <w:t>分，不符合不得分。</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 w:val="24"/>
                <w:highlight w:val="none"/>
                <w:lang w:eastAsia="zh-CN"/>
              </w:rPr>
            </w:pPr>
            <w:r>
              <w:rPr>
                <w:rFonts w:hint="default" w:ascii="宋体" w:hAnsi="宋体" w:cs="宋体"/>
                <w:color w:val="auto"/>
                <w:kern w:val="0"/>
                <w:sz w:val="24"/>
                <w:highlight w:val="none"/>
                <w:lang w:val="en-US" w:eastAsia="zh-CN" w:bidi="ar"/>
              </w:rPr>
              <w:t>4</w:t>
            </w:r>
          </w:p>
        </w:tc>
        <w:tc>
          <w:tcPr>
            <w:tcW w:w="1287" w:type="pct"/>
            <w:vMerge w:val="restart"/>
            <w:tcBorders>
              <w:top w:val="single" w:color="000000" w:sz="8" w:space="0"/>
              <w:left w:val="single" w:color="000000" w:sz="8" w:space="0"/>
            </w:tcBorders>
            <w:shd w:val="clear" w:color="auto" w:fill="auto"/>
            <w:vAlign w:val="center"/>
          </w:tcPr>
          <w:p>
            <w:pPr>
              <w:widowControl/>
              <w:rPr>
                <w:rFonts w:ascii="宋体" w:hAnsi="宋体" w:cs="宋体"/>
                <w:color w:val="auto"/>
                <w:sz w:val="24"/>
                <w:highlight w:val="none"/>
              </w:rPr>
            </w:pPr>
            <w:r>
              <w:rPr>
                <w:rFonts w:hint="eastAsia" w:ascii="宋体" w:hAnsi="宋体" w:cs="宋体"/>
                <w:b/>
                <w:bCs/>
                <w:color w:val="auto"/>
                <w:kern w:val="0"/>
                <w:sz w:val="24"/>
                <w:lang w:bidi="ar"/>
              </w:rPr>
              <w:t>（一）投标总体方案的科学性和完整性</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continue"/>
            <w:tcBorders>
              <w:top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bidi="ar"/>
              </w:rPr>
              <w:t>建设方案的系统架构设计和功能实现的合理性等方面是否满足项目对应的需求</w:t>
            </w:r>
            <w:r>
              <w:rPr>
                <w:rFonts w:hint="eastAsia" w:ascii="宋体" w:hAnsi="宋体" w:cs="宋体"/>
                <w:color w:val="auto"/>
                <w:kern w:val="0"/>
                <w:sz w:val="24"/>
                <w:highlight w:val="none"/>
                <w:lang w:eastAsia="zh-CN" w:bidi="ar"/>
              </w:rPr>
              <w:t>。完全</w:t>
            </w:r>
            <w:r>
              <w:rPr>
                <w:rFonts w:hint="eastAsia" w:ascii="宋体" w:hAnsi="宋体" w:cs="宋体"/>
                <w:color w:val="auto"/>
                <w:kern w:val="0"/>
                <w:sz w:val="24"/>
                <w:highlight w:val="none"/>
                <w:lang w:bidi="ar"/>
              </w:rPr>
              <w:t>符合采购需求的得</w:t>
            </w:r>
            <w:r>
              <w:rPr>
                <w:rFonts w:hint="default" w:ascii="宋体" w:hAnsi="宋体" w:cs="宋体"/>
                <w:color w:val="auto"/>
                <w:kern w:val="0"/>
                <w:sz w:val="24"/>
                <w:highlight w:val="none"/>
                <w:lang w:val="en-US" w:eastAsia="zh-CN" w:bidi="ar"/>
              </w:rPr>
              <w:t>4</w:t>
            </w:r>
            <w:r>
              <w:rPr>
                <w:rFonts w:hint="eastAsia" w:ascii="宋体" w:hAnsi="宋体" w:cs="宋体"/>
                <w:color w:val="auto"/>
                <w:kern w:val="0"/>
                <w:sz w:val="24"/>
                <w:highlight w:val="none"/>
                <w:lang w:bidi="ar"/>
              </w:rPr>
              <w:t>分，部分符合的得</w:t>
            </w:r>
            <w:r>
              <w:rPr>
                <w:rFonts w:hint="default" w:ascii="宋体" w:hAnsi="宋体" w:cs="宋体"/>
                <w:color w:val="auto"/>
                <w:kern w:val="0"/>
                <w:sz w:val="24"/>
                <w:highlight w:val="none"/>
                <w:lang w:val="en-US" w:bidi="ar"/>
              </w:rPr>
              <w:t>2</w:t>
            </w:r>
            <w:r>
              <w:rPr>
                <w:rFonts w:hint="eastAsia" w:ascii="宋体" w:hAnsi="宋体" w:cs="宋体"/>
                <w:color w:val="auto"/>
                <w:kern w:val="0"/>
                <w:sz w:val="24"/>
                <w:highlight w:val="none"/>
                <w:lang w:bidi="ar"/>
              </w:rPr>
              <w:t>分，不符合不得分。</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4</w:t>
            </w:r>
          </w:p>
        </w:tc>
        <w:tc>
          <w:tcPr>
            <w:tcW w:w="1287" w:type="pct"/>
            <w:vMerge w:val="continue"/>
            <w:tcBorders>
              <w:top w:val="single" w:color="000000" w:sz="8" w:space="0"/>
              <w:left w:val="single" w:color="000000" w:sz="8" w:space="0"/>
              <w:bottom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restart"/>
            <w:tcBorders>
              <w:top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w:t>
            </w: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cs="宋体"/>
                <w:color w:val="auto"/>
                <w:kern w:val="0"/>
                <w:sz w:val="24"/>
                <w:highlight w:val="none"/>
                <w:lang w:eastAsia="zh-CN" w:bidi="ar"/>
              </w:rPr>
            </w:pPr>
            <w:r>
              <w:rPr>
                <w:rFonts w:hint="eastAsia" w:ascii="宋体" w:hAnsi="宋体" w:cs="宋体"/>
                <w:b/>
                <w:bCs/>
                <w:color w:val="auto"/>
                <w:kern w:val="0"/>
                <w:sz w:val="24"/>
                <w:highlight w:val="none"/>
                <w:lang w:val="en-US" w:eastAsia="zh-CN" w:bidi="ar"/>
              </w:rPr>
              <w:t>政务中台</w:t>
            </w:r>
            <w:r>
              <w:rPr>
                <w:rFonts w:hint="eastAsia" w:ascii="宋体" w:hAnsi="宋体" w:cs="宋体"/>
                <w:color w:val="auto"/>
                <w:kern w:val="0"/>
                <w:sz w:val="24"/>
                <w:highlight w:val="none"/>
                <w:lang w:bidi="ar"/>
              </w:rPr>
              <w:t>建设需求的吻合程度</w:t>
            </w:r>
            <w:r>
              <w:rPr>
                <w:rFonts w:hint="eastAsia" w:ascii="宋体" w:hAnsi="宋体" w:cs="宋体"/>
                <w:color w:val="auto"/>
                <w:kern w:val="0"/>
                <w:sz w:val="24"/>
                <w:highlight w:val="none"/>
                <w:lang w:eastAsia="zh-CN" w:bidi="ar"/>
              </w:rPr>
              <w:t>：</w:t>
            </w:r>
          </w:p>
          <w:p>
            <w:pPr>
              <w:widowControl/>
              <w:textAlignment w:val="center"/>
              <w:rPr>
                <w:rFonts w:hint="eastAsia"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w:t>
            </w:r>
            <w:r>
              <w:rPr>
                <w:rFonts w:hint="default" w:ascii="宋体" w:hAnsi="宋体" w:cs="宋体"/>
                <w:color w:val="auto"/>
                <w:kern w:val="0"/>
                <w:sz w:val="24"/>
                <w:highlight w:val="none"/>
                <w:lang w:val="en-US" w:eastAsia="zh-CN" w:bidi="ar"/>
              </w:rPr>
              <w:t>1</w:t>
            </w:r>
            <w:r>
              <w:rPr>
                <w:rFonts w:hint="eastAsia" w:ascii="宋体" w:hAnsi="宋体" w:cs="宋体"/>
                <w:color w:val="auto"/>
                <w:kern w:val="0"/>
                <w:sz w:val="24"/>
                <w:highlight w:val="none"/>
                <w:lang w:val="en-US" w:eastAsia="zh-CN" w:bidi="ar"/>
              </w:rPr>
              <w:t>）</w:t>
            </w:r>
            <w:r>
              <w:rPr>
                <w:rFonts w:hint="eastAsia" w:ascii="宋体" w:hAnsi="宋体" w:cs="宋体"/>
                <w:color w:val="auto"/>
                <w:kern w:val="0"/>
                <w:sz w:val="24"/>
                <w:highlight w:val="none"/>
                <w:lang w:bidi="ar"/>
              </w:rPr>
              <w:t>政务中台集成平台</w:t>
            </w:r>
            <w:r>
              <w:rPr>
                <w:rFonts w:hint="eastAsia" w:ascii="宋体" w:hAnsi="宋体" w:cs="宋体"/>
                <w:color w:val="auto"/>
                <w:kern w:val="0"/>
                <w:sz w:val="24"/>
                <w:highlight w:val="none"/>
                <w:lang w:eastAsia="zh-CN" w:bidi="ar"/>
              </w:rPr>
              <w:t>：</w:t>
            </w:r>
            <w:r>
              <w:rPr>
                <w:rFonts w:hint="eastAsia" w:ascii="宋体" w:hAnsi="宋体" w:cs="宋体"/>
                <w:color w:val="auto"/>
                <w:kern w:val="0"/>
                <w:sz w:val="24"/>
                <w:highlight w:val="none"/>
                <w:lang w:val="en-US" w:eastAsia="zh-CN" w:bidi="ar"/>
              </w:rPr>
              <w:t>①政务中台门户②政务中台管理控制台；</w:t>
            </w:r>
          </w:p>
          <w:p>
            <w:pPr>
              <w:widowControl/>
              <w:textAlignment w:val="center"/>
              <w:rPr>
                <w:rFonts w:hint="eastAsia"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w:t>
            </w:r>
            <w:r>
              <w:rPr>
                <w:rFonts w:hint="default" w:ascii="宋体" w:hAnsi="宋体" w:cs="宋体"/>
                <w:color w:val="auto"/>
                <w:kern w:val="0"/>
                <w:sz w:val="24"/>
                <w:highlight w:val="none"/>
                <w:lang w:val="en-US" w:eastAsia="zh-CN" w:bidi="ar"/>
              </w:rPr>
              <w:t>2</w:t>
            </w:r>
            <w:r>
              <w:rPr>
                <w:rFonts w:hint="eastAsia" w:ascii="宋体" w:hAnsi="宋体" w:cs="宋体"/>
                <w:color w:val="auto"/>
                <w:kern w:val="0"/>
                <w:sz w:val="24"/>
                <w:highlight w:val="none"/>
                <w:lang w:val="en-US" w:eastAsia="zh-CN" w:bidi="ar"/>
              </w:rPr>
              <w:t>）协作中心</w:t>
            </w:r>
            <w:r>
              <w:rPr>
                <w:rFonts w:hint="eastAsia" w:ascii="宋体" w:hAnsi="宋体" w:cs="宋体"/>
                <w:color w:val="auto"/>
                <w:kern w:val="0"/>
                <w:sz w:val="24"/>
                <w:highlight w:val="none"/>
                <w:lang w:eastAsia="zh-CN" w:bidi="ar"/>
              </w:rPr>
              <w:t>：</w:t>
            </w:r>
            <w:r>
              <w:rPr>
                <w:rFonts w:hint="eastAsia" w:ascii="宋体" w:hAnsi="宋体" w:cs="宋体"/>
                <w:color w:val="auto"/>
                <w:kern w:val="0"/>
                <w:sz w:val="24"/>
                <w:highlight w:val="none"/>
                <w:lang w:val="en-US" w:eastAsia="zh-CN" w:bidi="ar"/>
              </w:rPr>
              <w:t>①</w:t>
            </w:r>
            <w:r>
              <w:rPr>
                <w:rFonts w:hint="eastAsia" w:ascii="宋体" w:hAnsi="宋体" w:cs="宋体"/>
                <w:color w:val="auto"/>
                <w:kern w:val="0"/>
                <w:sz w:val="24"/>
                <w:highlight w:val="none"/>
                <w:lang w:bidi="ar"/>
              </w:rPr>
              <w:t>码上服务码</w:t>
            </w:r>
            <w:r>
              <w:rPr>
                <w:rFonts w:hint="eastAsia" w:ascii="宋体" w:hAnsi="宋体" w:cs="宋体"/>
                <w:color w:val="auto"/>
                <w:kern w:val="0"/>
                <w:sz w:val="24"/>
                <w:highlight w:val="none"/>
                <w:lang w:val="en-US" w:eastAsia="zh-CN" w:bidi="ar"/>
              </w:rPr>
              <w:t>②</w:t>
            </w:r>
            <w:r>
              <w:rPr>
                <w:rFonts w:hint="eastAsia" w:ascii="宋体" w:hAnsi="宋体" w:cs="宋体"/>
                <w:color w:val="auto"/>
                <w:kern w:val="0"/>
                <w:sz w:val="24"/>
                <w:highlight w:val="none"/>
                <w:lang w:bidi="ar"/>
              </w:rPr>
              <w:t>码上服务台③队伍管理④指数罗盘</w:t>
            </w:r>
            <w:r>
              <w:rPr>
                <w:rFonts w:hint="eastAsia" w:ascii="宋体" w:hAnsi="宋体" w:cs="宋体"/>
                <w:color w:val="auto"/>
                <w:kern w:val="0"/>
                <w:sz w:val="24"/>
                <w:highlight w:val="none"/>
                <w:lang w:val="en-US" w:eastAsia="zh-CN" w:bidi="ar"/>
              </w:rPr>
              <w:t>⑤协作中心概况；</w:t>
            </w:r>
          </w:p>
          <w:p>
            <w:pPr>
              <w:widowControl/>
              <w:textAlignment w:val="center"/>
              <w:rPr>
                <w:rFonts w:hint="eastAsia" w:ascii="宋体" w:hAnsi="宋体" w:cs="宋体"/>
                <w:color w:val="auto"/>
                <w:kern w:val="0"/>
                <w:sz w:val="24"/>
                <w:highlight w:val="none"/>
                <w:lang w:eastAsia="zh-CN" w:bidi="ar"/>
              </w:rPr>
            </w:pPr>
            <w:r>
              <w:rPr>
                <w:rFonts w:hint="eastAsia" w:ascii="宋体" w:hAnsi="宋体" w:cs="宋体"/>
                <w:color w:val="auto"/>
                <w:kern w:val="0"/>
                <w:sz w:val="24"/>
                <w:highlight w:val="none"/>
                <w:lang w:val="en-US" w:eastAsia="zh-CN" w:bidi="ar"/>
              </w:rPr>
              <w:t>（</w:t>
            </w:r>
            <w:r>
              <w:rPr>
                <w:rFonts w:hint="default" w:ascii="宋体" w:hAnsi="宋体" w:cs="宋体"/>
                <w:color w:val="auto"/>
                <w:kern w:val="0"/>
                <w:sz w:val="24"/>
                <w:highlight w:val="none"/>
                <w:lang w:val="en-US" w:eastAsia="zh-CN" w:bidi="ar"/>
              </w:rPr>
              <w:t>3</w:t>
            </w:r>
            <w:r>
              <w:rPr>
                <w:rFonts w:hint="eastAsia" w:ascii="宋体" w:hAnsi="宋体" w:cs="宋体"/>
                <w:color w:val="auto"/>
                <w:kern w:val="0"/>
                <w:sz w:val="24"/>
                <w:highlight w:val="none"/>
                <w:lang w:val="en-US" w:eastAsia="zh-CN" w:bidi="ar"/>
              </w:rPr>
              <w:t>）发码中心：①发码中心首页②发码管理</w:t>
            </w:r>
            <w:r>
              <w:rPr>
                <w:rFonts w:hint="eastAsia" w:ascii="宋体" w:hAnsi="宋体" w:cs="宋体"/>
                <w:color w:val="auto"/>
                <w:kern w:val="0"/>
                <w:sz w:val="24"/>
                <w:highlight w:val="none"/>
                <w:lang w:bidi="ar"/>
              </w:rPr>
              <w:t>③</w:t>
            </w:r>
            <w:r>
              <w:rPr>
                <w:rFonts w:hint="eastAsia" w:ascii="宋体" w:hAnsi="宋体" w:cs="宋体"/>
                <w:color w:val="auto"/>
                <w:kern w:val="0"/>
                <w:sz w:val="24"/>
                <w:highlight w:val="none"/>
                <w:lang w:val="en-US" w:eastAsia="zh-CN" w:bidi="ar"/>
              </w:rPr>
              <w:t>扫码管理</w:t>
            </w:r>
            <w:r>
              <w:rPr>
                <w:rFonts w:hint="eastAsia" w:ascii="宋体" w:hAnsi="宋体" w:cs="宋体"/>
                <w:color w:val="auto"/>
                <w:kern w:val="0"/>
                <w:sz w:val="24"/>
                <w:highlight w:val="none"/>
                <w:lang w:bidi="ar"/>
              </w:rPr>
              <w:t>④</w:t>
            </w:r>
            <w:r>
              <w:rPr>
                <w:rFonts w:hint="eastAsia" w:ascii="宋体" w:hAnsi="宋体" w:cs="宋体"/>
                <w:color w:val="auto"/>
                <w:kern w:val="0"/>
                <w:sz w:val="24"/>
                <w:highlight w:val="none"/>
                <w:lang w:val="en-US" w:eastAsia="zh-CN" w:bidi="ar"/>
              </w:rPr>
              <w:t>二维码管理</w:t>
            </w:r>
            <w:r>
              <w:rPr>
                <w:rFonts w:hint="eastAsia" w:ascii="宋体" w:hAnsi="宋体" w:cs="宋体"/>
                <w:color w:val="auto"/>
                <w:kern w:val="0"/>
                <w:sz w:val="24"/>
                <w:highlight w:val="none"/>
                <w:lang w:bidi="ar"/>
              </w:rPr>
              <w:t>等功能需求</w:t>
            </w:r>
            <w:r>
              <w:rPr>
                <w:rFonts w:hint="eastAsia" w:ascii="宋体" w:hAnsi="宋体" w:cs="宋体"/>
                <w:color w:val="auto"/>
                <w:kern w:val="0"/>
                <w:sz w:val="24"/>
                <w:highlight w:val="none"/>
                <w:lang w:eastAsia="zh-CN" w:bidi="ar"/>
              </w:rPr>
              <w:t>。</w:t>
            </w:r>
          </w:p>
          <w:p>
            <w:pPr>
              <w:widowControl/>
              <w:textAlignment w:val="center"/>
              <w:rPr>
                <w:rFonts w:ascii="宋体" w:hAnsi="宋体" w:cs="宋体"/>
                <w:color w:val="auto"/>
                <w:sz w:val="24"/>
                <w:highlight w:val="none"/>
              </w:rPr>
            </w:pPr>
            <w:r>
              <w:rPr>
                <w:rFonts w:hint="default" w:ascii="宋体" w:hAnsi="宋体" w:eastAsia="宋体" w:cs="宋体"/>
                <w:color w:val="auto"/>
                <w:kern w:val="0"/>
                <w:sz w:val="24"/>
                <w:highlight w:val="none"/>
                <w:lang w:val="en-US" w:eastAsia="zh-CN" w:bidi="ar"/>
              </w:rPr>
              <w:t>以上内容完整合理、阐述详细视为满足采购需求，满足的每项得</w:t>
            </w:r>
            <w:r>
              <w:rPr>
                <w:rFonts w:hint="default" w:ascii="宋体" w:hAnsi="宋体" w:cs="宋体"/>
                <w:color w:val="auto"/>
                <w:kern w:val="0"/>
                <w:sz w:val="24"/>
                <w:highlight w:val="none"/>
                <w:lang w:val="en-US" w:eastAsia="zh-CN" w:bidi="ar"/>
              </w:rPr>
              <w:t>0.5</w:t>
            </w:r>
            <w:r>
              <w:rPr>
                <w:rFonts w:hint="default" w:ascii="宋体" w:hAnsi="宋体" w:eastAsia="宋体" w:cs="宋体"/>
                <w:color w:val="auto"/>
                <w:kern w:val="0"/>
                <w:sz w:val="24"/>
                <w:highlight w:val="none"/>
                <w:lang w:val="en-US" w:eastAsia="zh-CN" w:bidi="ar"/>
              </w:rPr>
              <w:t>分，不满足的每项不得分</w:t>
            </w:r>
            <w:r>
              <w:rPr>
                <w:rFonts w:hint="eastAsia" w:ascii="宋体" w:hAnsi="宋体" w:cs="宋体"/>
                <w:color w:val="auto"/>
                <w:kern w:val="0"/>
                <w:sz w:val="24"/>
                <w:highlight w:val="none"/>
                <w:lang w:val="en-US" w:eastAsia="zh-CN" w:bidi="ar"/>
              </w:rPr>
              <w:t>，共</w:t>
            </w:r>
            <w:r>
              <w:rPr>
                <w:rFonts w:hint="default" w:ascii="宋体" w:hAnsi="宋体" w:cs="宋体"/>
                <w:color w:val="auto"/>
                <w:kern w:val="0"/>
                <w:sz w:val="24"/>
                <w:highlight w:val="none"/>
                <w:lang w:val="en-US" w:eastAsia="zh-CN" w:bidi="ar"/>
              </w:rPr>
              <w:t>5.5</w:t>
            </w:r>
            <w:r>
              <w:rPr>
                <w:rFonts w:hint="eastAsia" w:ascii="宋体" w:hAnsi="宋体" w:cs="宋体"/>
                <w:color w:val="auto"/>
                <w:kern w:val="0"/>
                <w:sz w:val="24"/>
                <w:highlight w:val="none"/>
                <w:lang w:val="en-US" w:eastAsia="zh-CN" w:bidi="ar"/>
              </w:rPr>
              <w:t>分。</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default" w:ascii="宋体" w:hAnsi="宋体" w:cs="宋体"/>
                <w:color w:val="auto"/>
                <w:sz w:val="24"/>
                <w:highlight w:val="none"/>
                <w:lang w:val="en-US"/>
              </w:rPr>
            </w:pPr>
            <w:r>
              <w:rPr>
                <w:rFonts w:hint="default" w:ascii="宋体" w:hAnsi="宋体" w:cs="宋体"/>
                <w:color w:val="auto"/>
                <w:kern w:val="0"/>
                <w:sz w:val="24"/>
                <w:highlight w:val="none"/>
                <w:lang w:val="en-US" w:bidi="ar"/>
              </w:rPr>
              <w:t>5.5</w:t>
            </w:r>
          </w:p>
        </w:tc>
        <w:tc>
          <w:tcPr>
            <w:tcW w:w="1287" w:type="pct"/>
            <w:vMerge w:val="restart"/>
            <w:tcBorders>
              <w:top w:val="single" w:color="000000" w:sz="8" w:space="0"/>
              <w:left w:val="single" w:color="000000" w:sz="8"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b/>
                <w:bCs/>
                <w:color w:val="auto"/>
                <w:kern w:val="0"/>
                <w:sz w:val="24"/>
                <w:highlight w:val="none"/>
                <w:lang w:bidi="ar"/>
              </w:rPr>
              <w:t>（二）投标产品与需求的吻合程度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113" w:hRule="atLeast"/>
        </w:trPr>
        <w:tc>
          <w:tcPr>
            <w:tcW w:w="563" w:type="pct"/>
            <w:vMerge w:val="continue"/>
            <w:tcBorders>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nil"/>
              <w:left w:val="single" w:color="000000" w:sz="8" w:space="0"/>
              <w:bottom w:val="single" w:color="auto" w:sz="4" w:space="0"/>
              <w:right w:val="single" w:color="000000" w:sz="8" w:space="0"/>
            </w:tcBorders>
            <w:shd w:val="clear" w:color="auto" w:fill="auto"/>
            <w:vAlign w:val="center"/>
          </w:tcPr>
          <w:p>
            <w:pPr>
              <w:widowControl/>
              <w:textAlignment w:val="center"/>
              <w:rPr>
                <w:rFonts w:hint="eastAsia" w:ascii="宋体" w:hAnsi="宋体" w:eastAsia="宋体" w:cs="宋体"/>
                <w:color w:val="auto"/>
                <w:kern w:val="0"/>
                <w:sz w:val="24"/>
                <w:highlight w:val="none"/>
                <w:lang w:eastAsia="zh-CN" w:bidi="ar"/>
              </w:rPr>
            </w:pPr>
            <w:r>
              <w:rPr>
                <w:rFonts w:hint="eastAsia" w:ascii="宋体" w:hAnsi="宋体" w:cs="宋体"/>
                <w:b/>
                <w:bCs/>
                <w:color w:val="auto"/>
                <w:kern w:val="0"/>
                <w:sz w:val="24"/>
                <w:highlight w:val="none"/>
                <w:lang w:bidi="ar"/>
              </w:rPr>
              <w:t>基层智治领导驾驶舱</w:t>
            </w:r>
            <w:r>
              <w:rPr>
                <w:rFonts w:hint="eastAsia" w:ascii="宋体" w:hAnsi="宋体" w:cs="宋体"/>
                <w:color w:val="auto"/>
                <w:kern w:val="0"/>
                <w:sz w:val="24"/>
                <w:highlight w:val="none"/>
                <w:lang w:bidi="ar"/>
              </w:rPr>
              <w:t>建设需求的吻合程度</w:t>
            </w:r>
            <w:r>
              <w:rPr>
                <w:rFonts w:hint="eastAsia" w:ascii="宋体" w:hAnsi="宋体" w:cs="宋体"/>
                <w:color w:val="auto"/>
                <w:kern w:val="0"/>
                <w:sz w:val="24"/>
                <w:highlight w:val="none"/>
                <w:lang w:eastAsia="zh-CN" w:bidi="ar"/>
              </w:rPr>
              <w:t>：</w:t>
            </w:r>
          </w:p>
          <w:p>
            <w:pPr>
              <w:widowControl/>
              <w:textAlignment w:val="center"/>
              <w:rPr>
                <w:rFonts w:hint="eastAsia" w:ascii="宋体" w:hAnsi="宋体" w:cs="宋体"/>
                <w:color w:val="auto"/>
                <w:kern w:val="0"/>
                <w:sz w:val="24"/>
                <w:highlight w:val="none"/>
                <w:lang w:eastAsia="zh-CN" w:bidi="ar"/>
              </w:rPr>
            </w:pPr>
            <w:r>
              <w:rPr>
                <w:rFonts w:hint="eastAsia" w:ascii="宋体" w:hAnsi="宋体" w:cs="宋体"/>
                <w:color w:val="auto"/>
                <w:kern w:val="0"/>
                <w:sz w:val="24"/>
                <w:highlight w:val="none"/>
                <w:lang w:val="en-US" w:eastAsia="zh-CN" w:bidi="ar"/>
              </w:rPr>
              <w:t>（</w:t>
            </w:r>
            <w:r>
              <w:rPr>
                <w:rFonts w:hint="default" w:ascii="宋体" w:hAnsi="宋体" w:cs="宋体"/>
                <w:color w:val="auto"/>
                <w:kern w:val="0"/>
                <w:sz w:val="24"/>
                <w:highlight w:val="none"/>
                <w:lang w:val="en-US" w:eastAsia="zh-CN" w:bidi="ar"/>
              </w:rPr>
              <w:t>1</w:t>
            </w:r>
            <w:r>
              <w:rPr>
                <w:rFonts w:hint="eastAsia" w:ascii="宋体" w:hAnsi="宋体" w:cs="宋体"/>
                <w:color w:val="auto"/>
                <w:kern w:val="0"/>
                <w:sz w:val="24"/>
                <w:highlight w:val="none"/>
                <w:lang w:val="en-US" w:eastAsia="zh-CN" w:bidi="ar"/>
              </w:rPr>
              <w:t>）</w:t>
            </w:r>
            <w:r>
              <w:rPr>
                <w:rFonts w:hint="eastAsia" w:ascii="宋体" w:hAnsi="宋体" w:cs="宋体"/>
                <w:color w:val="auto"/>
                <w:kern w:val="0"/>
                <w:sz w:val="24"/>
                <w:highlight w:val="none"/>
                <w:lang w:bidi="ar"/>
              </w:rPr>
              <w:t>四条跑道综合领导驾驶舱</w:t>
            </w:r>
            <w:r>
              <w:rPr>
                <w:rFonts w:hint="eastAsia" w:ascii="宋体" w:hAnsi="宋体" w:cs="宋体"/>
                <w:color w:val="auto"/>
                <w:kern w:val="0"/>
                <w:sz w:val="24"/>
                <w:highlight w:val="none"/>
                <w:lang w:eastAsia="zh-CN" w:bidi="ar"/>
              </w:rPr>
              <w:t>：</w:t>
            </w:r>
            <w:r>
              <w:rPr>
                <w:rFonts w:hint="eastAsia" w:ascii="宋体" w:hAnsi="宋体" w:cs="宋体"/>
                <w:color w:val="auto"/>
                <w:kern w:val="0"/>
                <w:sz w:val="24"/>
                <w:highlight w:val="none"/>
                <w:lang w:bidi="ar"/>
              </w:rPr>
              <w:t>①贯通总览②贯通清单③跑道应用④地图展示</w:t>
            </w:r>
            <w:r>
              <w:rPr>
                <w:rFonts w:hint="eastAsia" w:ascii="宋体" w:hAnsi="宋体" w:cs="宋体"/>
                <w:color w:val="auto"/>
                <w:kern w:val="0"/>
                <w:sz w:val="24"/>
                <w:highlight w:val="none"/>
                <w:lang w:eastAsia="zh-CN" w:bidi="ar"/>
              </w:rPr>
              <w:t>；</w:t>
            </w:r>
          </w:p>
          <w:p>
            <w:pPr>
              <w:widowControl/>
              <w:textAlignment w:val="center"/>
              <w:rPr>
                <w:rFonts w:hint="eastAsia" w:ascii="宋体" w:hAnsi="宋体" w:eastAsia="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w:t>
            </w:r>
            <w:r>
              <w:rPr>
                <w:rFonts w:hint="default" w:ascii="宋体" w:hAnsi="宋体" w:cs="宋体"/>
                <w:color w:val="auto"/>
                <w:kern w:val="0"/>
                <w:sz w:val="24"/>
                <w:highlight w:val="none"/>
                <w:lang w:val="en-US" w:eastAsia="zh-CN" w:bidi="ar"/>
              </w:rPr>
              <w:t>2</w:t>
            </w:r>
            <w:r>
              <w:rPr>
                <w:rFonts w:hint="eastAsia" w:ascii="宋体" w:hAnsi="宋体" w:cs="宋体"/>
                <w:color w:val="auto"/>
                <w:kern w:val="0"/>
                <w:sz w:val="24"/>
                <w:highlight w:val="none"/>
                <w:lang w:val="en-US" w:eastAsia="zh-CN" w:bidi="ar"/>
              </w:rPr>
              <w:t>）</w:t>
            </w:r>
            <w:r>
              <w:rPr>
                <w:rFonts w:hint="eastAsia" w:ascii="宋体" w:hAnsi="宋体" w:cs="宋体"/>
                <w:color w:val="auto"/>
                <w:kern w:val="0"/>
                <w:sz w:val="24"/>
                <w:highlight w:val="none"/>
                <w:lang w:eastAsia="zh-CN" w:bidi="ar"/>
              </w:rPr>
              <w:t>平安法治领导驾驶舱：</w:t>
            </w:r>
            <w:r>
              <w:rPr>
                <w:rFonts w:hint="eastAsia" w:ascii="宋体" w:hAnsi="宋体" w:cs="宋体"/>
                <w:color w:val="auto"/>
                <w:kern w:val="0"/>
                <w:sz w:val="24"/>
                <w:highlight w:val="none"/>
                <w:lang w:bidi="ar"/>
              </w:rPr>
              <w:t>①风险排查|矛盾调处专题屏②分析研判专题屏③平安工作指标专题屏④协同流转专题屏等功能需求</w:t>
            </w:r>
            <w:r>
              <w:rPr>
                <w:rFonts w:hint="eastAsia" w:ascii="宋体" w:hAnsi="宋体" w:cs="宋体"/>
                <w:color w:val="auto"/>
                <w:kern w:val="0"/>
                <w:sz w:val="24"/>
                <w:highlight w:val="none"/>
                <w:lang w:val="en-US" w:eastAsia="zh-CN" w:bidi="ar"/>
              </w:rPr>
              <w:t>；</w:t>
            </w:r>
          </w:p>
          <w:p>
            <w:pPr>
              <w:widowControl/>
              <w:textAlignment w:val="center"/>
              <w:rPr>
                <w:color w:val="auto"/>
                <w:highlight w:val="none"/>
              </w:rPr>
            </w:pPr>
            <w:r>
              <w:rPr>
                <w:rFonts w:hint="default" w:ascii="宋体" w:hAnsi="宋体" w:eastAsia="宋体" w:cs="宋体"/>
                <w:color w:val="auto"/>
                <w:kern w:val="0"/>
                <w:sz w:val="24"/>
                <w:highlight w:val="none"/>
                <w:lang w:val="en-US" w:eastAsia="zh-CN" w:bidi="ar"/>
              </w:rPr>
              <w:t>以上内容完整合理、阐述详细视为满足采购需求，满足的每项得</w:t>
            </w:r>
            <w:r>
              <w:rPr>
                <w:rFonts w:hint="default" w:ascii="宋体" w:hAnsi="宋体" w:cs="宋体"/>
                <w:color w:val="auto"/>
                <w:kern w:val="0"/>
                <w:sz w:val="24"/>
                <w:highlight w:val="none"/>
                <w:lang w:val="en-US" w:eastAsia="zh-CN" w:bidi="ar"/>
              </w:rPr>
              <w:t>0.5</w:t>
            </w:r>
            <w:r>
              <w:rPr>
                <w:rFonts w:hint="default" w:ascii="宋体" w:hAnsi="宋体" w:eastAsia="宋体" w:cs="宋体"/>
                <w:color w:val="auto"/>
                <w:kern w:val="0"/>
                <w:sz w:val="24"/>
                <w:highlight w:val="none"/>
                <w:lang w:val="en-US" w:eastAsia="zh-CN" w:bidi="ar"/>
              </w:rPr>
              <w:t>分，不满足的</w:t>
            </w:r>
            <w:r>
              <w:rPr>
                <w:rFonts w:hint="eastAsia" w:ascii="宋体" w:hAnsi="宋体" w:cs="宋体"/>
                <w:color w:val="auto"/>
                <w:kern w:val="0"/>
                <w:sz w:val="24"/>
                <w:highlight w:val="none"/>
                <w:lang w:val="en-US" w:eastAsia="zh-CN" w:bidi="ar"/>
              </w:rPr>
              <w:t>每项</w:t>
            </w:r>
            <w:r>
              <w:rPr>
                <w:rFonts w:hint="default" w:ascii="宋体" w:hAnsi="宋体" w:eastAsia="宋体" w:cs="宋体"/>
                <w:color w:val="auto"/>
                <w:kern w:val="0"/>
                <w:sz w:val="24"/>
                <w:highlight w:val="none"/>
                <w:lang w:val="en-US" w:eastAsia="zh-CN" w:bidi="ar"/>
              </w:rPr>
              <w:t>不得分</w:t>
            </w:r>
            <w:r>
              <w:rPr>
                <w:rFonts w:hint="eastAsia" w:ascii="宋体" w:hAnsi="宋体" w:cs="宋体"/>
                <w:color w:val="auto"/>
                <w:kern w:val="0"/>
                <w:sz w:val="24"/>
                <w:highlight w:val="none"/>
                <w:lang w:val="en-US" w:eastAsia="zh-CN" w:bidi="ar"/>
              </w:rPr>
              <w:t>，共</w:t>
            </w:r>
            <w:r>
              <w:rPr>
                <w:rFonts w:hint="default" w:ascii="宋体" w:hAnsi="宋体" w:cs="宋体"/>
                <w:color w:val="auto"/>
                <w:kern w:val="0"/>
                <w:sz w:val="24"/>
                <w:highlight w:val="none"/>
                <w:lang w:val="en-US" w:eastAsia="zh-CN" w:bidi="ar"/>
              </w:rPr>
              <w:t>4</w:t>
            </w:r>
            <w:r>
              <w:rPr>
                <w:rFonts w:hint="eastAsia" w:ascii="宋体" w:hAnsi="宋体" w:cs="宋体"/>
                <w:color w:val="auto"/>
                <w:kern w:val="0"/>
                <w:sz w:val="24"/>
                <w:highlight w:val="none"/>
                <w:lang w:val="en-US" w:eastAsia="zh-CN" w:bidi="ar"/>
              </w:rPr>
              <w:t>分。</w:t>
            </w:r>
          </w:p>
        </w:tc>
        <w:tc>
          <w:tcPr>
            <w:tcW w:w="707" w:type="pct"/>
            <w:tcBorders>
              <w:top w:val="single" w:color="000000" w:sz="8"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default" w:ascii="宋体" w:hAnsi="宋体" w:cs="宋体"/>
                <w:color w:val="auto"/>
                <w:kern w:val="0"/>
                <w:sz w:val="24"/>
                <w:highlight w:val="none"/>
                <w:lang w:val="en-US" w:bidi="ar"/>
              </w:rPr>
              <w:t>4</w:t>
            </w:r>
          </w:p>
        </w:tc>
        <w:tc>
          <w:tcPr>
            <w:tcW w:w="1287" w:type="pct"/>
            <w:vMerge w:val="continue"/>
            <w:tcBorders>
              <w:left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113" w:hRule="atLeast"/>
        </w:trPr>
        <w:tc>
          <w:tcPr>
            <w:tcW w:w="563" w:type="pct"/>
            <w:vMerge w:val="continue"/>
            <w:tcBorders>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color w:val="auto"/>
                <w:kern w:val="0"/>
                <w:sz w:val="24"/>
                <w:highlight w:val="none"/>
                <w:lang w:eastAsia="zh-CN" w:bidi="ar"/>
              </w:rPr>
            </w:pPr>
            <w:r>
              <w:rPr>
                <w:rFonts w:hint="eastAsia" w:ascii="宋体" w:hAnsi="宋体" w:cs="宋体"/>
                <w:b/>
                <w:bCs/>
                <w:color w:val="auto"/>
                <w:kern w:val="0"/>
                <w:sz w:val="24"/>
                <w:highlight w:val="none"/>
                <w:lang w:bidi="ar"/>
              </w:rPr>
              <w:t>基层智治综合应用</w:t>
            </w:r>
            <w:r>
              <w:rPr>
                <w:rFonts w:hint="eastAsia" w:ascii="宋体" w:hAnsi="宋体" w:cs="宋体"/>
                <w:color w:val="auto"/>
                <w:kern w:val="0"/>
                <w:sz w:val="24"/>
                <w:highlight w:val="none"/>
                <w:lang w:bidi="ar"/>
              </w:rPr>
              <w:t>建设需求的吻合程度</w:t>
            </w:r>
            <w:r>
              <w:rPr>
                <w:rFonts w:hint="eastAsia" w:ascii="宋体" w:hAnsi="宋体" w:cs="宋体"/>
                <w:color w:val="auto"/>
                <w:kern w:val="0"/>
                <w:sz w:val="24"/>
                <w:highlight w:val="none"/>
                <w:lang w:eastAsia="zh-CN" w:bidi="ar"/>
              </w:rPr>
              <w:t>：</w:t>
            </w:r>
          </w:p>
          <w:p>
            <w:pPr>
              <w:widowControl/>
              <w:numPr>
                <w:ilvl w:val="0"/>
                <w:numId w:val="4"/>
              </w:numP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基层智治业务组件建设</w:t>
            </w:r>
            <w:r>
              <w:rPr>
                <w:rFonts w:hint="eastAsia" w:ascii="宋体" w:hAnsi="宋体" w:cs="宋体"/>
                <w:color w:val="auto"/>
                <w:kern w:val="0"/>
                <w:sz w:val="24"/>
                <w:highlight w:val="none"/>
                <w:lang w:eastAsia="zh-CN" w:bidi="ar"/>
              </w:rPr>
              <w:t>：</w:t>
            </w:r>
            <w:r>
              <w:rPr>
                <w:rFonts w:hint="eastAsia" w:ascii="宋体" w:hAnsi="宋体" w:cs="宋体"/>
                <w:color w:val="auto"/>
                <w:kern w:val="0"/>
                <w:sz w:val="24"/>
                <w:highlight w:val="none"/>
                <w:lang w:bidi="ar"/>
              </w:rPr>
              <w:t>①网格事项准入组件②事件管理组件③效能评估组件④决策赋能组件</w:t>
            </w:r>
            <w:r>
              <w:rPr>
                <w:rFonts w:hint="eastAsia" w:ascii="宋体" w:hAnsi="宋体" w:cs="宋体"/>
                <w:color w:val="auto"/>
                <w:kern w:val="0"/>
                <w:sz w:val="24"/>
                <w:highlight w:val="none"/>
                <w:lang w:eastAsia="zh-CN" w:bidi="ar"/>
              </w:rPr>
              <w:t>；</w:t>
            </w:r>
          </w:p>
          <w:p>
            <w:pPr>
              <w:widowControl/>
              <w:numPr>
                <w:ilvl w:val="0"/>
                <w:numId w:val="4"/>
              </w:numP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基层智治基础应用升级</w:t>
            </w:r>
            <w:r>
              <w:rPr>
                <w:rFonts w:hint="eastAsia" w:ascii="宋体" w:hAnsi="宋体" w:cs="宋体"/>
                <w:color w:val="auto"/>
                <w:kern w:val="0"/>
                <w:sz w:val="24"/>
                <w:highlight w:val="none"/>
                <w:lang w:eastAsia="zh-CN" w:bidi="ar"/>
              </w:rPr>
              <w:t>：</w:t>
            </w:r>
            <w:r>
              <w:rPr>
                <w:rFonts w:hint="eastAsia" w:ascii="宋体" w:hAnsi="宋体" w:cs="宋体"/>
                <w:color w:val="auto"/>
                <w:kern w:val="0"/>
                <w:sz w:val="24"/>
                <w:highlight w:val="none"/>
                <w:lang w:bidi="ar"/>
              </w:rPr>
              <w:t>①工作台首页升级②网格管理模块升级③事件协同处置模块升级④数据管理模块升级</w:t>
            </w:r>
            <w:r>
              <w:rPr>
                <w:rFonts w:hint="eastAsia" w:ascii="宋体" w:hAnsi="宋体" w:cs="宋体"/>
                <w:color w:val="auto"/>
                <w:kern w:val="0"/>
                <w:sz w:val="24"/>
                <w:highlight w:val="none"/>
                <w:lang w:val="en-US" w:eastAsia="zh-CN" w:bidi="ar"/>
              </w:rPr>
              <w:t>⑤</w:t>
            </w:r>
            <w:r>
              <w:rPr>
                <w:rFonts w:hint="eastAsia" w:ascii="宋体" w:hAnsi="宋体" w:cs="宋体"/>
                <w:color w:val="auto"/>
                <w:kern w:val="0"/>
                <w:sz w:val="24"/>
                <w:highlight w:val="none"/>
                <w:lang w:bidi="ar"/>
              </w:rPr>
              <w:t>绩效考核模块升级</w:t>
            </w:r>
            <w:r>
              <w:rPr>
                <w:rFonts w:hint="eastAsia" w:ascii="宋体" w:hAnsi="宋体" w:cs="宋体"/>
                <w:color w:val="auto"/>
                <w:kern w:val="0"/>
                <w:sz w:val="24"/>
                <w:highlight w:val="none"/>
                <w:lang w:val="en-US" w:eastAsia="zh-CN" w:bidi="ar"/>
              </w:rPr>
              <w:t>⑥</w:t>
            </w:r>
            <w:r>
              <w:rPr>
                <w:rFonts w:hint="eastAsia" w:ascii="宋体" w:hAnsi="宋体" w:cs="宋体"/>
                <w:color w:val="auto"/>
                <w:kern w:val="0"/>
                <w:sz w:val="24"/>
                <w:highlight w:val="none"/>
                <w:lang w:bidi="ar"/>
              </w:rPr>
              <w:t>研判分析模块升级</w:t>
            </w:r>
            <w:r>
              <w:rPr>
                <w:rFonts w:hint="eastAsia" w:ascii="宋体" w:hAnsi="宋体" w:cs="宋体"/>
                <w:color w:val="auto"/>
                <w:kern w:val="0"/>
                <w:sz w:val="24"/>
                <w:highlight w:val="none"/>
                <w:lang w:val="en-US" w:eastAsia="zh-CN" w:bidi="ar"/>
              </w:rPr>
              <w:t>⑦</w:t>
            </w:r>
            <w:r>
              <w:rPr>
                <w:rFonts w:hint="eastAsia" w:ascii="宋体" w:hAnsi="宋体" w:cs="宋体"/>
                <w:color w:val="auto"/>
                <w:kern w:val="0"/>
                <w:sz w:val="24"/>
                <w:highlight w:val="none"/>
                <w:lang w:bidi="ar"/>
              </w:rPr>
              <w:t>任务本地化管理等功能需求</w:t>
            </w:r>
            <w:r>
              <w:rPr>
                <w:rFonts w:hint="eastAsia" w:ascii="宋体" w:hAnsi="宋体" w:cs="宋体"/>
                <w:color w:val="auto"/>
                <w:kern w:val="0"/>
                <w:sz w:val="24"/>
                <w:highlight w:val="none"/>
                <w:lang w:eastAsia="zh-CN" w:bidi="ar"/>
              </w:rPr>
              <w:t>。</w:t>
            </w:r>
          </w:p>
          <w:p>
            <w:pPr>
              <w:widowControl/>
              <w:textAlignment w:val="center"/>
              <w:rPr>
                <w:rFonts w:hint="eastAsia" w:ascii="宋体" w:hAnsi="宋体" w:cs="宋体"/>
                <w:color w:val="auto"/>
                <w:kern w:val="0"/>
                <w:sz w:val="24"/>
                <w:highlight w:val="none"/>
                <w:lang w:bidi="ar"/>
              </w:rPr>
            </w:pPr>
            <w:r>
              <w:rPr>
                <w:rFonts w:hint="default" w:ascii="宋体" w:hAnsi="宋体" w:eastAsia="宋体" w:cs="宋体"/>
                <w:color w:val="auto"/>
                <w:kern w:val="0"/>
                <w:sz w:val="24"/>
                <w:highlight w:val="none"/>
                <w:lang w:val="en-US" w:eastAsia="zh-CN" w:bidi="ar"/>
              </w:rPr>
              <w:t>以上内容完整合理、阐述详细视为满足采购需求，满足的每项得</w:t>
            </w:r>
            <w:r>
              <w:rPr>
                <w:rFonts w:hint="default" w:ascii="宋体" w:hAnsi="宋体" w:cs="宋体"/>
                <w:color w:val="auto"/>
                <w:kern w:val="0"/>
                <w:sz w:val="24"/>
                <w:highlight w:val="none"/>
                <w:lang w:val="en-US" w:eastAsia="zh-CN" w:bidi="ar"/>
              </w:rPr>
              <w:t>0.5</w:t>
            </w:r>
            <w:r>
              <w:rPr>
                <w:rFonts w:hint="default" w:ascii="宋体" w:hAnsi="宋体" w:eastAsia="宋体" w:cs="宋体"/>
                <w:color w:val="auto"/>
                <w:kern w:val="0"/>
                <w:sz w:val="24"/>
                <w:highlight w:val="none"/>
                <w:lang w:val="en-US" w:eastAsia="zh-CN" w:bidi="ar"/>
              </w:rPr>
              <w:t>分，不满足的每项不得分</w:t>
            </w:r>
            <w:r>
              <w:rPr>
                <w:rFonts w:hint="eastAsia" w:ascii="宋体" w:hAnsi="宋体" w:cs="宋体"/>
                <w:color w:val="auto"/>
                <w:kern w:val="0"/>
                <w:sz w:val="24"/>
                <w:highlight w:val="none"/>
                <w:lang w:val="en-US" w:eastAsia="zh-CN" w:bidi="ar"/>
              </w:rPr>
              <w:t>，共</w:t>
            </w:r>
            <w:r>
              <w:rPr>
                <w:rFonts w:hint="default" w:ascii="宋体" w:hAnsi="宋体" w:cs="宋体"/>
                <w:color w:val="auto"/>
                <w:kern w:val="0"/>
                <w:sz w:val="24"/>
                <w:highlight w:val="none"/>
                <w:lang w:val="en-US" w:eastAsia="zh-CN" w:bidi="ar"/>
              </w:rPr>
              <w:t>5.5</w:t>
            </w:r>
            <w:r>
              <w:rPr>
                <w:rFonts w:hint="eastAsia" w:ascii="宋体" w:hAnsi="宋体" w:cs="宋体"/>
                <w:color w:val="auto"/>
                <w:kern w:val="0"/>
                <w:sz w:val="24"/>
                <w:highlight w:val="none"/>
                <w:lang w:val="en-US" w:eastAsia="zh-CN" w:bidi="ar"/>
              </w:rPr>
              <w:t>分。</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24"/>
                <w:highlight w:val="none"/>
                <w:lang w:val="en-US" w:bidi="ar"/>
              </w:rPr>
            </w:pPr>
            <w:r>
              <w:rPr>
                <w:rFonts w:hint="default" w:ascii="宋体" w:hAnsi="宋体" w:cs="宋体"/>
                <w:color w:val="auto"/>
                <w:kern w:val="0"/>
                <w:sz w:val="24"/>
                <w:highlight w:val="none"/>
                <w:lang w:val="en-US" w:bidi="ar"/>
              </w:rPr>
              <w:t>5.5</w:t>
            </w:r>
          </w:p>
        </w:tc>
        <w:tc>
          <w:tcPr>
            <w:tcW w:w="1287" w:type="pct"/>
            <w:vMerge w:val="continue"/>
            <w:tcBorders>
              <w:left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113" w:hRule="atLeast"/>
        </w:trPr>
        <w:tc>
          <w:tcPr>
            <w:tcW w:w="563" w:type="pct"/>
            <w:vMerge w:val="continue"/>
            <w:tcBorders>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color w:val="auto"/>
                <w:kern w:val="0"/>
                <w:sz w:val="24"/>
                <w:highlight w:val="none"/>
                <w:lang w:eastAsia="zh-CN" w:bidi="ar"/>
              </w:rPr>
            </w:pPr>
            <w:r>
              <w:rPr>
                <w:rFonts w:hint="eastAsia" w:ascii="宋体" w:hAnsi="宋体" w:cs="宋体"/>
                <w:b/>
                <w:bCs/>
                <w:color w:val="auto"/>
                <w:kern w:val="0"/>
                <w:sz w:val="24"/>
                <w:highlight w:val="none"/>
                <w:lang w:bidi="ar"/>
              </w:rPr>
              <w:t>社会协作执行端</w:t>
            </w:r>
            <w:r>
              <w:rPr>
                <w:rFonts w:hint="eastAsia" w:ascii="宋体" w:hAnsi="宋体" w:cs="宋体"/>
                <w:color w:val="auto"/>
                <w:kern w:val="0"/>
                <w:sz w:val="24"/>
                <w:highlight w:val="none"/>
                <w:lang w:bidi="ar"/>
              </w:rPr>
              <w:t>建设需求的吻合程度</w:t>
            </w:r>
            <w:r>
              <w:rPr>
                <w:rFonts w:hint="eastAsia" w:ascii="宋体" w:hAnsi="宋体" w:cs="宋体"/>
                <w:color w:val="auto"/>
                <w:kern w:val="0"/>
                <w:sz w:val="24"/>
                <w:highlight w:val="none"/>
                <w:lang w:eastAsia="zh-CN" w:bidi="ar"/>
              </w:rPr>
              <w:t>：</w:t>
            </w:r>
          </w:p>
          <w:p>
            <w:pPr>
              <w:widowControl/>
              <w:numPr>
                <w:ilvl w:val="0"/>
                <w:numId w:val="5"/>
              </w:numPr>
              <w:textAlignment w:val="center"/>
              <w:rPr>
                <w:rFonts w:hint="eastAsia" w:ascii="宋体" w:hAnsi="宋体" w:cs="宋体"/>
                <w:color w:val="auto"/>
                <w:kern w:val="0"/>
                <w:sz w:val="24"/>
                <w:highlight w:val="none"/>
                <w:lang w:eastAsia="zh-CN" w:bidi="ar"/>
              </w:rPr>
            </w:pPr>
            <w:r>
              <w:rPr>
                <w:rFonts w:hint="eastAsia" w:ascii="宋体" w:hAnsi="宋体" w:cs="宋体"/>
                <w:color w:val="auto"/>
                <w:kern w:val="0"/>
                <w:sz w:val="24"/>
                <w:highlight w:val="none"/>
                <w:lang w:bidi="ar"/>
              </w:rPr>
              <w:t>任务管理</w:t>
            </w:r>
            <w:r>
              <w:rPr>
                <w:rFonts w:hint="eastAsia" w:ascii="宋体" w:hAnsi="宋体" w:cs="宋体"/>
                <w:color w:val="auto"/>
                <w:kern w:val="0"/>
                <w:sz w:val="24"/>
                <w:highlight w:val="none"/>
                <w:lang w:val="en-US" w:eastAsia="zh-CN" w:bidi="ar"/>
              </w:rPr>
              <w:t>:</w:t>
            </w:r>
            <w:r>
              <w:rPr>
                <w:rFonts w:hint="eastAsia" w:ascii="宋体" w:hAnsi="宋体" w:cs="宋体"/>
                <w:color w:val="auto"/>
                <w:kern w:val="0"/>
                <w:sz w:val="24"/>
                <w:highlight w:val="none"/>
                <w:lang w:bidi="ar"/>
              </w:rPr>
              <w:t>①待办任务②逾期任务③分类任务④收藏任务⑤搜索⑥任务详情⑦对象详情（有对象任务）</w:t>
            </w:r>
            <w:r>
              <w:rPr>
                <w:rFonts w:hint="eastAsia" w:ascii="宋体" w:hAnsi="宋体" w:cs="宋体"/>
                <w:color w:val="auto"/>
                <w:kern w:val="0"/>
                <w:sz w:val="24"/>
                <w:highlight w:val="none"/>
                <w:lang w:eastAsia="zh-CN" w:bidi="ar"/>
              </w:rPr>
              <w:t>；</w:t>
            </w:r>
          </w:p>
          <w:p>
            <w:pPr>
              <w:widowControl/>
              <w:numPr>
                <w:ilvl w:val="0"/>
                <w:numId w:val="0"/>
              </w:numPr>
              <w:textAlignment w:val="center"/>
              <w:rPr>
                <w:rFonts w:hint="eastAsia" w:ascii="宋体" w:hAnsi="宋体" w:cs="宋体"/>
                <w:color w:val="auto"/>
                <w:kern w:val="0"/>
                <w:sz w:val="24"/>
                <w:highlight w:val="none"/>
                <w:lang w:eastAsia="zh-CN" w:bidi="ar"/>
              </w:rPr>
            </w:pPr>
            <w:r>
              <w:rPr>
                <w:rFonts w:hint="eastAsia" w:ascii="宋体" w:hAnsi="宋体" w:cs="宋体"/>
                <w:color w:val="auto"/>
                <w:kern w:val="0"/>
                <w:sz w:val="24"/>
                <w:highlight w:val="none"/>
                <w:lang w:eastAsia="zh-CN" w:bidi="ar"/>
              </w:rPr>
              <w:t>（</w:t>
            </w:r>
            <w:r>
              <w:rPr>
                <w:rFonts w:hint="default" w:ascii="宋体" w:hAnsi="宋体" w:cs="宋体"/>
                <w:color w:val="auto"/>
                <w:kern w:val="0"/>
                <w:sz w:val="24"/>
                <w:highlight w:val="none"/>
                <w:lang w:val="en-US" w:eastAsia="zh-CN" w:bidi="ar"/>
              </w:rPr>
              <w:t>2</w:t>
            </w:r>
            <w:r>
              <w:rPr>
                <w:rFonts w:hint="eastAsia" w:ascii="宋体" w:hAnsi="宋体" w:cs="宋体"/>
                <w:color w:val="auto"/>
                <w:kern w:val="0"/>
                <w:sz w:val="24"/>
                <w:highlight w:val="none"/>
                <w:lang w:eastAsia="zh-CN" w:bidi="ar"/>
              </w:rPr>
              <w:t>）组织发动：</w:t>
            </w:r>
            <w:r>
              <w:rPr>
                <w:rFonts w:hint="eastAsia" w:ascii="宋体" w:hAnsi="宋体" w:cs="宋体"/>
                <w:color w:val="auto"/>
                <w:kern w:val="0"/>
                <w:sz w:val="24"/>
                <w:highlight w:val="none"/>
                <w:lang w:val="en-US" w:eastAsia="zh-CN" w:bidi="ar"/>
              </w:rPr>
              <w:t>①</w:t>
            </w:r>
            <w:r>
              <w:rPr>
                <w:rFonts w:hint="eastAsia" w:ascii="宋体" w:hAnsi="宋体" w:cs="宋体"/>
                <w:color w:val="auto"/>
                <w:kern w:val="0"/>
                <w:sz w:val="24"/>
                <w:highlight w:val="none"/>
                <w:lang w:bidi="ar"/>
              </w:rPr>
              <w:t>责任单位分组</w:t>
            </w:r>
            <w:r>
              <w:rPr>
                <w:rFonts w:hint="eastAsia" w:ascii="宋体" w:hAnsi="宋体" w:cs="宋体"/>
                <w:color w:val="auto"/>
                <w:kern w:val="0"/>
                <w:sz w:val="24"/>
                <w:highlight w:val="none"/>
                <w:lang w:val="en-US" w:eastAsia="zh-CN" w:bidi="ar"/>
              </w:rPr>
              <w:t>②</w:t>
            </w:r>
            <w:r>
              <w:rPr>
                <w:rFonts w:hint="eastAsia" w:ascii="宋体" w:hAnsi="宋体" w:cs="宋体"/>
                <w:color w:val="auto"/>
                <w:kern w:val="0"/>
                <w:sz w:val="24"/>
                <w:highlight w:val="none"/>
                <w:lang w:bidi="ar"/>
              </w:rPr>
              <w:t>责任单位管理等功能需求</w:t>
            </w:r>
            <w:r>
              <w:rPr>
                <w:rFonts w:hint="eastAsia" w:ascii="宋体" w:hAnsi="宋体" w:cs="宋体"/>
                <w:color w:val="auto"/>
                <w:kern w:val="0"/>
                <w:sz w:val="24"/>
                <w:highlight w:val="none"/>
                <w:lang w:eastAsia="zh-CN" w:bidi="ar"/>
              </w:rPr>
              <w:t>。</w:t>
            </w:r>
          </w:p>
          <w:p>
            <w:pPr>
              <w:widowControl/>
              <w:textAlignment w:val="center"/>
              <w:rPr>
                <w:rFonts w:hint="default" w:ascii="宋体" w:hAnsi="宋体" w:eastAsia="宋体" w:cs="宋体"/>
                <w:color w:val="auto"/>
                <w:kern w:val="0"/>
                <w:sz w:val="24"/>
                <w:highlight w:val="none"/>
                <w:lang w:val="en-US" w:eastAsia="zh-CN" w:bidi="ar"/>
              </w:rPr>
            </w:pPr>
            <w:r>
              <w:rPr>
                <w:rFonts w:hint="default" w:ascii="宋体" w:hAnsi="宋体" w:eastAsia="宋体" w:cs="宋体"/>
                <w:color w:val="auto"/>
                <w:kern w:val="0"/>
                <w:sz w:val="24"/>
                <w:highlight w:val="none"/>
                <w:lang w:val="en-US" w:eastAsia="zh-CN" w:bidi="ar"/>
              </w:rPr>
              <w:t>以上内容完整合理、阐述详细视为满足采购需求，满足的每项得</w:t>
            </w:r>
            <w:r>
              <w:rPr>
                <w:rFonts w:hint="default" w:ascii="宋体" w:hAnsi="宋体" w:cs="宋体"/>
                <w:color w:val="auto"/>
                <w:kern w:val="0"/>
                <w:sz w:val="24"/>
                <w:highlight w:val="none"/>
                <w:lang w:val="en-US" w:eastAsia="zh-CN" w:bidi="ar"/>
              </w:rPr>
              <w:t>0.5</w:t>
            </w:r>
            <w:r>
              <w:rPr>
                <w:rFonts w:hint="default" w:ascii="宋体" w:hAnsi="宋体" w:eastAsia="宋体" w:cs="宋体"/>
                <w:color w:val="auto"/>
                <w:kern w:val="0"/>
                <w:sz w:val="24"/>
                <w:highlight w:val="none"/>
                <w:lang w:val="en-US" w:eastAsia="zh-CN" w:bidi="ar"/>
              </w:rPr>
              <w:t>分，不满足的每项不得分</w:t>
            </w:r>
            <w:r>
              <w:rPr>
                <w:rFonts w:hint="eastAsia" w:ascii="宋体" w:hAnsi="宋体" w:cs="宋体"/>
                <w:color w:val="auto"/>
                <w:kern w:val="0"/>
                <w:sz w:val="24"/>
                <w:highlight w:val="none"/>
                <w:lang w:val="en-US" w:eastAsia="zh-CN" w:bidi="ar"/>
              </w:rPr>
              <w:t>，共</w:t>
            </w:r>
            <w:r>
              <w:rPr>
                <w:rFonts w:hint="default" w:ascii="宋体" w:hAnsi="宋体" w:cs="宋体"/>
                <w:color w:val="auto"/>
                <w:kern w:val="0"/>
                <w:sz w:val="24"/>
                <w:highlight w:val="none"/>
                <w:lang w:val="en-US" w:eastAsia="zh-CN" w:bidi="ar"/>
              </w:rPr>
              <w:t>4.5</w:t>
            </w:r>
            <w:r>
              <w:rPr>
                <w:rFonts w:hint="eastAsia" w:ascii="宋体" w:hAnsi="宋体" w:cs="宋体"/>
                <w:color w:val="auto"/>
                <w:kern w:val="0"/>
                <w:sz w:val="24"/>
                <w:highlight w:val="none"/>
                <w:lang w:val="en-US" w:eastAsia="zh-CN" w:bidi="ar"/>
              </w:rPr>
              <w:t>分。</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24"/>
                <w:highlight w:val="none"/>
                <w:lang w:val="en-US" w:bidi="ar"/>
              </w:rPr>
            </w:pPr>
            <w:r>
              <w:rPr>
                <w:rFonts w:hint="default" w:ascii="宋体" w:hAnsi="宋体" w:cs="宋体"/>
                <w:color w:val="auto"/>
                <w:kern w:val="0"/>
                <w:sz w:val="24"/>
                <w:highlight w:val="none"/>
                <w:lang w:val="en-US" w:bidi="ar"/>
              </w:rPr>
              <w:t>4.5</w:t>
            </w:r>
          </w:p>
        </w:tc>
        <w:tc>
          <w:tcPr>
            <w:tcW w:w="1287" w:type="pct"/>
            <w:vMerge w:val="continue"/>
            <w:tcBorders>
              <w:left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113" w:hRule="atLeast"/>
        </w:trPr>
        <w:tc>
          <w:tcPr>
            <w:tcW w:w="563" w:type="pct"/>
            <w:vMerge w:val="continue"/>
            <w:tcBorders>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eastAsia="宋体" w:cs="宋体"/>
                <w:color w:val="auto"/>
                <w:kern w:val="0"/>
                <w:sz w:val="24"/>
                <w:highlight w:val="none"/>
                <w:lang w:eastAsia="zh-CN" w:bidi="ar"/>
              </w:rPr>
            </w:pPr>
            <w:r>
              <w:rPr>
                <w:rFonts w:hint="eastAsia" w:ascii="宋体" w:hAnsi="宋体" w:cs="宋体"/>
                <w:b/>
                <w:bCs/>
                <w:color w:val="auto"/>
                <w:kern w:val="0"/>
                <w:sz w:val="24"/>
                <w:highlight w:val="none"/>
                <w:lang w:bidi="ar"/>
              </w:rPr>
              <w:t>网格智能应用（掌上基层2.0）</w:t>
            </w:r>
            <w:r>
              <w:rPr>
                <w:rFonts w:hint="eastAsia" w:ascii="宋体" w:hAnsi="宋体" w:cs="宋体"/>
                <w:b/>
                <w:bCs/>
                <w:color w:val="auto"/>
                <w:kern w:val="0"/>
                <w:sz w:val="24"/>
                <w:highlight w:val="none"/>
                <w:lang w:val="en-US" w:eastAsia="zh-CN" w:bidi="ar"/>
              </w:rPr>
              <w:t>中“人口核查一件事”</w:t>
            </w:r>
            <w:r>
              <w:rPr>
                <w:rFonts w:hint="eastAsia" w:ascii="宋体" w:hAnsi="宋体" w:cs="宋体"/>
                <w:color w:val="auto"/>
                <w:kern w:val="0"/>
                <w:sz w:val="24"/>
                <w:highlight w:val="none"/>
                <w:lang w:bidi="ar"/>
              </w:rPr>
              <w:t>建设需求的吻合程度</w:t>
            </w:r>
            <w:r>
              <w:rPr>
                <w:rFonts w:hint="eastAsia" w:ascii="宋体" w:hAnsi="宋体" w:cs="宋体"/>
                <w:color w:val="auto"/>
                <w:kern w:val="0"/>
                <w:sz w:val="24"/>
                <w:highlight w:val="none"/>
                <w:lang w:val="en-US" w:eastAsia="zh-CN" w:bidi="ar"/>
              </w:rPr>
              <w:t>:</w:t>
            </w:r>
            <w:r>
              <w:rPr>
                <w:rFonts w:hint="eastAsia" w:ascii="宋体" w:hAnsi="宋体" w:cs="宋体"/>
                <w:color w:val="auto"/>
                <w:kern w:val="0"/>
                <w:sz w:val="24"/>
                <w:highlight w:val="none"/>
                <w:lang w:bidi="ar"/>
              </w:rPr>
              <w:t>①人口核查②人员状态③核查验证功能需求</w:t>
            </w:r>
            <w:r>
              <w:rPr>
                <w:rFonts w:hint="eastAsia" w:ascii="宋体" w:hAnsi="宋体" w:cs="宋体"/>
                <w:color w:val="auto"/>
                <w:kern w:val="0"/>
                <w:sz w:val="24"/>
                <w:highlight w:val="none"/>
                <w:lang w:eastAsia="zh-CN" w:bidi="ar"/>
              </w:rPr>
              <w:t>。</w:t>
            </w:r>
          </w:p>
          <w:p>
            <w:pPr>
              <w:widowControl/>
              <w:textAlignment w:val="center"/>
              <w:rPr>
                <w:rFonts w:hint="default" w:ascii="宋体" w:hAnsi="宋体" w:eastAsia="宋体" w:cs="宋体"/>
                <w:color w:val="auto"/>
                <w:kern w:val="0"/>
                <w:sz w:val="24"/>
                <w:highlight w:val="none"/>
                <w:lang w:val="en-US" w:eastAsia="zh-CN" w:bidi="ar"/>
              </w:rPr>
            </w:pPr>
            <w:r>
              <w:rPr>
                <w:rFonts w:hint="default" w:ascii="宋体" w:hAnsi="宋体" w:eastAsia="宋体" w:cs="宋体"/>
                <w:color w:val="auto"/>
                <w:kern w:val="0"/>
                <w:sz w:val="24"/>
                <w:highlight w:val="none"/>
                <w:lang w:val="en-US" w:eastAsia="zh-CN" w:bidi="ar"/>
              </w:rPr>
              <w:t>以上内容完整合理、阐述详细视为满足采购需求，满足的每项得</w:t>
            </w:r>
            <w:r>
              <w:rPr>
                <w:rFonts w:hint="default" w:ascii="宋体" w:hAnsi="宋体" w:cs="宋体"/>
                <w:color w:val="auto"/>
                <w:kern w:val="0"/>
                <w:sz w:val="24"/>
                <w:highlight w:val="none"/>
                <w:lang w:val="en-US" w:eastAsia="zh-CN" w:bidi="ar"/>
              </w:rPr>
              <w:t>0.5</w:t>
            </w:r>
            <w:r>
              <w:rPr>
                <w:rFonts w:hint="default" w:ascii="宋体" w:hAnsi="宋体" w:eastAsia="宋体" w:cs="宋体"/>
                <w:color w:val="auto"/>
                <w:kern w:val="0"/>
                <w:sz w:val="24"/>
                <w:highlight w:val="none"/>
                <w:lang w:val="en-US" w:eastAsia="zh-CN" w:bidi="ar"/>
              </w:rPr>
              <w:t>分，不满足的每项不得分</w:t>
            </w:r>
            <w:r>
              <w:rPr>
                <w:rFonts w:hint="eastAsia" w:ascii="宋体" w:hAnsi="宋体" w:cs="宋体"/>
                <w:color w:val="auto"/>
                <w:kern w:val="0"/>
                <w:sz w:val="24"/>
                <w:highlight w:val="none"/>
                <w:lang w:val="en-US" w:eastAsia="zh-CN" w:bidi="ar"/>
              </w:rPr>
              <w:t>，共</w:t>
            </w:r>
            <w:r>
              <w:rPr>
                <w:rFonts w:hint="default" w:ascii="宋体" w:hAnsi="宋体" w:cs="宋体"/>
                <w:color w:val="auto"/>
                <w:kern w:val="0"/>
                <w:sz w:val="24"/>
                <w:highlight w:val="none"/>
                <w:lang w:val="en-US" w:eastAsia="zh-CN" w:bidi="ar"/>
              </w:rPr>
              <w:t>1.5</w:t>
            </w:r>
            <w:r>
              <w:rPr>
                <w:rFonts w:hint="eastAsia" w:ascii="宋体" w:hAnsi="宋体" w:cs="宋体"/>
                <w:color w:val="auto"/>
                <w:kern w:val="0"/>
                <w:sz w:val="24"/>
                <w:highlight w:val="none"/>
                <w:lang w:val="en-US" w:eastAsia="zh-CN" w:bidi="ar"/>
              </w:rPr>
              <w:t>分。</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24"/>
                <w:highlight w:val="none"/>
                <w:lang w:val="en-US" w:bidi="ar"/>
              </w:rPr>
            </w:pPr>
            <w:r>
              <w:rPr>
                <w:rFonts w:hint="default" w:ascii="宋体" w:hAnsi="宋体" w:cs="宋体"/>
                <w:color w:val="auto"/>
                <w:kern w:val="0"/>
                <w:sz w:val="24"/>
                <w:highlight w:val="none"/>
                <w:lang w:val="en-US" w:bidi="ar"/>
              </w:rPr>
              <w:t>1.5</w:t>
            </w:r>
          </w:p>
        </w:tc>
        <w:tc>
          <w:tcPr>
            <w:tcW w:w="1287" w:type="pct"/>
            <w:vMerge w:val="continue"/>
            <w:tcBorders>
              <w:left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113" w:hRule="atLeast"/>
        </w:trPr>
        <w:tc>
          <w:tcPr>
            <w:tcW w:w="563" w:type="pct"/>
            <w:vMerge w:val="continue"/>
            <w:tcBorders>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color w:val="auto"/>
                <w:kern w:val="0"/>
                <w:sz w:val="24"/>
                <w:highlight w:val="none"/>
                <w:lang w:eastAsia="zh-CN" w:bidi="ar"/>
              </w:rPr>
            </w:pPr>
            <w:r>
              <w:rPr>
                <w:rFonts w:hint="eastAsia" w:ascii="宋体" w:hAnsi="宋体" w:cs="宋体"/>
                <w:b/>
                <w:bCs/>
                <w:color w:val="auto"/>
                <w:kern w:val="0"/>
                <w:sz w:val="24"/>
                <w:highlight w:val="none"/>
                <w:lang w:bidi="ar"/>
              </w:rPr>
              <w:t>应用场景建设</w:t>
            </w:r>
            <w:r>
              <w:rPr>
                <w:rFonts w:hint="eastAsia" w:ascii="宋体" w:hAnsi="宋体" w:cs="宋体"/>
                <w:b/>
                <w:bCs/>
                <w:color w:val="auto"/>
                <w:kern w:val="0"/>
                <w:sz w:val="24"/>
                <w:highlight w:val="none"/>
                <w:lang w:val="en-US" w:eastAsia="zh-CN" w:bidi="ar"/>
              </w:rPr>
              <w:t>中“重大应用贯通场景建设”</w:t>
            </w:r>
            <w:r>
              <w:rPr>
                <w:rFonts w:hint="eastAsia" w:ascii="宋体" w:hAnsi="宋体" w:cs="宋体"/>
                <w:color w:val="auto"/>
                <w:kern w:val="0"/>
                <w:sz w:val="24"/>
                <w:highlight w:val="none"/>
                <w:lang w:bidi="ar"/>
              </w:rPr>
              <w:t>建设需求的吻合程度</w:t>
            </w:r>
            <w:r>
              <w:rPr>
                <w:rFonts w:hint="eastAsia" w:ascii="宋体" w:hAnsi="宋体" w:cs="宋体"/>
                <w:color w:val="auto"/>
                <w:kern w:val="0"/>
                <w:sz w:val="24"/>
                <w:highlight w:val="none"/>
                <w:lang w:val="en-US" w:eastAsia="zh-CN" w:bidi="ar"/>
              </w:rPr>
              <w:t>:</w:t>
            </w:r>
            <w:r>
              <w:rPr>
                <w:rFonts w:hint="eastAsia" w:ascii="宋体" w:hAnsi="宋体" w:cs="宋体"/>
                <w:color w:val="auto"/>
                <w:kern w:val="0"/>
                <w:sz w:val="24"/>
                <w:highlight w:val="none"/>
                <w:lang w:bidi="ar"/>
              </w:rPr>
              <w:t>①党建统领跑道②平安法治跑道③经济生态跑道</w:t>
            </w:r>
            <w:r>
              <w:rPr>
                <w:rFonts w:hint="eastAsia" w:ascii="宋体" w:hAnsi="宋体" w:cs="宋体"/>
                <w:color w:val="auto"/>
                <w:kern w:val="0"/>
                <w:sz w:val="24"/>
                <w:highlight w:val="none"/>
                <w:lang w:val="en-US" w:eastAsia="zh-CN" w:bidi="ar"/>
              </w:rPr>
              <w:t>④公共服务跑道</w:t>
            </w:r>
            <w:r>
              <w:rPr>
                <w:rFonts w:hint="eastAsia" w:ascii="宋体" w:hAnsi="宋体" w:cs="宋体"/>
                <w:color w:val="auto"/>
                <w:kern w:val="0"/>
                <w:sz w:val="24"/>
                <w:highlight w:val="none"/>
                <w:lang w:bidi="ar"/>
              </w:rPr>
              <w:t>等功能需求</w:t>
            </w:r>
            <w:r>
              <w:rPr>
                <w:rFonts w:hint="eastAsia" w:ascii="宋体" w:hAnsi="宋体" w:cs="宋体"/>
                <w:color w:val="auto"/>
                <w:kern w:val="0"/>
                <w:sz w:val="24"/>
                <w:highlight w:val="none"/>
                <w:lang w:eastAsia="zh-CN" w:bidi="ar"/>
              </w:rPr>
              <w:t>。</w:t>
            </w:r>
          </w:p>
          <w:p>
            <w:pPr>
              <w:widowControl/>
              <w:textAlignment w:val="center"/>
              <w:rPr>
                <w:rFonts w:hint="default" w:ascii="宋体" w:hAnsi="宋体" w:eastAsia="宋体" w:cs="宋体"/>
                <w:color w:val="auto"/>
                <w:kern w:val="0"/>
                <w:sz w:val="24"/>
                <w:highlight w:val="none"/>
                <w:lang w:val="en-US" w:eastAsia="zh-CN" w:bidi="ar"/>
              </w:rPr>
            </w:pPr>
            <w:r>
              <w:rPr>
                <w:rFonts w:hint="default" w:ascii="宋体" w:hAnsi="宋体" w:eastAsia="宋体" w:cs="宋体"/>
                <w:color w:val="auto"/>
                <w:kern w:val="0"/>
                <w:sz w:val="24"/>
                <w:highlight w:val="none"/>
                <w:lang w:val="en-US" w:eastAsia="zh-CN" w:bidi="ar"/>
              </w:rPr>
              <w:t>以上内容完整合理、阐述详细视为满足采购需求，满足的每项得</w:t>
            </w:r>
            <w:r>
              <w:rPr>
                <w:rFonts w:hint="default" w:ascii="宋体" w:hAnsi="宋体" w:cs="宋体"/>
                <w:color w:val="auto"/>
                <w:kern w:val="0"/>
                <w:sz w:val="24"/>
                <w:highlight w:val="none"/>
                <w:lang w:val="en-US" w:eastAsia="zh-CN" w:bidi="ar"/>
              </w:rPr>
              <w:t>0.5</w:t>
            </w:r>
            <w:r>
              <w:rPr>
                <w:rFonts w:hint="default" w:ascii="宋体" w:hAnsi="宋体" w:eastAsia="宋体" w:cs="宋体"/>
                <w:color w:val="auto"/>
                <w:kern w:val="0"/>
                <w:sz w:val="24"/>
                <w:highlight w:val="none"/>
                <w:lang w:val="en-US" w:eastAsia="zh-CN" w:bidi="ar"/>
              </w:rPr>
              <w:t>分，不满足的每项不得分</w:t>
            </w:r>
            <w:r>
              <w:rPr>
                <w:rFonts w:hint="eastAsia" w:ascii="宋体" w:hAnsi="宋体" w:cs="宋体"/>
                <w:color w:val="auto"/>
                <w:kern w:val="0"/>
                <w:sz w:val="24"/>
                <w:highlight w:val="none"/>
                <w:lang w:val="en-US" w:eastAsia="zh-CN" w:bidi="ar"/>
              </w:rPr>
              <w:t>，共</w:t>
            </w:r>
            <w:r>
              <w:rPr>
                <w:rFonts w:hint="default" w:ascii="宋体" w:hAnsi="宋体" w:cs="宋体"/>
                <w:color w:val="auto"/>
                <w:kern w:val="0"/>
                <w:sz w:val="24"/>
                <w:highlight w:val="none"/>
                <w:lang w:val="en-US" w:eastAsia="zh-CN" w:bidi="ar"/>
              </w:rPr>
              <w:t>2</w:t>
            </w:r>
            <w:r>
              <w:rPr>
                <w:rFonts w:hint="eastAsia" w:ascii="宋体" w:hAnsi="宋体" w:cs="宋体"/>
                <w:color w:val="auto"/>
                <w:kern w:val="0"/>
                <w:sz w:val="24"/>
                <w:highlight w:val="none"/>
                <w:lang w:val="en-US" w:eastAsia="zh-CN" w:bidi="ar"/>
              </w:rPr>
              <w:t>分。</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24"/>
                <w:highlight w:val="none"/>
                <w:lang w:val="en-US" w:bidi="ar"/>
              </w:rPr>
            </w:pPr>
            <w:r>
              <w:rPr>
                <w:rFonts w:hint="default" w:ascii="宋体" w:hAnsi="宋体" w:cs="宋体"/>
                <w:color w:val="auto"/>
                <w:kern w:val="0"/>
                <w:sz w:val="24"/>
                <w:highlight w:val="none"/>
                <w:lang w:val="en-US" w:bidi="ar"/>
              </w:rPr>
              <w:t>2</w:t>
            </w:r>
          </w:p>
        </w:tc>
        <w:tc>
          <w:tcPr>
            <w:tcW w:w="1287" w:type="pct"/>
            <w:vMerge w:val="continue"/>
            <w:tcBorders>
              <w:left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113" w:hRule="atLeast"/>
        </w:trPr>
        <w:tc>
          <w:tcPr>
            <w:tcW w:w="563" w:type="pct"/>
            <w:vMerge w:val="continue"/>
            <w:tcBorders>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color w:val="auto"/>
                <w:kern w:val="0"/>
                <w:sz w:val="24"/>
                <w:highlight w:val="none"/>
                <w:lang w:eastAsia="zh-CN" w:bidi="ar"/>
              </w:rPr>
            </w:pPr>
            <w:r>
              <w:rPr>
                <w:rFonts w:hint="eastAsia" w:ascii="宋体" w:hAnsi="宋体" w:cs="宋体"/>
                <w:b/>
                <w:bCs/>
                <w:color w:val="auto"/>
                <w:kern w:val="0"/>
                <w:sz w:val="24"/>
                <w:highlight w:val="none"/>
                <w:lang w:bidi="ar"/>
              </w:rPr>
              <w:t>数据资源体系建设</w:t>
            </w:r>
            <w:r>
              <w:rPr>
                <w:rFonts w:hint="eastAsia" w:ascii="宋体" w:hAnsi="宋体" w:cs="宋体"/>
                <w:b/>
                <w:bCs/>
                <w:color w:val="auto"/>
                <w:kern w:val="0"/>
                <w:sz w:val="24"/>
                <w:highlight w:val="none"/>
                <w:lang w:val="en-US" w:eastAsia="zh-CN" w:bidi="ar"/>
              </w:rPr>
              <w:t>中“基层治理专题数据库”</w:t>
            </w:r>
            <w:r>
              <w:rPr>
                <w:rFonts w:hint="eastAsia" w:ascii="宋体" w:hAnsi="宋体" w:cs="宋体"/>
                <w:color w:val="auto"/>
                <w:kern w:val="0"/>
                <w:sz w:val="24"/>
                <w:highlight w:val="none"/>
                <w:lang w:bidi="ar"/>
              </w:rPr>
              <w:t>需求的吻合程度，包括</w:t>
            </w:r>
            <w:r>
              <w:rPr>
                <w:rFonts w:hint="eastAsia" w:ascii="宋体" w:hAnsi="宋体" w:cs="宋体"/>
                <w:color w:val="auto"/>
                <w:kern w:val="0"/>
                <w:sz w:val="24"/>
                <w:highlight w:val="none"/>
                <w:lang w:val="en-US" w:eastAsia="zh-CN" w:bidi="ar"/>
              </w:rPr>
              <w:t>:</w:t>
            </w:r>
            <w:r>
              <w:rPr>
                <w:rFonts w:hint="eastAsia" w:ascii="宋体" w:hAnsi="宋体" w:cs="宋体"/>
                <w:color w:val="auto"/>
                <w:kern w:val="0"/>
                <w:sz w:val="24"/>
                <w:highlight w:val="none"/>
                <w:lang w:bidi="ar"/>
              </w:rPr>
              <w:t>①微网格数据库②跑道专题数据库功能需求</w:t>
            </w:r>
            <w:r>
              <w:rPr>
                <w:rFonts w:hint="eastAsia" w:ascii="宋体" w:hAnsi="宋体" w:cs="宋体"/>
                <w:color w:val="auto"/>
                <w:kern w:val="0"/>
                <w:sz w:val="24"/>
                <w:highlight w:val="none"/>
                <w:lang w:eastAsia="zh-CN" w:bidi="ar"/>
              </w:rPr>
              <w:t>。</w:t>
            </w:r>
          </w:p>
          <w:p>
            <w:pPr>
              <w:widowControl/>
              <w:textAlignment w:val="center"/>
              <w:rPr>
                <w:rFonts w:hint="default" w:ascii="宋体" w:hAnsi="宋体" w:eastAsia="宋体" w:cs="宋体"/>
                <w:color w:val="auto"/>
                <w:kern w:val="0"/>
                <w:sz w:val="24"/>
                <w:highlight w:val="none"/>
                <w:lang w:val="en-US" w:eastAsia="zh-CN" w:bidi="ar"/>
              </w:rPr>
            </w:pPr>
            <w:r>
              <w:rPr>
                <w:rFonts w:hint="default" w:ascii="宋体" w:hAnsi="宋体" w:eastAsia="宋体" w:cs="宋体"/>
                <w:color w:val="auto"/>
                <w:kern w:val="0"/>
                <w:sz w:val="24"/>
                <w:highlight w:val="none"/>
                <w:lang w:val="en-US" w:eastAsia="zh-CN" w:bidi="ar"/>
              </w:rPr>
              <w:t>以上内容完整合理、阐述详细视为满足采购需求，满足的每项得</w:t>
            </w:r>
            <w:r>
              <w:rPr>
                <w:rFonts w:hint="default" w:ascii="宋体" w:hAnsi="宋体" w:cs="宋体"/>
                <w:color w:val="auto"/>
                <w:kern w:val="0"/>
                <w:sz w:val="24"/>
                <w:highlight w:val="none"/>
                <w:lang w:val="en-US" w:eastAsia="zh-CN" w:bidi="ar"/>
              </w:rPr>
              <w:t>0.5</w:t>
            </w:r>
            <w:r>
              <w:rPr>
                <w:rFonts w:hint="default" w:ascii="宋体" w:hAnsi="宋体" w:eastAsia="宋体" w:cs="宋体"/>
                <w:color w:val="auto"/>
                <w:kern w:val="0"/>
                <w:sz w:val="24"/>
                <w:highlight w:val="none"/>
                <w:lang w:val="en-US" w:eastAsia="zh-CN" w:bidi="ar"/>
              </w:rPr>
              <w:t>分，不满足的每项不得分</w:t>
            </w:r>
            <w:r>
              <w:rPr>
                <w:rFonts w:hint="eastAsia" w:ascii="宋体" w:hAnsi="宋体" w:cs="宋体"/>
                <w:color w:val="auto"/>
                <w:kern w:val="0"/>
                <w:sz w:val="24"/>
                <w:highlight w:val="none"/>
                <w:lang w:val="en-US" w:eastAsia="zh-CN" w:bidi="ar"/>
              </w:rPr>
              <w:t>，共</w:t>
            </w:r>
            <w:r>
              <w:rPr>
                <w:rFonts w:hint="default" w:ascii="宋体" w:hAnsi="宋体" w:cs="宋体"/>
                <w:color w:val="auto"/>
                <w:kern w:val="0"/>
                <w:sz w:val="24"/>
                <w:highlight w:val="none"/>
                <w:lang w:val="en-US" w:eastAsia="zh-CN" w:bidi="ar"/>
              </w:rPr>
              <w:t>1</w:t>
            </w:r>
            <w:r>
              <w:rPr>
                <w:rFonts w:hint="eastAsia" w:ascii="宋体" w:hAnsi="宋体" w:cs="宋体"/>
                <w:color w:val="auto"/>
                <w:kern w:val="0"/>
                <w:sz w:val="24"/>
                <w:highlight w:val="none"/>
                <w:lang w:val="en-US" w:eastAsia="zh-CN" w:bidi="ar"/>
              </w:rPr>
              <w:t>分。</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24"/>
                <w:highlight w:val="none"/>
                <w:lang w:val="en-US" w:bidi="ar"/>
              </w:rPr>
            </w:pPr>
            <w:r>
              <w:rPr>
                <w:rFonts w:hint="default" w:ascii="宋体" w:hAnsi="宋体" w:cs="宋体"/>
                <w:color w:val="auto"/>
                <w:kern w:val="0"/>
                <w:sz w:val="24"/>
                <w:highlight w:val="none"/>
                <w:lang w:val="en-US" w:bidi="ar"/>
              </w:rPr>
              <w:t>1</w:t>
            </w:r>
          </w:p>
        </w:tc>
        <w:tc>
          <w:tcPr>
            <w:tcW w:w="1287" w:type="pct"/>
            <w:vMerge w:val="continue"/>
            <w:tcBorders>
              <w:left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113" w:hRule="atLeast"/>
        </w:trPr>
        <w:tc>
          <w:tcPr>
            <w:tcW w:w="563" w:type="pct"/>
            <w:vMerge w:val="continue"/>
            <w:tcBorders>
              <w:bottom w:val="single" w:color="000000" w:sz="8" w:space="0"/>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color w:val="auto"/>
                <w:kern w:val="0"/>
                <w:sz w:val="24"/>
                <w:highlight w:val="none"/>
                <w:lang w:eastAsia="zh-CN" w:bidi="ar"/>
              </w:rPr>
            </w:pPr>
            <w:r>
              <w:rPr>
                <w:rFonts w:hint="eastAsia" w:ascii="宋体" w:hAnsi="宋体" w:cs="宋体"/>
                <w:color w:val="auto"/>
                <w:kern w:val="0"/>
                <w:sz w:val="24"/>
                <w:highlight w:val="none"/>
                <w:lang w:bidi="ar"/>
              </w:rPr>
              <w:t>投标产品软件技术指标与</w:t>
            </w:r>
            <w:r>
              <w:rPr>
                <w:rFonts w:hint="eastAsia" w:ascii="宋体" w:hAnsi="宋体" w:cs="宋体"/>
                <w:b/>
                <w:bCs/>
                <w:color w:val="auto"/>
                <w:kern w:val="0"/>
                <w:sz w:val="24"/>
                <w:highlight w:val="none"/>
                <w:lang w:bidi="ar"/>
              </w:rPr>
              <w:t>测评服务</w:t>
            </w:r>
            <w:r>
              <w:rPr>
                <w:rFonts w:hint="eastAsia" w:ascii="宋体" w:hAnsi="宋体" w:cs="宋体"/>
                <w:color w:val="auto"/>
                <w:kern w:val="0"/>
                <w:sz w:val="24"/>
                <w:highlight w:val="none"/>
                <w:lang w:bidi="ar"/>
              </w:rPr>
              <w:t>建设需求的吻合程度，包括</w:t>
            </w:r>
            <w:r>
              <w:rPr>
                <w:rFonts w:hint="eastAsia" w:ascii="宋体" w:hAnsi="宋体" w:cs="宋体"/>
                <w:color w:val="auto"/>
                <w:kern w:val="0"/>
                <w:sz w:val="24"/>
                <w:highlight w:val="none"/>
                <w:lang w:val="en-US" w:eastAsia="zh-CN" w:bidi="ar"/>
              </w:rPr>
              <w:t>:</w:t>
            </w:r>
            <w:r>
              <w:rPr>
                <w:rFonts w:hint="eastAsia" w:ascii="宋体" w:hAnsi="宋体" w:cs="宋体"/>
                <w:color w:val="auto"/>
                <w:kern w:val="0"/>
                <w:sz w:val="24"/>
                <w:highlight w:val="none"/>
                <w:lang w:bidi="ar"/>
              </w:rPr>
              <w:t>①等保测评（三年三级等保）②密评（三年）功能需求</w:t>
            </w:r>
            <w:r>
              <w:rPr>
                <w:rFonts w:hint="eastAsia" w:ascii="宋体" w:hAnsi="宋体" w:cs="宋体"/>
                <w:color w:val="auto"/>
                <w:kern w:val="0"/>
                <w:sz w:val="24"/>
                <w:highlight w:val="none"/>
                <w:lang w:eastAsia="zh-CN" w:bidi="ar"/>
              </w:rPr>
              <w:t>。</w:t>
            </w:r>
          </w:p>
          <w:p>
            <w:pPr>
              <w:widowControl/>
              <w:textAlignment w:val="center"/>
              <w:rPr>
                <w:rFonts w:hint="default" w:ascii="宋体" w:hAnsi="宋体" w:eastAsia="宋体" w:cs="宋体"/>
                <w:color w:val="auto"/>
                <w:kern w:val="0"/>
                <w:sz w:val="24"/>
                <w:highlight w:val="none"/>
                <w:lang w:val="en-US" w:eastAsia="zh-CN" w:bidi="ar"/>
              </w:rPr>
            </w:pPr>
            <w:r>
              <w:rPr>
                <w:rFonts w:hint="eastAsia" w:ascii="宋体" w:hAnsi="宋体" w:cs="宋体"/>
                <w:color w:val="auto"/>
                <w:sz w:val="24"/>
                <w:highlight w:val="none"/>
              </w:rPr>
              <w:t>满足一项得</w:t>
            </w:r>
            <w:r>
              <w:rPr>
                <w:rFonts w:hint="default" w:ascii="宋体" w:hAnsi="宋体" w:cs="宋体"/>
                <w:color w:val="auto"/>
                <w:sz w:val="24"/>
                <w:highlight w:val="none"/>
                <w:lang w:val="en-US"/>
              </w:rPr>
              <w:t>0.5</w:t>
            </w:r>
            <w:r>
              <w:rPr>
                <w:rFonts w:hint="eastAsia" w:ascii="宋体" w:hAnsi="宋体" w:cs="宋体"/>
                <w:color w:val="auto"/>
                <w:sz w:val="24"/>
                <w:highlight w:val="none"/>
              </w:rPr>
              <w:t>分，不满足不得分</w:t>
            </w:r>
            <w:r>
              <w:rPr>
                <w:rFonts w:hint="eastAsia" w:ascii="宋体" w:hAnsi="宋体" w:cs="宋体"/>
                <w:color w:val="auto"/>
                <w:sz w:val="24"/>
                <w:highlight w:val="none"/>
                <w:lang w:eastAsia="zh-CN"/>
              </w:rPr>
              <w:t>，共</w:t>
            </w:r>
            <w:r>
              <w:rPr>
                <w:rFonts w:hint="default" w:ascii="宋体" w:hAnsi="宋体" w:cs="宋体"/>
                <w:color w:val="auto"/>
                <w:sz w:val="24"/>
                <w:highlight w:val="none"/>
                <w:lang w:val="en-US"/>
              </w:rPr>
              <w:t>1</w:t>
            </w:r>
            <w:r>
              <w:rPr>
                <w:rFonts w:hint="eastAsia" w:ascii="宋体" w:hAnsi="宋体" w:cs="宋体"/>
                <w:color w:val="auto"/>
                <w:sz w:val="24"/>
                <w:highlight w:val="none"/>
              </w:rPr>
              <w:t>分。</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auto"/>
                <w:kern w:val="0"/>
                <w:sz w:val="24"/>
                <w:highlight w:val="none"/>
                <w:lang w:val="en-US" w:bidi="ar"/>
              </w:rPr>
            </w:pPr>
            <w:r>
              <w:rPr>
                <w:rFonts w:hint="default" w:ascii="宋体" w:hAnsi="宋体" w:cs="宋体"/>
                <w:color w:val="auto"/>
                <w:kern w:val="0"/>
                <w:sz w:val="24"/>
                <w:highlight w:val="none"/>
                <w:lang w:val="en-US" w:bidi="ar"/>
              </w:rPr>
              <w:t>1</w:t>
            </w:r>
          </w:p>
        </w:tc>
        <w:tc>
          <w:tcPr>
            <w:tcW w:w="1287" w:type="pct"/>
            <w:vMerge w:val="continue"/>
            <w:tcBorders>
              <w:left w:val="single" w:color="000000" w:sz="8" w:space="0"/>
              <w:bottom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tcBorders>
              <w:top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3</w:t>
            </w:r>
          </w:p>
        </w:tc>
        <w:tc>
          <w:tcPr>
            <w:tcW w:w="2441" w:type="pc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投标人项目组织实施方案的科学性、合理性、规范性和可操作性，包括①软件开发、②系统设计、③调试调优、④组织机构、⑤工作时间进度表、⑥工作程序和步骤、⑦管理和协调方法、⑧关键步骤的思路和要点等。每一项内容完整、措施有效、符合</w:t>
            </w:r>
            <w:r>
              <w:rPr>
                <w:rFonts w:hint="eastAsia" w:ascii="宋体" w:hAnsi="宋体" w:cs="宋体"/>
                <w:color w:val="auto"/>
                <w:kern w:val="0"/>
                <w:sz w:val="24"/>
                <w:highlight w:val="none"/>
                <w:lang w:eastAsia="zh-CN" w:bidi="ar"/>
              </w:rPr>
              <w:t>采购需求</w:t>
            </w:r>
            <w:r>
              <w:rPr>
                <w:rFonts w:hint="eastAsia" w:ascii="宋体" w:hAnsi="宋体" w:cs="宋体"/>
                <w:color w:val="auto"/>
                <w:kern w:val="0"/>
                <w:sz w:val="24"/>
                <w:highlight w:val="none"/>
                <w:lang w:bidi="ar"/>
              </w:rPr>
              <w:t>视为合理，合理得1分，否则不得分，</w:t>
            </w:r>
            <w:r>
              <w:rPr>
                <w:rFonts w:hint="eastAsia" w:ascii="宋体" w:hAnsi="宋体" w:cs="宋体"/>
                <w:color w:val="auto"/>
                <w:kern w:val="0"/>
                <w:sz w:val="24"/>
                <w:highlight w:val="none"/>
                <w:lang w:eastAsia="zh-CN" w:bidi="ar"/>
              </w:rPr>
              <w:t>共</w:t>
            </w:r>
            <w:r>
              <w:rPr>
                <w:rFonts w:hint="eastAsia" w:ascii="宋体" w:hAnsi="宋体" w:cs="宋体"/>
                <w:color w:val="auto"/>
                <w:kern w:val="0"/>
                <w:sz w:val="24"/>
                <w:highlight w:val="none"/>
                <w:lang w:bidi="ar"/>
              </w:rPr>
              <w:t>8分。</w:t>
            </w:r>
          </w:p>
        </w:tc>
        <w:tc>
          <w:tcPr>
            <w:tcW w:w="707" w:type="pc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8</w:t>
            </w:r>
          </w:p>
        </w:tc>
        <w:tc>
          <w:tcPr>
            <w:tcW w:w="1287" w:type="pct"/>
            <w:tcBorders>
              <w:top w:val="single" w:color="000000" w:sz="8" w:space="0"/>
              <w:left w:val="single" w:color="000000" w:sz="8" w:space="0"/>
              <w:bottom w:val="single" w:color="000000" w:sz="8"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b/>
                <w:bCs/>
                <w:color w:val="auto"/>
                <w:kern w:val="0"/>
                <w:sz w:val="24"/>
                <w:highlight w:val="none"/>
                <w:lang w:bidi="ar"/>
              </w:rPr>
              <w:t>（三）实施组织方案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tcBorders>
              <w:top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4</w:t>
            </w: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color w:val="auto"/>
                <w:sz w:val="24"/>
                <w:highlight w:val="none"/>
              </w:rPr>
              <w:t>项目验收完成后，投标人承诺①须提供至少一年的质保期，②项目验收后提供7*24小时售后技术服务，③0.5小时内做出明确响应和安排，④现场响应时间要求是接到用户需求电话后2小时内到达</w:t>
            </w:r>
            <w:r>
              <w:rPr>
                <w:rFonts w:hint="eastAsia" w:ascii="宋体" w:hAnsi="宋体" w:cs="宋体"/>
                <w:color w:val="auto"/>
                <w:sz w:val="24"/>
                <w:highlight w:val="none"/>
                <w:lang w:eastAsia="zh-CN"/>
              </w:rPr>
              <w:t>，</w:t>
            </w:r>
            <w:r>
              <w:rPr>
                <w:rFonts w:hint="eastAsia" w:ascii="宋体" w:hAnsi="宋体" w:cs="宋体"/>
                <w:color w:val="auto"/>
                <w:sz w:val="24"/>
                <w:highlight w:val="none"/>
              </w:rPr>
              <w:t>⑤用户对系统的适应性功能的修改、已有数据交换接口调整。满足一项得1分，不满足不得分</w:t>
            </w:r>
            <w:r>
              <w:rPr>
                <w:rFonts w:hint="eastAsia" w:ascii="宋体" w:hAnsi="宋体" w:cs="宋体"/>
                <w:color w:val="auto"/>
                <w:sz w:val="24"/>
                <w:highlight w:val="none"/>
                <w:lang w:eastAsia="zh-CN"/>
              </w:rPr>
              <w:t>，共</w:t>
            </w:r>
            <w:r>
              <w:rPr>
                <w:rFonts w:hint="eastAsia" w:ascii="宋体" w:hAnsi="宋体" w:cs="宋体"/>
                <w:color w:val="auto"/>
                <w:sz w:val="24"/>
                <w:highlight w:val="none"/>
              </w:rPr>
              <w:t>5分。</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default" w:ascii="宋体" w:hAnsi="宋体" w:cs="宋体"/>
                <w:color w:val="auto"/>
                <w:kern w:val="0"/>
                <w:sz w:val="24"/>
                <w:highlight w:val="none"/>
                <w:lang w:val="en-US" w:bidi="ar"/>
              </w:rPr>
              <w:t>5</w:t>
            </w:r>
          </w:p>
        </w:tc>
        <w:tc>
          <w:tcPr>
            <w:tcW w:w="1287" w:type="pct"/>
            <w:tcBorders>
              <w:top w:val="single" w:color="000000" w:sz="8" w:space="0"/>
              <w:left w:val="single" w:color="000000" w:sz="8" w:space="0"/>
              <w:bottom w:val="single" w:color="000000" w:sz="8"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b/>
                <w:bCs/>
                <w:color w:val="auto"/>
                <w:kern w:val="0"/>
                <w:sz w:val="24"/>
                <w:highlight w:val="none"/>
                <w:lang w:bidi="ar"/>
              </w:rPr>
              <w:t>（四）售后服务组织方案情况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tcBorders>
              <w:top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5</w:t>
            </w: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从</w:t>
            </w:r>
            <w:r>
              <w:rPr>
                <w:rFonts w:hint="eastAsia" w:ascii="宋体" w:hAnsi="宋体" w:cs="宋体"/>
                <w:color w:val="auto"/>
                <w:sz w:val="24"/>
                <w:highlight w:val="none"/>
              </w:rPr>
              <w:t>①</w:t>
            </w:r>
            <w:r>
              <w:rPr>
                <w:rFonts w:hint="eastAsia" w:ascii="宋体" w:hAnsi="宋体" w:cs="宋体"/>
                <w:color w:val="auto"/>
                <w:kern w:val="0"/>
                <w:sz w:val="24"/>
                <w:highlight w:val="none"/>
                <w:lang w:bidi="ar"/>
              </w:rPr>
              <w:t>安全策略、</w:t>
            </w:r>
            <w:r>
              <w:rPr>
                <w:rFonts w:hint="eastAsia" w:ascii="宋体" w:hAnsi="宋体" w:cs="宋体"/>
                <w:color w:val="auto"/>
                <w:sz w:val="24"/>
                <w:highlight w:val="none"/>
              </w:rPr>
              <w:t>②</w:t>
            </w:r>
            <w:r>
              <w:rPr>
                <w:rFonts w:hint="eastAsia" w:ascii="宋体" w:hAnsi="宋体" w:cs="宋体"/>
                <w:color w:val="auto"/>
                <w:kern w:val="0"/>
                <w:sz w:val="24"/>
                <w:highlight w:val="none"/>
                <w:lang w:bidi="ar"/>
              </w:rPr>
              <w:t>系统安全风险分析、</w:t>
            </w:r>
            <w:r>
              <w:rPr>
                <w:rFonts w:hint="eastAsia" w:ascii="宋体" w:hAnsi="宋体" w:cs="宋体"/>
                <w:color w:val="auto"/>
                <w:sz w:val="24"/>
                <w:highlight w:val="none"/>
              </w:rPr>
              <w:t>③</w:t>
            </w:r>
            <w:r>
              <w:rPr>
                <w:rFonts w:hint="eastAsia" w:ascii="宋体" w:hAnsi="宋体" w:cs="宋体"/>
                <w:color w:val="auto"/>
                <w:kern w:val="0"/>
                <w:sz w:val="24"/>
                <w:highlight w:val="none"/>
                <w:lang w:bidi="ar"/>
              </w:rPr>
              <w:t>系统安全防护设计、</w:t>
            </w:r>
            <w:r>
              <w:rPr>
                <w:rFonts w:hint="eastAsia" w:ascii="宋体" w:hAnsi="宋体" w:cs="宋体"/>
                <w:color w:val="auto"/>
                <w:sz w:val="24"/>
                <w:highlight w:val="none"/>
              </w:rPr>
              <w:t>④</w:t>
            </w:r>
            <w:r>
              <w:rPr>
                <w:rFonts w:hint="eastAsia" w:ascii="宋体" w:hAnsi="宋体" w:cs="宋体"/>
                <w:color w:val="auto"/>
                <w:kern w:val="0"/>
                <w:sz w:val="24"/>
                <w:highlight w:val="none"/>
                <w:lang w:bidi="ar"/>
              </w:rPr>
              <w:t>软件系统安全策略、</w:t>
            </w:r>
            <w:r>
              <w:rPr>
                <w:rFonts w:hint="eastAsia" w:ascii="宋体" w:hAnsi="宋体" w:cs="宋体"/>
                <w:color w:val="auto"/>
                <w:sz w:val="24"/>
                <w:highlight w:val="none"/>
              </w:rPr>
              <w:t>⑤</w:t>
            </w:r>
            <w:r>
              <w:rPr>
                <w:rFonts w:hint="eastAsia" w:ascii="宋体" w:hAnsi="宋体" w:cs="宋体"/>
                <w:color w:val="auto"/>
                <w:kern w:val="0"/>
                <w:sz w:val="24"/>
                <w:highlight w:val="none"/>
                <w:lang w:bidi="ar"/>
              </w:rPr>
              <w:t>业务终端安全防护及</w:t>
            </w:r>
            <w:r>
              <w:rPr>
                <w:rFonts w:hint="eastAsia" w:ascii="宋体" w:hAnsi="宋体" w:cs="宋体"/>
                <w:color w:val="auto"/>
                <w:kern w:val="0"/>
                <w:sz w:val="24"/>
                <w:highlight w:val="none"/>
                <w:lang w:val="en-US" w:eastAsia="zh-CN" w:bidi="ar"/>
              </w:rPr>
              <w:t>⑥</w:t>
            </w:r>
            <w:r>
              <w:rPr>
                <w:rFonts w:hint="eastAsia" w:ascii="宋体" w:hAnsi="宋体" w:cs="宋体"/>
                <w:color w:val="auto"/>
                <w:kern w:val="0"/>
                <w:sz w:val="24"/>
                <w:highlight w:val="none"/>
                <w:lang w:bidi="ar"/>
              </w:rPr>
              <w:t>安全管理制度等方面阐述系统运行信息安全策略。</w:t>
            </w:r>
            <w:r>
              <w:rPr>
                <w:rFonts w:hint="eastAsia" w:ascii="宋体" w:hAnsi="宋体" w:cs="宋体"/>
                <w:color w:val="auto"/>
                <w:sz w:val="24"/>
                <w:highlight w:val="none"/>
              </w:rPr>
              <w:t>满足一项得1分，不满足不得分</w:t>
            </w:r>
            <w:r>
              <w:rPr>
                <w:rFonts w:hint="eastAsia" w:ascii="宋体" w:hAnsi="宋体" w:cs="宋体"/>
                <w:color w:val="auto"/>
                <w:sz w:val="24"/>
                <w:highlight w:val="none"/>
                <w:lang w:eastAsia="zh-CN"/>
              </w:rPr>
              <w:t>，共</w:t>
            </w:r>
            <w:r>
              <w:rPr>
                <w:rFonts w:hint="default" w:ascii="宋体" w:hAnsi="宋体" w:cs="宋体"/>
                <w:color w:val="auto"/>
                <w:sz w:val="24"/>
                <w:highlight w:val="none"/>
                <w:lang w:val="en-US"/>
              </w:rPr>
              <w:t>6</w:t>
            </w:r>
            <w:r>
              <w:rPr>
                <w:rFonts w:hint="eastAsia" w:ascii="宋体" w:hAnsi="宋体" w:cs="宋体"/>
                <w:color w:val="auto"/>
                <w:sz w:val="24"/>
                <w:highlight w:val="none"/>
              </w:rPr>
              <w:t>分。</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6</w:t>
            </w:r>
          </w:p>
        </w:tc>
        <w:tc>
          <w:tcPr>
            <w:tcW w:w="1287" w:type="pct"/>
            <w:tcBorders>
              <w:top w:val="single" w:color="000000" w:sz="8" w:space="0"/>
              <w:left w:val="single" w:color="000000" w:sz="8" w:space="0"/>
              <w:bottom w:val="single" w:color="000000" w:sz="8"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b/>
                <w:bCs/>
                <w:color w:val="auto"/>
                <w:kern w:val="0"/>
                <w:sz w:val="24"/>
                <w:highlight w:val="none"/>
                <w:lang w:bidi="ar"/>
              </w:rPr>
              <w:t>（五）信息安全保障能力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restart"/>
            <w:tcBorders>
              <w:top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6</w:t>
            </w: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bidi="ar"/>
              </w:rPr>
              <w:t>拟担任项目经理同时具有高级信息系统项目管理师和高级工程师职称</w:t>
            </w:r>
            <w:r>
              <w:rPr>
                <w:rFonts w:hint="eastAsia" w:ascii="宋体" w:hAnsi="宋体" w:cs="宋体"/>
                <w:color w:val="auto"/>
                <w:kern w:val="0"/>
                <w:sz w:val="24"/>
                <w:highlight w:val="none"/>
                <w:lang w:eastAsia="zh-CN" w:bidi="ar"/>
              </w:rPr>
              <w:t>，</w:t>
            </w:r>
            <w:r>
              <w:rPr>
                <w:rFonts w:hint="eastAsia" w:ascii="宋体" w:hAnsi="宋体" w:eastAsia="宋体" w:cs="宋体"/>
                <w:color w:val="auto"/>
                <w:kern w:val="0"/>
                <w:sz w:val="24"/>
                <w:highlight w:val="none"/>
                <w:lang w:bidi="ar"/>
              </w:rPr>
              <w:t>符合得3分，</w:t>
            </w:r>
            <w:r>
              <w:rPr>
                <w:rFonts w:hint="eastAsia" w:ascii="宋体" w:hAnsi="宋体" w:cs="宋体"/>
                <w:color w:val="auto"/>
                <w:kern w:val="0"/>
                <w:sz w:val="24"/>
                <w:highlight w:val="none"/>
                <w:lang w:eastAsia="zh-CN" w:bidi="ar"/>
              </w:rPr>
              <w:t>缺漏或</w:t>
            </w:r>
            <w:r>
              <w:rPr>
                <w:rFonts w:hint="eastAsia" w:ascii="宋体" w:hAnsi="宋体" w:eastAsia="宋体" w:cs="宋体"/>
                <w:color w:val="auto"/>
                <w:kern w:val="0"/>
                <w:sz w:val="24"/>
                <w:highlight w:val="none"/>
                <w:lang w:bidi="ar"/>
              </w:rPr>
              <w:t>不符合</w:t>
            </w:r>
            <w:r>
              <w:rPr>
                <w:rFonts w:hint="eastAsia" w:ascii="宋体" w:hAnsi="宋体" w:cs="宋体"/>
                <w:color w:val="auto"/>
                <w:kern w:val="0"/>
                <w:sz w:val="24"/>
                <w:highlight w:val="none"/>
                <w:lang w:eastAsia="zh-CN" w:bidi="ar"/>
              </w:rPr>
              <w:t>皆</w:t>
            </w:r>
            <w:bookmarkStart w:id="480" w:name="_GoBack"/>
            <w:bookmarkEnd w:id="480"/>
            <w:r>
              <w:rPr>
                <w:rFonts w:hint="eastAsia" w:ascii="宋体" w:hAnsi="宋体" w:eastAsia="宋体" w:cs="宋体"/>
                <w:color w:val="auto"/>
                <w:kern w:val="0"/>
                <w:sz w:val="24"/>
                <w:highlight w:val="none"/>
                <w:lang w:bidi="ar"/>
              </w:rPr>
              <w:t>不得分</w:t>
            </w:r>
            <w:r>
              <w:rPr>
                <w:rFonts w:hint="eastAsia" w:ascii="宋体" w:hAnsi="宋体" w:eastAsia="宋体" w:cs="宋体"/>
                <w:color w:val="auto"/>
                <w:kern w:val="0"/>
                <w:sz w:val="24"/>
                <w:highlight w:val="none"/>
                <w:lang w:eastAsia="zh-CN" w:bidi="ar"/>
              </w:rPr>
              <w:t>。</w:t>
            </w:r>
            <w:r>
              <w:rPr>
                <w:rFonts w:hint="eastAsia" w:ascii="宋体" w:hAnsi="宋体" w:cs="宋体"/>
                <w:color w:val="auto"/>
                <w:kern w:val="0"/>
                <w:sz w:val="24"/>
                <w:highlight w:val="none"/>
                <w:lang w:bidi="ar"/>
              </w:rPr>
              <w:t>（注：证书上的名字须与担任项目</w:t>
            </w:r>
            <w:r>
              <w:rPr>
                <w:rFonts w:hint="eastAsia" w:ascii="宋体" w:hAnsi="宋体" w:cs="宋体"/>
                <w:color w:val="auto"/>
                <w:kern w:val="0"/>
                <w:sz w:val="24"/>
                <w:highlight w:val="none"/>
                <w:lang w:val="en-US" w:eastAsia="zh-CN" w:bidi="ar"/>
              </w:rPr>
              <w:t>经理的人员</w:t>
            </w:r>
            <w:r>
              <w:rPr>
                <w:rFonts w:hint="eastAsia" w:ascii="宋体" w:hAnsi="宋体" w:cs="宋体"/>
                <w:color w:val="auto"/>
                <w:kern w:val="0"/>
                <w:sz w:val="24"/>
                <w:highlight w:val="none"/>
                <w:lang w:bidi="ar"/>
              </w:rPr>
              <w:t>相一致，提供近6个月内社保证明及相应证书复印件加盖公章</w:t>
            </w:r>
            <w:r>
              <w:rPr>
                <w:rFonts w:hint="eastAsia" w:ascii="宋体" w:hAnsi="宋体" w:cs="宋体"/>
                <w:color w:val="auto"/>
                <w:kern w:val="0"/>
                <w:sz w:val="24"/>
                <w:highlight w:val="none"/>
                <w:lang w:eastAsia="zh-CN" w:bidi="ar"/>
              </w:rPr>
              <w:t>，</w:t>
            </w:r>
            <w:r>
              <w:rPr>
                <w:rFonts w:hint="eastAsia" w:ascii="宋体" w:hAnsi="宋体" w:cs="宋体"/>
                <w:color w:val="auto"/>
                <w:kern w:val="0"/>
                <w:sz w:val="24"/>
                <w:highlight w:val="none"/>
                <w:lang w:bidi="ar"/>
              </w:rPr>
              <w:t>否则不得分）</w:t>
            </w:r>
            <w:r>
              <w:rPr>
                <w:rFonts w:hint="eastAsia" w:ascii="宋体" w:hAnsi="宋体" w:cs="宋体"/>
                <w:color w:val="auto"/>
                <w:kern w:val="0"/>
                <w:sz w:val="24"/>
                <w:highlight w:val="none"/>
                <w:lang w:eastAsia="zh-CN" w:bidi="ar"/>
              </w:rPr>
              <w:t>。</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default" w:ascii="宋体" w:hAnsi="宋体" w:cs="宋体"/>
                <w:color w:val="auto"/>
                <w:kern w:val="0"/>
                <w:sz w:val="24"/>
                <w:highlight w:val="none"/>
                <w:lang w:val="en-US" w:bidi="ar"/>
              </w:rPr>
              <w:t>3</w:t>
            </w:r>
          </w:p>
        </w:tc>
        <w:tc>
          <w:tcPr>
            <w:tcW w:w="1287" w:type="pct"/>
            <w:vMerge w:val="restart"/>
            <w:tcBorders>
              <w:top w:val="single" w:color="000000" w:sz="8" w:space="0"/>
              <w:left w:val="single" w:color="000000" w:sz="8" w:space="0"/>
              <w:bottom w:val="single" w:color="000000" w:sz="8"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b/>
                <w:bCs/>
                <w:color w:val="auto"/>
                <w:kern w:val="0"/>
                <w:sz w:val="24"/>
                <w:highlight w:val="none"/>
                <w:lang w:bidi="ar"/>
              </w:rPr>
              <w:t>（六）项目组人员情况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continue"/>
            <w:tcBorders>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bidi="ar"/>
              </w:rPr>
              <w:t>拟担任本项目技术负责人具有高级工程师职称</w:t>
            </w:r>
            <w:r>
              <w:rPr>
                <w:rFonts w:hint="eastAsia" w:ascii="宋体" w:hAnsi="宋体" w:cs="宋体"/>
                <w:color w:val="auto"/>
                <w:kern w:val="0"/>
                <w:sz w:val="24"/>
                <w:highlight w:val="none"/>
                <w:lang w:eastAsia="zh-CN" w:bidi="ar"/>
              </w:rPr>
              <w:t>，</w:t>
            </w:r>
            <w:r>
              <w:rPr>
                <w:rFonts w:hint="eastAsia" w:ascii="宋体" w:hAnsi="宋体" w:eastAsia="宋体" w:cs="宋体"/>
                <w:color w:val="auto"/>
                <w:kern w:val="0"/>
                <w:sz w:val="24"/>
                <w:highlight w:val="none"/>
                <w:lang w:bidi="ar"/>
              </w:rPr>
              <w:t>符合得</w:t>
            </w:r>
            <w:r>
              <w:rPr>
                <w:rFonts w:hint="default" w:ascii="宋体" w:hAnsi="宋体" w:cs="宋体"/>
                <w:color w:val="auto"/>
                <w:kern w:val="0"/>
                <w:sz w:val="24"/>
                <w:highlight w:val="none"/>
                <w:lang w:val="en-US" w:bidi="ar"/>
              </w:rPr>
              <w:t>2</w:t>
            </w:r>
            <w:r>
              <w:rPr>
                <w:rFonts w:hint="eastAsia" w:ascii="宋体" w:hAnsi="宋体" w:eastAsia="宋体" w:cs="宋体"/>
                <w:color w:val="auto"/>
                <w:kern w:val="0"/>
                <w:sz w:val="24"/>
                <w:highlight w:val="none"/>
                <w:lang w:bidi="ar"/>
              </w:rPr>
              <w:t>分，不符合不得分</w:t>
            </w:r>
            <w:r>
              <w:rPr>
                <w:rFonts w:hint="eastAsia" w:ascii="宋体" w:hAnsi="宋体" w:cs="宋体"/>
                <w:color w:val="auto"/>
                <w:kern w:val="0"/>
                <w:sz w:val="24"/>
                <w:highlight w:val="none"/>
                <w:lang w:bidi="ar"/>
              </w:rPr>
              <w:t>（注：证书上的名字须与担任项目</w:t>
            </w:r>
            <w:r>
              <w:rPr>
                <w:rFonts w:hint="eastAsia" w:ascii="宋体" w:hAnsi="宋体" w:cs="宋体"/>
                <w:color w:val="auto"/>
                <w:kern w:val="0"/>
                <w:sz w:val="24"/>
                <w:highlight w:val="none"/>
                <w:lang w:val="en-US" w:eastAsia="zh-CN" w:bidi="ar"/>
              </w:rPr>
              <w:t>技术负责人</w:t>
            </w:r>
            <w:r>
              <w:rPr>
                <w:rFonts w:hint="eastAsia" w:ascii="宋体" w:hAnsi="宋体" w:cs="宋体"/>
                <w:color w:val="auto"/>
                <w:kern w:val="0"/>
                <w:sz w:val="24"/>
                <w:highlight w:val="none"/>
                <w:lang w:bidi="ar"/>
              </w:rPr>
              <w:t>相一致，提供近6个月内社保证明及相应证书复印件加盖公章</w:t>
            </w:r>
            <w:r>
              <w:rPr>
                <w:rFonts w:hint="eastAsia" w:ascii="宋体" w:hAnsi="宋体" w:cs="宋体"/>
                <w:color w:val="auto"/>
                <w:kern w:val="0"/>
                <w:sz w:val="24"/>
                <w:highlight w:val="none"/>
                <w:lang w:eastAsia="zh-CN" w:bidi="ar"/>
              </w:rPr>
              <w:t>，</w:t>
            </w:r>
            <w:r>
              <w:rPr>
                <w:rFonts w:hint="eastAsia" w:ascii="宋体" w:hAnsi="宋体" w:cs="宋体"/>
                <w:color w:val="auto"/>
                <w:kern w:val="0"/>
                <w:sz w:val="24"/>
                <w:highlight w:val="none"/>
                <w:lang w:bidi="ar"/>
              </w:rPr>
              <w:t>否则不得分）</w:t>
            </w:r>
            <w:r>
              <w:rPr>
                <w:rFonts w:hint="eastAsia" w:ascii="宋体" w:hAnsi="宋体" w:cs="宋体"/>
                <w:color w:val="auto"/>
                <w:kern w:val="0"/>
                <w:sz w:val="24"/>
                <w:highlight w:val="none"/>
                <w:lang w:eastAsia="zh-CN" w:bidi="ar"/>
              </w:rPr>
              <w:t>。</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ascii="宋体" w:hAnsi="宋体" w:cs="宋体"/>
                <w:color w:val="auto"/>
                <w:kern w:val="0"/>
                <w:sz w:val="24"/>
                <w:highlight w:val="none"/>
                <w:lang w:bidi="ar"/>
              </w:rPr>
              <w:t>2</w:t>
            </w:r>
          </w:p>
        </w:tc>
        <w:tc>
          <w:tcPr>
            <w:tcW w:w="1287" w:type="pct"/>
            <w:vMerge w:val="continue"/>
            <w:tcBorders>
              <w:top w:val="single" w:color="000000" w:sz="8" w:space="0"/>
              <w:left w:val="single" w:color="000000" w:sz="8" w:space="0"/>
              <w:bottom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continue"/>
            <w:tcBorders>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bidi="ar"/>
              </w:rPr>
              <w:t>拟担任项目组技术人员（除项目经理和技术负责人外）情况：技术人员是否具有高级工程师职称或信息系统项目管理师证书，每人提供1本有效证书得1分，共</w:t>
            </w:r>
            <w:r>
              <w:rPr>
                <w:rFonts w:hint="default" w:ascii="宋体" w:hAnsi="宋体" w:cs="宋体"/>
                <w:color w:val="auto"/>
                <w:kern w:val="0"/>
                <w:sz w:val="24"/>
                <w:highlight w:val="none"/>
                <w:lang w:val="en-US" w:bidi="ar"/>
              </w:rPr>
              <w:t>3</w:t>
            </w:r>
            <w:r>
              <w:rPr>
                <w:rFonts w:hint="eastAsia" w:ascii="宋体" w:hAnsi="宋体" w:cs="宋体"/>
                <w:color w:val="auto"/>
                <w:kern w:val="0"/>
                <w:sz w:val="24"/>
                <w:highlight w:val="none"/>
                <w:lang w:bidi="ar"/>
              </w:rPr>
              <w:t>分（注：证书上的名字须与担任项目组技术人员相一致，提供近6个月内社保证明及相应证书复印件加盖公章，否则不得分）</w:t>
            </w:r>
            <w:r>
              <w:rPr>
                <w:rFonts w:hint="eastAsia" w:ascii="宋体" w:hAnsi="宋体" w:cs="宋体"/>
                <w:color w:val="auto"/>
                <w:kern w:val="0"/>
                <w:sz w:val="24"/>
                <w:highlight w:val="none"/>
                <w:lang w:eastAsia="zh-CN" w:bidi="ar"/>
              </w:rPr>
              <w:t>。</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default" w:ascii="宋体" w:hAnsi="宋体" w:cs="宋体"/>
                <w:color w:val="auto"/>
                <w:kern w:val="0"/>
                <w:sz w:val="24"/>
                <w:highlight w:val="none"/>
                <w:lang w:val="en-US" w:bidi="ar"/>
              </w:rPr>
              <w:t>3</w:t>
            </w:r>
          </w:p>
        </w:tc>
        <w:tc>
          <w:tcPr>
            <w:tcW w:w="1287" w:type="pct"/>
            <w:vMerge w:val="continue"/>
            <w:tcBorders>
              <w:top w:val="single" w:color="000000" w:sz="8" w:space="0"/>
              <w:left w:val="single" w:color="000000" w:sz="8" w:space="0"/>
              <w:bottom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continue"/>
            <w:tcBorders>
              <w:bottom w:val="single" w:color="000000" w:sz="8" w:space="0"/>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default" w:ascii="宋体" w:hAnsi="宋体" w:eastAsia="宋体" w:cs="宋体"/>
                <w:color w:val="auto"/>
                <w:kern w:val="0"/>
                <w:sz w:val="24"/>
                <w:highlight w:val="none"/>
                <w:lang w:val="en-US" w:eastAsia="zh-CN" w:bidi="ar"/>
              </w:rPr>
            </w:pPr>
            <w:r>
              <w:rPr>
                <w:rFonts w:hint="eastAsia" w:ascii="宋体" w:hAnsi="宋体" w:cs="宋体"/>
                <w:color w:val="auto"/>
                <w:sz w:val="24"/>
                <w:szCs w:val="22"/>
                <w:highlight w:val="none"/>
              </w:rPr>
              <w:t>项目建设工期内</w:t>
            </w:r>
            <w:r>
              <w:rPr>
                <w:rFonts w:hint="eastAsia" w:ascii="宋体" w:hAnsi="宋体" w:cs="宋体"/>
                <w:color w:val="auto"/>
                <w:sz w:val="24"/>
                <w:szCs w:val="22"/>
                <w:highlight w:val="none"/>
                <w:lang w:eastAsia="zh-CN"/>
              </w:rPr>
              <w:t>是否能</w:t>
            </w:r>
            <w:r>
              <w:rPr>
                <w:rFonts w:hint="eastAsia" w:ascii="宋体" w:hAnsi="宋体" w:cs="宋体"/>
                <w:color w:val="auto"/>
                <w:sz w:val="24"/>
                <w:szCs w:val="22"/>
                <w:highlight w:val="none"/>
              </w:rPr>
              <w:t>派出1名经验丰富的运维技术人员驻场服务</w:t>
            </w:r>
            <w:r>
              <w:rPr>
                <w:rFonts w:hint="eastAsia" w:ascii="宋体" w:hAnsi="宋体" w:cs="宋体"/>
                <w:color w:val="auto"/>
                <w:sz w:val="24"/>
                <w:szCs w:val="22"/>
                <w:highlight w:val="none"/>
                <w:lang w:eastAsia="zh-CN"/>
              </w:rPr>
              <w:t>，满足得</w:t>
            </w:r>
            <w:r>
              <w:rPr>
                <w:rFonts w:hint="default" w:ascii="宋体" w:hAnsi="宋体" w:cs="宋体"/>
                <w:color w:val="auto"/>
                <w:sz w:val="24"/>
                <w:szCs w:val="22"/>
                <w:highlight w:val="none"/>
                <w:lang w:val="en-US" w:eastAsia="zh-CN"/>
              </w:rPr>
              <w:t>1</w:t>
            </w:r>
            <w:r>
              <w:rPr>
                <w:rFonts w:hint="eastAsia" w:ascii="宋体" w:hAnsi="宋体" w:cs="宋体"/>
                <w:color w:val="auto"/>
                <w:sz w:val="24"/>
                <w:szCs w:val="22"/>
                <w:highlight w:val="none"/>
                <w:lang w:val="en-US" w:eastAsia="zh-CN"/>
              </w:rPr>
              <w:t>分，不满足不得分。</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default" w:ascii="宋体" w:hAnsi="宋体" w:cs="宋体"/>
                <w:color w:val="auto"/>
                <w:kern w:val="0"/>
                <w:sz w:val="24"/>
                <w:highlight w:val="none"/>
                <w:lang w:val="en-US" w:bidi="ar"/>
              </w:rPr>
            </w:pPr>
            <w:r>
              <w:rPr>
                <w:rFonts w:hint="default" w:ascii="宋体" w:hAnsi="宋体" w:cs="宋体"/>
                <w:color w:val="auto"/>
                <w:kern w:val="0"/>
                <w:sz w:val="24"/>
                <w:highlight w:val="none"/>
                <w:lang w:val="en-US" w:bidi="ar"/>
              </w:rPr>
              <w:t>1</w:t>
            </w:r>
          </w:p>
        </w:tc>
        <w:tc>
          <w:tcPr>
            <w:tcW w:w="1287" w:type="pct"/>
            <w:tcBorders>
              <w:top w:val="single" w:color="000000" w:sz="8" w:space="0"/>
              <w:left w:val="single" w:color="000000" w:sz="8" w:space="0"/>
              <w:bottom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restart"/>
            <w:tcBorders>
              <w:top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7</w:t>
            </w: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auto"/>
                <w:sz w:val="24"/>
                <w:highlight w:val="none"/>
                <w:lang w:eastAsia="zh-CN"/>
              </w:rPr>
            </w:pPr>
            <w:r>
              <w:rPr>
                <w:rFonts w:hint="eastAsia" w:ascii="宋体" w:hAnsi="宋体" w:eastAsia="宋体" w:cs="宋体"/>
                <w:color w:val="000000"/>
                <w:sz w:val="24"/>
              </w:rPr>
              <w:t>投标人提出的技术培训方案（①</w:t>
            </w:r>
            <w:r>
              <w:rPr>
                <w:rFonts w:hint="eastAsia" w:ascii="宋体" w:hAnsi="宋体" w:eastAsia="宋体" w:cs="宋体"/>
                <w:color w:val="000000"/>
                <w:sz w:val="24"/>
                <w:lang w:eastAsia="zh-CN"/>
              </w:rPr>
              <w:t>对系统管理员的培训</w:t>
            </w:r>
            <w:r>
              <w:rPr>
                <w:rFonts w:hint="eastAsia" w:ascii="宋体" w:hAnsi="宋体" w:eastAsia="宋体" w:cs="宋体"/>
                <w:color w:val="000000"/>
                <w:sz w:val="24"/>
              </w:rPr>
              <w:t>②</w:t>
            </w:r>
            <w:r>
              <w:rPr>
                <w:rFonts w:hint="eastAsia" w:ascii="宋体" w:hAnsi="宋体" w:eastAsia="宋体" w:cs="宋体"/>
                <w:color w:val="000000"/>
                <w:sz w:val="24"/>
                <w:lang w:eastAsia="zh-CN"/>
              </w:rPr>
              <w:t>对使用人员的</w:t>
            </w:r>
            <w:r>
              <w:rPr>
                <w:rFonts w:hint="eastAsia" w:ascii="宋体" w:hAnsi="宋体" w:eastAsia="宋体" w:cs="宋体"/>
                <w:color w:val="000000"/>
                <w:sz w:val="24"/>
              </w:rPr>
              <w:t>培训③</w:t>
            </w:r>
            <w:r>
              <w:rPr>
                <w:rFonts w:hint="eastAsia" w:ascii="宋体" w:hAnsi="宋体" w:eastAsia="宋体" w:cs="宋体"/>
                <w:color w:val="000000"/>
                <w:sz w:val="24"/>
                <w:lang w:eastAsia="zh-CN"/>
              </w:rPr>
              <w:t>安全保密培训</w:t>
            </w:r>
            <w:r>
              <w:rPr>
                <w:rFonts w:hint="eastAsia" w:ascii="宋体" w:hAnsi="宋体" w:eastAsia="宋体" w:cs="宋体"/>
                <w:color w:val="000000"/>
                <w:sz w:val="24"/>
              </w:rPr>
              <w:t>）是否符合采购方要求。</w:t>
            </w:r>
            <w:r>
              <w:rPr>
                <w:rFonts w:hint="eastAsia" w:ascii="宋体" w:hAnsi="宋体" w:cs="宋体"/>
                <w:color w:val="auto"/>
                <w:kern w:val="0"/>
                <w:sz w:val="24"/>
                <w:highlight w:val="none"/>
                <w:lang w:bidi="ar"/>
              </w:rPr>
              <w:t>每一项内容完整、措施有效、合理得1分，不合理得0分</w:t>
            </w:r>
            <w:r>
              <w:rPr>
                <w:rFonts w:hint="eastAsia" w:ascii="宋体" w:hAnsi="宋体" w:cs="宋体"/>
                <w:color w:val="auto"/>
                <w:kern w:val="0"/>
                <w:sz w:val="24"/>
                <w:highlight w:val="none"/>
                <w:lang w:eastAsia="zh-CN" w:bidi="ar"/>
              </w:rPr>
              <w:t>，最高得</w:t>
            </w:r>
            <w:r>
              <w:rPr>
                <w:rFonts w:hint="default" w:ascii="宋体" w:hAnsi="宋体" w:cs="宋体"/>
                <w:color w:val="auto"/>
                <w:kern w:val="0"/>
                <w:sz w:val="24"/>
                <w:highlight w:val="none"/>
                <w:lang w:val="en-US" w:eastAsia="zh-CN" w:bidi="ar"/>
              </w:rPr>
              <w:t>3</w:t>
            </w:r>
            <w:r>
              <w:rPr>
                <w:rFonts w:hint="eastAsia" w:ascii="宋体" w:hAnsi="宋体" w:cs="宋体"/>
                <w:color w:val="auto"/>
                <w:kern w:val="0"/>
                <w:sz w:val="24"/>
                <w:highlight w:val="none"/>
                <w:lang w:val="en-US" w:eastAsia="zh-CN" w:bidi="ar"/>
              </w:rPr>
              <w:t>分</w:t>
            </w:r>
            <w:r>
              <w:rPr>
                <w:rFonts w:hint="eastAsia" w:ascii="宋体" w:hAnsi="宋体" w:cs="宋体"/>
                <w:color w:val="auto"/>
                <w:kern w:val="0"/>
                <w:sz w:val="24"/>
                <w:highlight w:val="none"/>
                <w:lang w:bidi="ar"/>
              </w:rPr>
              <w:t>。</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default" w:ascii="宋体" w:hAnsi="宋体" w:cs="宋体"/>
                <w:color w:val="auto"/>
                <w:kern w:val="0"/>
                <w:sz w:val="24"/>
                <w:highlight w:val="none"/>
                <w:lang w:val="en-US" w:bidi="ar"/>
              </w:rPr>
              <w:t>3</w:t>
            </w:r>
          </w:p>
        </w:tc>
        <w:tc>
          <w:tcPr>
            <w:tcW w:w="1287" w:type="pct"/>
            <w:vMerge w:val="restart"/>
            <w:tcBorders>
              <w:top w:val="single" w:color="000000" w:sz="8" w:space="0"/>
              <w:left w:val="single" w:color="000000" w:sz="8" w:space="0"/>
              <w:bottom w:val="single" w:color="000000" w:sz="8"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b/>
                <w:bCs/>
                <w:color w:val="auto"/>
                <w:kern w:val="0"/>
                <w:sz w:val="24"/>
                <w:highlight w:val="none"/>
                <w:lang w:bidi="ar"/>
              </w:rPr>
              <w:t>（七）培训、测试、试运行、验收方案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continue"/>
            <w:tcBorders>
              <w:top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bidi="ar"/>
              </w:rPr>
              <w:t>投标人提出合理、可行的测试、试运行方案，包括①软件测试方案与②试运行方案</w:t>
            </w:r>
            <w:r>
              <w:rPr>
                <w:rFonts w:hint="eastAsia" w:ascii="宋体" w:hAnsi="宋体" w:cs="宋体"/>
                <w:color w:val="auto"/>
                <w:kern w:val="0"/>
                <w:sz w:val="24"/>
                <w:highlight w:val="none"/>
                <w:lang w:eastAsia="zh-CN" w:bidi="ar"/>
              </w:rPr>
              <w:t>。</w:t>
            </w:r>
            <w:r>
              <w:rPr>
                <w:rFonts w:hint="eastAsia" w:ascii="宋体" w:hAnsi="宋体" w:cs="宋体"/>
                <w:color w:val="auto"/>
                <w:kern w:val="0"/>
                <w:sz w:val="24"/>
                <w:highlight w:val="none"/>
                <w:lang w:bidi="ar"/>
              </w:rPr>
              <w:t>每一项内容完整、措施有效、合理得1分，不合理得0分</w:t>
            </w:r>
            <w:r>
              <w:rPr>
                <w:rFonts w:hint="eastAsia" w:ascii="宋体" w:hAnsi="宋体" w:cs="宋体"/>
                <w:color w:val="auto"/>
                <w:kern w:val="0"/>
                <w:sz w:val="24"/>
                <w:highlight w:val="none"/>
                <w:lang w:eastAsia="zh-CN" w:bidi="ar"/>
              </w:rPr>
              <w:t>，最高得</w:t>
            </w:r>
            <w:r>
              <w:rPr>
                <w:rFonts w:hint="default" w:ascii="宋体" w:hAnsi="宋体" w:cs="宋体"/>
                <w:color w:val="auto"/>
                <w:kern w:val="0"/>
                <w:sz w:val="24"/>
                <w:highlight w:val="none"/>
                <w:lang w:val="en-US" w:eastAsia="zh-CN" w:bidi="ar"/>
              </w:rPr>
              <w:t>2</w:t>
            </w:r>
            <w:r>
              <w:rPr>
                <w:rFonts w:hint="eastAsia" w:ascii="宋体" w:hAnsi="宋体" w:cs="宋体"/>
                <w:color w:val="auto"/>
                <w:kern w:val="0"/>
                <w:sz w:val="24"/>
                <w:highlight w:val="none"/>
                <w:lang w:val="en-US" w:eastAsia="zh-CN" w:bidi="ar"/>
              </w:rPr>
              <w:t>分</w:t>
            </w:r>
            <w:r>
              <w:rPr>
                <w:rFonts w:hint="eastAsia" w:ascii="宋体" w:hAnsi="宋体" w:cs="宋体"/>
                <w:color w:val="auto"/>
                <w:kern w:val="0"/>
                <w:sz w:val="24"/>
                <w:highlight w:val="none"/>
                <w:lang w:bidi="ar"/>
              </w:rPr>
              <w:t>。</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w:t>
            </w:r>
          </w:p>
        </w:tc>
        <w:tc>
          <w:tcPr>
            <w:tcW w:w="1287" w:type="pct"/>
            <w:vMerge w:val="continue"/>
            <w:tcBorders>
              <w:top w:val="single" w:color="000000" w:sz="8" w:space="0"/>
              <w:left w:val="single" w:color="000000" w:sz="8" w:space="0"/>
              <w:bottom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continue"/>
            <w:tcBorders>
              <w:top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default" w:ascii="宋体" w:hAnsi="宋体" w:eastAsia="宋体" w:cs="宋体"/>
                <w:color w:val="auto"/>
                <w:sz w:val="24"/>
                <w:highlight w:val="none"/>
                <w:lang w:val="en-US" w:eastAsia="zh-CN"/>
              </w:rPr>
            </w:pPr>
            <w:r>
              <w:rPr>
                <w:rFonts w:hint="eastAsia" w:ascii="宋体" w:hAnsi="宋体" w:cs="宋体"/>
                <w:color w:val="auto"/>
                <w:kern w:val="0"/>
                <w:sz w:val="24"/>
                <w:highlight w:val="none"/>
                <w:lang w:bidi="ar"/>
              </w:rPr>
              <w:t>投标人提出科学的验收方案</w:t>
            </w:r>
            <w:r>
              <w:rPr>
                <w:rFonts w:hint="eastAsia" w:ascii="宋体" w:hAnsi="宋体" w:cs="宋体"/>
                <w:color w:val="auto"/>
                <w:sz w:val="24"/>
                <w:szCs w:val="20"/>
                <w:highlight w:val="none"/>
                <w:lang w:eastAsia="zh-CN"/>
              </w:rPr>
              <w:t>并在</w:t>
            </w:r>
            <w:r>
              <w:rPr>
                <w:rFonts w:hint="eastAsia" w:ascii="宋体" w:hAnsi="宋体" w:cs="宋体"/>
                <w:color w:val="auto"/>
                <w:sz w:val="24"/>
                <w:szCs w:val="20"/>
                <w:highlight w:val="none"/>
              </w:rPr>
              <w:t>验收时提供相应的文档。</w:t>
            </w:r>
            <w:r>
              <w:rPr>
                <w:rFonts w:hint="eastAsia" w:ascii="宋体" w:hAnsi="宋体" w:cs="宋体"/>
                <w:color w:val="auto"/>
                <w:sz w:val="24"/>
                <w:szCs w:val="20"/>
                <w:highlight w:val="none"/>
                <w:lang w:eastAsia="zh-CN"/>
              </w:rPr>
              <w:t>方案合理得</w:t>
            </w:r>
            <w:r>
              <w:rPr>
                <w:rFonts w:hint="default" w:ascii="宋体" w:hAnsi="宋体" w:cs="宋体"/>
                <w:color w:val="auto"/>
                <w:sz w:val="24"/>
                <w:szCs w:val="20"/>
                <w:highlight w:val="none"/>
                <w:lang w:val="en-US" w:eastAsia="zh-CN"/>
              </w:rPr>
              <w:t>1</w:t>
            </w:r>
            <w:r>
              <w:rPr>
                <w:rFonts w:hint="eastAsia" w:ascii="宋体" w:hAnsi="宋体" w:cs="宋体"/>
                <w:color w:val="auto"/>
                <w:sz w:val="24"/>
                <w:szCs w:val="20"/>
                <w:highlight w:val="none"/>
                <w:lang w:val="en-US" w:eastAsia="zh-CN"/>
              </w:rPr>
              <w:t>分，不合理不得分。</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default" w:ascii="宋体" w:hAnsi="宋体" w:cs="宋体"/>
                <w:color w:val="auto"/>
                <w:kern w:val="0"/>
                <w:sz w:val="24"/>
                <w:highlight w:val="none"/>
                <w:lang w:val="en-US" w:bidi="ar"/>
              </w:rPr>
              <w:t>1</w:t>
            </w:r>
          </w:p>
        </w:tc>
        <w:tc>
          <w:tcPr>
            <w:tcW w:w="1287" w:type="pct"/>
            <w:vMerge w:val="continue"/>
            <w:tcBorders>
              <w:top w:val="single" w:color="000000" w:sz="8" w:space="0"/>
              <w:left w:val="single" w:color="000000" w:sz="8" w:space="0"/>
              <w:bottom w:val="single" w:color="000000" w:sz="8"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tcBorders>
              <w:top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8</w:t>
            </w:r>
          </w:p>
        </w:tc>
        <w:tc>
          <w:tcPr>
            <w:tcW w:w="24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投标人按采购人要求：①是否明确建设质量目标，②是否有质量保证措施，③是否具有详细可行的实施内容，④是否明确工期保证措施。根据提供的方案内容进行评分，每一项内容完整、措施有效、符合</w:t>
            </w:r>
            <w:r>
              <w:rPr>
                <w:rFonts w:hint="eastAsia" w:ascii="宋体" w:hAnsi="宋体" w:cs="宋体"/>
                <w:color w:val="auto"/>
                <w:kern w:val="0"/>
                <w:sz w:val="24"/>
                <w:highlight w:val="none"/>
                <w:lang w:eastAsia="zh-CN" w:bidi="ar"/>
              </w:rPr>
              <w:t>采购需求</w:t>
            </w:r>
            <w:r>
              <w:rPr>
                <w:rFonts w:hint="eastAsia" w:ascii="宋体" w:hAnsi="宋体" w:cs="宋体"/>
                <w:color w:val="auto"/>
                <w:kern w:val="0"/>
                <w:sz w:val="24"/>
                <w:highlight w:val="none"/>
                <w:lang w:bidi="ar"/>
              </w:rPr>
              <w:t>视为合理，合理得1分，不合理得0分</w:t>
            </w:r>
            <w:r>
              <w:rPr>
                <w:rFonts w:hint="eastAsia" w:ascii="宋体" w:hAnsi="宋体" w:cs="宋体"/>
                <w:color w:val="auto"/>
                <w:kern w:val="0"/>
                <w:sz w:val="24"/>
                <w:highlight w:val="none"/>
                <w:lang w:eastAsia="zh-CN" w:bidi="ar"/>
              </w:rPr>
              <w:t>，最高得</w:t>
            </w:r>
            <w:r>
              <w:rPr>
                <w:rFonts w:hint="default" w:ascii="宋体" w:hAnsi="宋体" w:cs="宋体"/>
                <w:color w:val="auto"/>
                <w:kern w:val="0"/>
                <w:sz w:val="24"/>
                <w:highlight w:val="none"/>
                <w:lang w:val="en-US" w:eastAsia="zh-CN" w:bidi="ar"/>
              </w:rPr>
              <w:t>4</w:t>
            </w:r>
            <w:r>
              <w:rPr>
                <w:rFonts w:hint="eastAsia" w:ascii="宋体" w:hAnsi="宋体" w:cs="宋体"/>
                <w:color w:val="auto"/>
                <w:kern w:val="0"/>
                <w:sz w:val="24"/>
                <w:highlight w:val="none"/>
                <w:lang w:val="en-US" w:eastAsia="zh-CN" w:bidi="ar"/>
              </w:rPr>
              <w:t>分</w:t>
            </w:r>
            <w:r>
              <w:rPr>
                <w:rFonts w:hint="eastAsia" w:ascii="宋体" w:hAnsi="宋体" w:cs="宋体"/>
                <w:color w:val="auto"/>
                <w:kern w:val="0"/>
                <w:sz w:val="24"/>
                <w:highlight w:val="none"/>
                <w:lang w:bidi="ar"/>
              </w:rPr>
              <w:t>。</w:t>
            </w:r>
          </w:p>
        </w:tc>
        <w:tc>
          <w:tcPr>
            <w:tcW w:w="70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4</w:t>
            </w:r>
          </w:p>
        </w:tc>
        <w:tc>
          <w:tcPr>
            <w:tcW w:w="1287" w:type="pct"/>
            <w:tcBorders>
              <w:top w:val="single" w:color="000000" w:sz="8" w:space="0"/>
              <w:left w:val="single" w:color="000000" w:sz="8" w:space="0"/>
              <w:bottom w:val="single" w:color="000000" w:sz="8"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b/>
                <w:bCs/>
                <w:color w:val="auto"/>
                <w:kern w:val="0"/>
                <w:sz w:val="24"/>
                <w:highlight w:val="none"/>
                <w:lang w:bidi="ar"/>
              </w:rPr>
              <w:t>（八）质量保证措施和建设工期组织方案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tcBorders>
              <w:top w:val="single" w:color="000000" w:sz="8" w:space="0"/>
              <w:bottom w:val="single" w:color="auto" w:sz="4"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9</w:t>
            </w:r>
          </w:p>
        </w:tc>
        <w:tc>
          <w:tcPr>
            <w:tcW w:w="2441" w:type="pct"/>
            <w:tcBorders>
              <w:top w:val="single" w:color="000000" w:sz="8" w:space="0"/>
              <w:left w:val="single" w:color="000000" w:sz="8" w:space="0"/>
              <w:bottom w:val="single" w:color="auto" w:sz="4" w:space="0"/>
              <w:right w:val="single" w:color="000000" w:sz="8" w:space="0"/>
            </w:tcBorders>
            <w:shd w:val="clear" w:color="auto" w:fill="auto"/>
            <w:vAlign w:val="center"/>
          </w:tcPr>
          <w:p>
            <w:pPr>
              <w:widowControl/>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bidi="ar"/>
              </w:rPr>
              <w:t>投标人提出的优惠条件和承诺情况，及其可实现程度等</w:t>
            </w:r>
            <w:r>
              <w:rPr>
                <w:rFonts w:hint="eastAsia" w:ascii="宋体" w:hAnsi="宋体" w:eastAsia="宋体" w:cs="宋体"/>
                <w:color w:val="000000"/>
                <w:sz w:val="24"/>
              </w:rPr>
              <w:t>情况</w:t>
            </w:r>
            <w:r>
              <w:rPr>
                <w:rFonts w:hint="eastAsia" w:ascii="宋体" w:hAnsi="宋体" w:cs="宋体"/>
                <w:color w:val="auto"/>
                <w:sz w:val="24"/>
                <w:highlight w:val="none"/>
                <w:lang w:val="en-US" w:eastAsia="zh-CN"/>
              </w:rPr>
              <w:t>酌情给分，不提供或不合理的不得分，满分</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val="en-US" w:eastAsia="zh-CN"/>
              </w:rPr>
              <w:t>分。</w:t>
            </w:r>
          </w:p>
        </w:tc>
        <w:tc>
          <w:tcPr>
            <w:tcW w:w="707" w:type="pct"/>
            <w:tcBorders>
              <w:top w:val="single" w:color="000000" w:sz="8"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w:t>
            </w:r>
          </w:p>
        </w:tc>
        <w:tc>
          <w:tcPr>
            <w:tcW w:w="1287" w:type="pct"/>
            <w:tcBorders>
              <w:top w:val="single" w:color="000000" w:sz="8" w:space="0"/>
              <w:left w:val="single" w:color="000000" w:sz="8" w:space="0"/>
              <w:bottom w:val="single" w:color="auto" w:sz="4"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b/>
                <w:bCs/>
                <w:color w:val="auto"/>
                <w:kern w:val="0"/>
                <w:sz w:val="24"/>
                <w:highlight w:val="none"/>
                <w:lang w:bidi="ar"/>
              </w:rPr>
              <w:t>（九）优惠和承诺情况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restart"/>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10</w:t>
            </w:r>
          </w:p>
        </w:tc>
        <w:tc>
          <w:tcPr>
            <w:tcW w:w="24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多维数据集成专题屏演示：多维数据集成专题屏详细展示人口的具体详情，如人口类型展示：基于GIS地图，实现①居住情况、②人口分布、③区域分布等多个内容的展示，每演示一个功能得1分，最高得3分。</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3</w:t>
            </w:r>
          </w:p>
        </w:tc>
        <w:tc>
          <w:tcPr>
            <w:tcW w:w="12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b/>
                <w:bCs/>
                <w:color w:val="auto"/>
                <w:kern w:val="0"/>
                <w:sz w:val="24"/>
                <w:highlight w:val="none"/>
                <w:lang w:bidi="ar"/>
              </w:rPr>
              <w:t>（十）</w:t>
            </w:r>
            <w:r>
              <w:rPr>
                <w:rFonts w:hint="eastAsia" w:ascii="宋体" w:hAnsi="宋体" w:cs="宋体"/>
                <w:b/>
                <w:bCs/>
                <w:color w:val="auto"/>
                <w:kern w:val="0"/>
                <w:sz w:val="24"/>
                <w:highlight w:val="none"/>
                <w:lang w:eastAsia="zh-CN" w:bidi="ar"/>
              </w:rPr>
              <w:t>功能</w:t>
            </w:r>
            <w:r>
              <w:rPr>
                <w:rFonts w:hint="eastAsia" w:ascii="宋体" w:hAnsi="宋体" w:cs="宋体"/>
                <w:b/>
                <w:bCs/>
                <w:color w:val="auto"/>
                <w:kern w:val="0"/>
                <w:sz w:val="24"/>
                <w:highlight w:val="none"/>
                <w:lang w:bidi="ar"/>
              </w:rPr>
              <w:t>演示及讲解（不提供</w:t>
            </w:r>
            <w:r>
              <w:rPr>
                <w:rFonts w:hint="eastAsia" w:ascii="宋体" w:hAnsi="宋体" w:cs="宋体"/>
                <w:b/>
                <w:bCs/>
                <w:color w:val="auto"/>
                <w:kern w:val="0"/>
                <w:sz w:val="24"/>
                <w:highlight w:val="none"/>
                <w:lang w:eastAsia="zh-CN" w:bidi="ar"/>
              </w:rPr>
              <w:t>功能</w:t>
            </w:r>
            <w:r>
              <w:rPr>
                <w:rFonts w:hint="eastAsia" w:ascii="宋体" w:hAnsi="宋体" w:cs="宋体"/>
                <w:b/>
                <w:bCs/>
                <w:color w:val="auto"/>
                <w:kern w:val="0"/>
                <w:sz w:val="24"/>
                <w:highlight w:val="none"/>
                <w:lang w:bidi="ar"/>
              </w:rPr>
              <w:t>演示此项不得分）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continue"/>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color w:val="auto"/>
                <w:highlight w:val="none"/>
              </w:rPr>
            </w:pPr>
            <w:r>
              <w:rPr>
                <w:rFonts w:hint="eastAsia" w:ascii="宋体" w:hAnsi="宋体" w:cs="宋体"/>
                <w:color w:val="auto"/>
                <w:kern w:val="0"/>
                <w:sz w:val="24"/>
                <w:highlight w:val="none"/>
                <w:lang w:bidi="ar"/>
              </w:rPr>
              <w:t>任务中心场景演示：演示自定义创建任务功能，①通过引导式自定义填写任务的基本信息、②选择执行管控的工作清单、③选择自定义完成的执行动作、④选择完成的时间要求模式，每演示一个功能得1分，最高得4分。</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4</w:t>
            </w:r>
          </w:p>
        </w:tc>
        <w:tc>
          <w:tcPr>
            <w:tcW w:w="12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vMerge w:val="continue"/>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p>
        </w:tc>
        <w:tc>
          <w:tcPr>
            <w:tcW w:w="24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地址治理场景演示：</w:t>
            </w:r>
          </w:p>
          <w:p>
            <w:pPr>
              <w:widowControl/>
              <w:textAlignment w:val="center"/>
              <w:rPr>
                <w:rFonts w:hint="eastAsia" w:ascii="宋体" w:hAnsi="宋体" w:eastAsia="宋体" w:cs="宋体"/>
                <w:color w:val="auto"/>
                <w:kern w:val="0"/>
                <w:sz w:val="24"/>
                <w:highlight w:val="none"/>
                <w:lang w:eastAsia="zh-CN" w:bidi="ar"/>
              </w:rPr>
            </w:pPr>
            <w:r>
              <w:rPr>
                <w:rFonts w:hint="eastAsia" w:ascii="宋体" w:hAnsi="宋体" w:cs="宋体"/>
                <w:color w:val="auto"/>
                <w:kern w:val="0"/>
                <w:sz w:val="24"/>
                <w:highlight w:val="none"/>
                <w:lang w:bidi="ar"/>
              </w:rPr>
              <w:t>①地址核查任务下发</w:t>
            </w:r>
            <w:r>
              <w:rPr>
                <w:rFonts w:hint="eastAsia" w:ascii="宋体" w:hAnsi="宋体" w:cs="宋体"/>
                <w:color w:val="auto"/>
                <w:kern w:val="0"/>
                <w:sz w:val="24"/>
                <w:highlight w:val="none"/>
                <w:lang w:eastAsia="zh-CN" w:bidi="ar"/>
              </w:rPr>
              <w:t>：</w:t>
            </w:r>
          </w:p>
          <w:p>
            <w:pPr>
              <w:widowControl/>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选中待下发核查地址数据，点击核查任务，设置任务截止时间，确认后任务下发至镇街网格员治理任务列表中，符合得2分，不符合不得分。</w:t>
            </w:r>
          </w:p>
          <w:p>
            <w:pPr>
              <w:widowControl/>
              <w:textAlignment w:val="center"/>
              <w:rPr>
                <w:rFonts w:hint="eastAsia" w:ascii="宋体" w:hAnsi="宋体" w:eastAsia="宋体" w:cs="宋体"/>
                <w:color w:val="auto"/>
                <w:kern w:val="0"/>
                <w:sz w:val="24"/>
                <w:highlight w:val="none"/>
                <w:lang w:eastAsia="zh-CN" w:bidi="ar"/>
              </w:rPr>
            </w:pPr>
            <w:r>
              <w:rPr>
                <w:rFonts w:hint="eastAsia" w:ascii="宋体" w:hAnsi="宋体" w:cs="宋体"/>
                <w:color w:val="auto"/>
                <w:kern w:val="0"/>
                <w:sz w:val="24"/>
                <w:highlight w:val="none"/>
                <w:lang w:bidi="ar"/>
              </w:rPr>
              <w:t>② 地址核查</w:t>
            </w:r>
            <w:r>
              <w:rPr>
                <w:rFonts w:hint="eastAsia" w:ascii="宋体" w:hAnsi="宋体" w:cs="宋体"/>
                <w:color w:val="auto"/>
                <w:kern w:val="0"/>
                <w:sz w:val="24"/>
                <w:highlight w:val="none"/>
                <w:lang w:eastAsia="zh-CN" w:bidi="ar"/>
              </w:rPr>
              <w:t>：</w:t>
            </w:r>
          </w:p>
          <w:p>
            <w:pPr>
              <w:widowControl/>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基于杭州市地址库地址数据进行核查，点击搜索地址名称，调用匹配杭州市库地址，匹配成功后保存地址，核查完成，符合得2分，不符合不得分。</w:t>
            </w:r>
          </w:p>
          <w:p>
            <w:pPr>
              <w:widowControl/>
              <w:textAlignment w:val="center"/>
              <w:rPr>
                <w:rFonts w:hint="eastAsia" w:ascii="宋体" w:hAnsi="宋体" w:eastAsia="宋体" w:cs="宋体"/>
                <w:color w:val="auto"/>
                <w:kern w:val="0"/>
                <w:sz w:val="24"/>
                <w:highlight w:val="none"/>
                <w:lang w:eastAsia="zh-CN" w:bidi="ar"/>
              </w:rPr>
            </w:pPr>
            <w:r>
              <w:rPr>
                <w:rFonts w:hint="eastAsia" w:ascii="宋体" w:hAnsi="宋体" w:cs="宋体"/>
                <w:color w:val="auto"/>
                <w:kern w:val="0"/>
                <w:sz w:val="24"/>
                <w:highlight w:val="none"/>
                <w:lang w:bidi="ar"/>
              </w:rPr>
              <w:t>③ 地址批量修改</w:t>
            </w:r>
            <w:r>
              <w:rPr>
                <w:rFonts w:hint="eastAsia" w:ascii="宋体" w:hAnsi="宋体" w:cs="宋体"/>
                <w:color w:val="auto"/>
                <w:kern w:val="0"/>
                <w:sz w:val="24"/>
                <w:highlight w:val="none"/>
                <w:lang w:eastAsia="zh-CN" w:bidi="ar"/>
              </w:rPr>
              <w:t>：</w:t>
            </w:r>
          </w:p>
          <w:p>
            <w:pPr>
              <w:widowControl/>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选中待修改地址数据，点击批量修改（社区/网格）、批量修改（正常/失效），符合得2分，不符合不得分。</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6</w:t>
            </w:r>
          </w:p>
        </w:tc>
        <w:tc>
          <w:tcPr>
            <w:tcW w:w="12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tcBorders>
              <w:top w:val="single" w:color="auto" w:sz="4" w:space="0"/>
              <w:bottom w:val="single" w:color="auto" w:sz="4"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11</w:t>
            </w:r>
          </w:p>
        </w:tc>
        <w:tc>
          <w:tcPr>
            <w:tcW w:w="2441" w:type="pct"/>
            <w:tcBorders>
              <w:top w:val="single" w:color="auto" w:sz="4" w:space="0"/>
              <w:left w:val="single" w:color="000000" w:sz="8" w:space="0"/>
              <w:bottom w:val="single" w:color="auto" w:sz="4" w:space="0"/>
              <w:right w:val="single" w:color="000000" w:sz="8" w:space="0"/>
            </w:tcBorders>
            <w:shd w:val="clear" w:color="auto" w:fill="auto"/>
            <w:vAlign w:val="center"/>
          </w:tcPr>
          <w:p>
            <w:pPr>
              <w:widowControl/>
              <w:textAlignment w:val="center"/>
              <w:rPr>
                <w:rFonts w:hint="default" w:ascii="宋体" w:hAnsi="宋体" w:eastAsia="宋体" w:cs="宋体"/>
                <w:color w:val="auto"/>
                <w:sz w:val="24"/>
                <w:highlight w:val="none"/>
                <w:lang w:val="en-US" w:eastAsia="zh-CN"/>
              </w:rPr>
            </w:pPr>
            <w:r>
              <w:rPr>
                <w:rFonts w:hint="eastAsia" w:ascii="宋体" w:hAnsi="宋体" w:cs="宋体"/>
                <w:color w:val="auto"/>
                <w:kern w:val="0"/>
                <w:sz w:val="24"/>
                <w:highlight w:val="none"/>
                <w:lang w:bidi="ar"/>
              </w:rPr>
              <w:t>投标人具有ISO20000信息技术服务管理体系认证、ISO9001质量管理体系认证证书、ISO27001信息安全管理体系认证</w:t>
            </w:r>
            <w:r>
              <w:rPr>
                <w:rFonts w:hint="eastAsia" w:ascii="宋体" w:hAnsi="宋体" w:cs="宋体"/>
                <w:color w:val="auto"/>
                <w:kern w:val="0"/>
                <w:sz w:val="24"/>
                <w:highlight w:val="none"/>
                <w:lang w:eastAsia="zh-CN" w:bidi="ar"/>
              </w:rPr>
              <w:t>。满足一个得</w:t>
            </w:r>
            <w:r>
              <w:rPr>
                <w:rFonts w:hint="default" w:ascii="宋体" w:hAnsi="宋体" w:cs="宋体"/>
                <w:color w:val="auto"/>
                <w:kern w:val="0"/>
                <w:sz w:val="24"/>
                <w:highlight w:val="none"/>
                <w:lang w:val="en-US" w:eastAsia="zh-CN" w:bidi="ar"/>
              </w:rPr>
              <w:t>1</w:t>
            </w:r>
            <w:r>
              <w:rPr>
                <w:rFonts w:hint="eastAsia" w:ascii="宋体" w:hAnsi="宋体" w:cs="宋体"/>
                <w:color w:val="auto"/>
                <w:kern w:val="0"/>
                <w:sz w:val="24"/>
                <w:highlight w:val="none"/>
                <w:lang w:val="en-US" w:eastAsia="zh-CN" w:bidi="ar"/>
              </w:rPr>
              <w:t>分，最高得</w:t>
            </w:r>
            <w:r>
              <w:rPr>
                <w:rFonts w:hint="default" w:ascii="宋体" w:hAnsi="宋体" w:cs="宋体"/>
                <w:color w:val="auto"/>
                <w:kern w:val="0"/>
                <w:sz w:val="24"/>
                <w:highlight w:val="none"/>
                <w:lang w:val="en-US" w:eastAsia="zh-CN" w:bidi="ar"/>
              </w:rPr>
              <w:t>3</w:t>
            </w:r>
            <w:r>
              <w:rPr>
                <w:rFonts w:hint="eastAsia" w:ascii="宋体" w:hAnsi="宋体" w:cs="宋体"/>
                <w:color w:val="auto"/>
                <w:kern w:val="0"/>
                <w:sz w:val="24"/>
                <w:highlight w:val="none"/>
                <w:lang w:val="en-US" w:eastAsia="zh-CN" w:bidi="ar"/>
              </w:rPr>
              <w:t>分。</w:t>
            </w:r>
          </w:p>
        </w:tc>
        <w:tc>
          <w:tcPr>
            <w:tcW w:w="707" w:type="pc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3</w:t>
            </w:r>
          </w:p>
        </w:tc>
        <w:tc>
          <w:tcPr>
            <w:tcW w:w="1287" w:type="pct"/>
            <w:tcBorders>
              <w:top w:val="single" w:color="auto" w:sz="4" w:space="0"/>
              <w:left w:val="single" w:color="000000" w:sz="8" w:space="0"/>
              <w:bottom w:val="single" w:color="auto" w:sz="4"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b/>
                <w:bCs/>
                <w:color w:val="auto"/>
                <w:kern w:val="0"/>
                <w:sz w:val="24"/>
                <w:highlight w:val="none"/>
                <w:lang w:bidi="ar"/>
              </w:rPr>
              <w:t>（十一）投标人资信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563" w:type="pct"/>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12</w:t>
            </w:r>
          </w:p>
        </w:tc>
        <w:tc>
          <w:tcPr>
            <w:tcW w:w="24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截止投标时间近三年以来投标人承担类似软件建设项目情况，结合已完工的案例和用户反映情况，需提供</w:t>
            </w:r>
            <w:r>
              <w:rPr>
                <w:rFonts w:hint="eastAsia" w:ascii="宋体" w:hAnsi="宋体" w:cs="宋体"/>
                <w:b/>
                <w:bCs/>
                <w:color w:val="auto"/>
                <w:kern w:val="0"/>
                <w:sz w:val="24"/>
                <w:highlight w:val="none"/>
                <w:lang w:bidi="ar"/>
              </w:rPr>
              <w:t>合同复印件、付款凭证</w:t>
            </w:r>
            <w:r>
              <w:rPr>
                <w:rFonts w:hint="eastAsia" w:ascii="宋体" w:hAnsi="宋体" w:cs="宋体"/>
                <w:b/>
                <w:bCs/>
                <w:color w:val="auto"/>
                <w:kern w:val="0"/>
                <w:sz w:val="24"/>
                <w:highlight w:val="none"/>
                <w:lang w:eastAsia="zh-CN" w:bidi="ar"/>
              </w:rPr>
              <w:t>或</w:t>
            </w:r>
            <w:r>
              <w:rPr>
                <w:rFonts w:hint="eastAsia" w:ascii="宋体" w:hAnsi="宋体" w:cs="宋体"/>
                <w:b/>
                <w:bCs/>
                <w:color w:val="auto"/>
                <w:kern w:val="0"/>
                <w:sz w:val="24"/>
                <w:highlight w:val="none"/>
                <w:lang w:bidi="ar"/>
              </w:rPr>
              <w:t>采购单位出具的验收报告</w:t>
            </w:r>
            <w:r>
              <w:rPr>
                <w:rFonts w:hint="eastAsia" w:ascii="宋体" w:hAnsi="宋体" w:cs="宋体"/>
                <w:color w:val="auto"/>
                <w:kern w:val="0"/>
                <w:sz w:val="24"/>
                <w:highlight w:val="none"/>
                <w:lang w:bidi="ar"/>
              </w:rPr>
              <w:t>（一个案例得0.5分，总分1分）。</w:t>
            </w:r>
            <w:r>
              <w:rPr>
                <w:rFonts w:hint="eastAsia" w:cs="仿宋_GB2312" w:asciiTheme="minorEastAsia" w:hAnsiTheme="minorEastAsia" w:eastAsiaTheme="minorEastAsia"/>
                <w:sz w:val="24"/>
                <w:highlight w:val="none"/>
              </w:rPr>
              <w:t>未按要求提供完整材料的，不得分；</w:t>
            </w:r>
            <w:r>
              <w:rPr>
                <w:rFonts w:hint="eastAsia" w:cs="仿宋_GB2312" w:asciiTheme="minorEastAsia" w:hAnsiTheme="minorEastAsia" w:eastAsiaTheme="minorEastAsia"/>
                <w:b/>
                <w:bCs/>
                <w:sz w:val="24"/>
                <w:highlight w:val="none"/>
              </w:rPr>
              <w:t>一个单位分年度多次签订的案例，计入1个案例；同一个项目，分两期或以上建设完成的，计入1个案例。</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w:t>
            </w:r>
          </w:p>
        </w:tc>
        <w:tc>
          <w:tcPr>
            <w:tcW w:w="1287" w:type="pct"/>
            <w:tcBorders>
              <w:top w:val="single" w:color="auto" w:sz="4" w:space="0"/>
              <w:left w:val="single" w:color="auto" w:sz="4" w:space="0"/>
              <w:bottom w:val="single" w:color="auto" w:sz="4" w:space="0"/>
            </w:tcBorders>
            <w:shd w:val="clear" w:color="auto" w:fill="auto"/>
            <w:vAlign w:val="center"/>
          </w:tcPr>
          <w:p>
            <w:pPr>
              <w:widowControl/>
              <w:textAlignment w:val="center"/>
              <w:rPr>
                <w:rFonts w:ascii="宋体" w:hAnsi="宋体" w:cs="宋体"/>
                <w:color w:val="auto"/>
                <w:sz w:val="24"/>
                <w:highlight w:val="none"/>
              </w:rPr>
            </w:pPr>
            <w:r>
              <w:rPr>
                <w:rFonts w:hint="eastAsia" w:ascii="宋体" w:hAnsi="宋体" w:cs="宋体"/>
                <w:b/>
                <w:bCs/>
                <w:color w:val="auto"/>
                <w:kern w:val="0"/>
                <w:sz w:val="24"/>
                <w:highlight w:val="none"/>
                <w:lang w:bidi="ar"/>
              </w:rPr>
              <w:t>（十二）投标人类似项目建设的成功经验</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13" w:hRule="atLeast"/>
        </w:trPr>
        <w:tc>
          <w:tcPr>
            <w:tcW w:w="563" w:type="pct"/>
            <w:tcBorders>
              <w:top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13</w:t>
            </w:r>
          </w:p>
        </w:tc>
        <w:tc>
          <w:tcPr>
            <w:tcW w:w="2441" w:type="pct"/>
            <w:tcBorders>
              <w:top w:val="single" w:color="auto" w:sz="4" w:space="0"/>
              <w:left w:val="single" w:color="auto" w:sz="4" w:space="0"/>
              <w:right w:val="single" w:color="auto" w:sz="4" w:space="0"/>
            </w:tcBorders>
            <w:shd w:val="clear" w:color="auto" w:fill="auto"/>
            <w:vAlign w:val="center"/>
          </w:tcPr>
          <w:p>
            <w:pPr>
              <w:widowControl/>
              <w:ind w:firstLine="480" w:firstLineChars="200"/>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有效投标报价的最低价作为评标基准价，其最低报价为满分；按［投标报价得分=（评标基准价/投标报价）*权重］的计算公式计算。</w:t>
            </w:r>
          </w:p>
          <w:p>
            <w:pPr>
              <w:widowControl/>
              <w:ind w:firstLine="480" w:firstLineChars="200"/>
              <w:textAlignment w:val="center"/>
              <w:rPr>
                <w:rFonts w:ascii="宋体" w:hAnsi="宋体" w:cs="宋体"/>
                <w:color w:val="auto"/>
                <w:sz w:val="24"/>
                <w:highlight w:val="none"/>
              </w:rPr>
            </w:pPr>
            <w:r>
              <w:rPr>
                <w:rFonts w:hint="eastAsia" w:ascii="宋体" w:hAnsi="宋体" w:cs="宋体"/>
                <w:color w:val="auto"/>
                <w:kern w:val="0"/>
                <w:sz w:val="24"/>
                <w:highlight w:val="none"/>
                <w:lang w:bidi="ar"/>
              </w:rPr>
              <w:t>评标过程中，不得去掉报价中的最高报价和最低报价。</w:t>
            </w:r>
          </w:p>
          <w:p>
            <w:pPr>
              <w:widowControl/>
              <w:ind w:firstLine="480" w:firstLineChars="200"/>
              <w:textAlignment w:val="center"/>
              <w:rPr>
                <w:rFonts w:ascii="宋体" w:hAnsi="宋体" w:cs="宋体"/>
                <w:color w:val="auto"/>
                <w:sz w:val="24"/>
                <w:highlight w:val="none"/>
              </w:rPr>
            </w:pPr>
            <w:r>
              <w:rPr>
                <w:rFonts w:hint="eastAsia" w:cs="仿宋_GB2312" w:asciiTheme="minorEastAsia" w:hAnsiTheme="minorEastAsia" w:eastAsiaTheme="minorEastAsia"/>
                <w:sz w:val="24"/>
                <w:highlight w:val="none"/>
              </w:rPr>
              <w:t>对于未预留份额专门面向中小企业的政府采购服务项目，以及预留份额政府采购服务项目中的非预留部分标项，对小型和微型企业的投标报价给予</w:t>
            </w:r>
            <w:r>
              <w:rPr>
                <w:rFonts w:hint="default" w:cs="仿宋_GB2312" w:asciiTheme="minorEastAsia" w:hAnsiTheme="minorEastAsia" w:eastAsiaTheme="minorEastAsia"/>
                <w:b/>
                <w:sz w:val="24"/>
                <w:highlight w:val="none"/>
                <w:u w:val="single"/>
                <w:lang w:val="en-US"/>
              </w:rPr>
              <w:t>2</w:t>
            </w:r>
            <w:r>
              <w:rPr>
                <w:rFonts w:cs="仿宋_GB2312" w:asciiTheme="minorEastAsia" w:hAnsiTheme="minorEastAsia" w:eastAsiaTheme="minorEastAsia"/>
                <w:b/>
                <w:sz w:val="24"/>
                <w:highlight w:val="none"/>
                <w:u w:val="single"/>
              </w:rPr>
              <w:t>0%</w:t>
            </w:r>
            <w:r>
              <w:rPr>
                <w:rFonts w:hint="eastAsia" w:cs="仿宋_GB2312"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cs="仿宋_GB2312" w:asciiTheme="minorEastAsia" w:hAnsiTheme="minorEastAsia" w:eastAsiaTheme="minorEastAsia"/>
                <w:b/>
                <w:sz w:val="24"/>
                <w:highlight w:val="none"/>
                <w:u w:val="single"/>
                <w:lang w:val="en-US"/>
              </w:rPr>
              <w:t>6</w:t>
            </w:r>
            <w:r>
              <w:rPr>
                <w:rFonts w:cs="仿宋_GB2312" w:asciiTheme="minorEastAsia" w:hAnsiTheme="minorEastAsia" w:eastAsiaTheme="minorEastAsia"/>
                <w:b/>
                <w:sz w:val="24"/>
                <w:highlight w:val="none"/>
                <w:u w:val="single"/>
              </w:rPr>
              <w:t>%</w:t>
            </w:r>
            <w:r>
              <w:rPr>
                <w:rFonts w:hint="eastAsia" w:cs="仿宋_GB2312" w:asciiTheme="minorEastAsia" w:hAnsiTheme="minorEastAsia" w:eastAsiaTheme="minorEastAsia"/>
                <w:sz w:val="24"/>
                <w:highlight w:val="none"/>
              </w:rPr>
              <w:t>的扣除，用扣除后的价格参加评审</w:t>
            </w:r>
            <w:r>
              <w:rPr>
                <w:rFonts w:hint="eastAsia" w:ascii="宋体" w:hAnsi="宋体" w:cs="宋体"/>
                <w:color w:val="auto"/>
                <w:kern w:val="0"/>
                <w:sz w:val="24"/>
                <w:highlight w:val="none"/>
                <w:lang w:bidi="ar"/>
              </w:rPr>
              <w:t>。</w:t>
            </w:r>
          </w:p>
        </w:tc>
        <w:tc>
          <w:tcPr>
            <w:tcW w:w="707" w:type="pc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10</w:t>
            </w:r>
          </w:p>
        </w:tc>
        <w:tc>
          <w:tcPr>
            <w:tcW w:w="1287" w:type="pct"/>
            <w:tcBorders>
              <w:top w:val="single" w:color="auto" w:sz="4" w:space="0"/>
              <w:left w:val="single" w:color="auto" w:sz="4" w:space="0"/>
            </w:tcBorders>
            <w:shd w:val="clear" w:color="auto" w:fill="auto"/>
            <w:vAlign w:val="center"/>
          </w:tcPr>
          <w:p>
            <w:pPr>
              <w:widowControl/>
              <w:textAlignment w:val="center"/>
              <w:rPr>
                <w:rFonts w:ascii="宋体" w:hAnsi="宋体" w:cs="宋体"/>
                <w:b/>
                <w:bCs/>
                <w:color w:val="auto"/>
                <w:sz w:val="24"/>
                <w:highlight w:val="none"/>
              </w:rPr>
            </w:pPr>
            <w:r>
              <w:rPr>
                <w:rFonts w:hint="eastAsia" w:ascii="宋体" w:hAnsi="宋体" w:cs="宋体"/>
                <w:b/>
                <w:bCs/>
                <w:color w:val="auto"/>
                <w:kern w:val="0"/>
                <w:sz w:val="24"/>
                <w:highlight w:val="none"/>
                <w:lang w:bidi="ar"/>
              </w:rPr>
              <w:t>报价</w:t>
            </w:r>
          </w:p>
        </w:tc>
      </w:tr>
    </w:tbl>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sz w:val="20"/>
          <w:szCs w:val="20"/>
          <w:highlight w:val="none"/>
          <w:shd w:val="clear" w:color="auto" w:fill="FFFFFF"/>
        </w:rPr>
        <w:t>*</w:t>
      </w:r>
      <w:r>
        <w:rPr>
          <w:rFonts w:hint="eastAsia" w:cs="宋体" w:asciiTheme="minorEastAsia" w:hAnsiTheme="minorEastAsia" w:eastAsiaTheme="minorEastAsia"/>
          <w:b/>
          <w:sz w:val="24"/>
          <w:highlight w:val="none"/>
        </w:rPr>
        <w:t>备注：</w:t>
      </w:r>
      <w:r>
        <w:rPr>
          <w:rFonts w:hint="eastAsia" w:cs="宋体" w:asciiTheme="minorEastAsia" w:hAnsiTheme="minorEastAsia" w:eastAsiaTheme="minorEastAsia"/>
          <w:sz w:val="24"/>
          <w:highlight w:val="none"/>
        </w:rPr>
        <w:t>投标人编制投标文件（商务技术文件部分）时，建议按此目录（序号和内容）提供评标标准相应的商务技术资料。 </w:t>
      </w:r>
    </w:p>
    <w:p>
      <w:pPr>
        <w:snapToGrid w:val="0"/>
        <w:spacing w:line="360" w:lineRule="auto"/>
        <w:rPr>
          <w:rFonts w:cs="宋体" w:asciiTheme="minorEastAsia" w:hAnsiTheme="minorEastAsia" w:eastAsiaTheme="minorEastAsia"/>
          <w:b/>
          <w:sz w:val="28"/>
          <w:szCs w:val="28"/>
          <w:highlight w:val="none"/>
        </w:rPr>
      </w:pPr>
      <w:r>
        <w:rPr>
          <w:rFonts w:hint="eastAsia" w:cs="宋体" w:asciiTheme="minorEastAsia" w:hAnsiTheme="minorEastAsia" w:eastAsiaTheme="minorEastAsia"/>
          <w:b/>
          <w:sz w:val="32"/>
          <w:highlight w:val="none"/>
        </w:rPr>
        <w:t>一、评标方法</w:t>
      </w:r>
    </w:p>
    <w:p>
      <w:pPr>
        <w:adjustRightInd/>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1.本项目采用综合评分法。</w:t>
      </w:r>
      <w:r>
        <w:rPr>
          <w:rFonts w:hint="eastAsia" w:cs="宋体" w:asciiTheme="minorEastAsia" w:hAnsiTheme="minorEastAsia" w:eastAsiaTheme="minorEastAsia"/>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b/>
          <w:sz w:val="32"/>
          <w:highlight w:val="none"/>
        </w:rPr>
        <w:t>二、评标标准</w:t>
      </w:r>
    </w:p>
    <w:p>
      <w:pPr>
        <w:spacing w:line="360" w:lineRule="auto"/>
        <w:ind w:firstLine="472" w:firstLineChars="196"/>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2.</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评标标准：</w:t>
      </w:r>
      <w:r>
        <w:rPr>
          <w:rFonts w:hint="eastAsia" w:cs="宋体" w:asciiTheme="minorEastAsia" w:hAnsiTheme="minorEastAsia" w:eastAsiaTheme="minorEastAsia"/>
          <w:kern w:val="0"/>
          <w:sz w:val="24"/>
          <w:highlight w:val="none"/>
        </w:rPr>
        <w:t>见评标办法前附表。</w:t>
      </w:r>
    </w:p>
    <w:p>
      <w:pPr>
        <w:spacing w:line="360" w:lineRule="auto"/>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三、评标程序</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3.1符合性审查。</w:t>
      </w:r>
      <w:r>
        <w:rPr>
          <w:rFonts w:hint="eastAsia" w:cs="宋体" w:asciiTheme="minorEastAsia" w:hAnsiTheme="minorEastAsia" w:eastAsiaTheme="minorEastAsia"/>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3.2 比较与评价。</w:t>
      </w:r>
      <w:r>
        <w:rPr>
          <w:rFonts w:hint="eastAsia" w:cs="宋体" w:asciiTheme="minorEastAsia" w:hAnsiTheme="minorEastAsia" w:eastAsiaTheme="minorEastAsia"/>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3.3汇总商务技术得分。</w:t>
      </w:r>
      <w:r>
        <w:rPr>
          <w:rFonts w:hint="eastAsia" w:cs="宋体" w:asciiTheme="minorEastAsia" w:hAnsiTheme="minorEastAsia" w:eastAsiaTheme="minorEastAsia"/>
          <w:kern w:val="0"/>
          <w:sz w:val="24"/>
          <w:highlight w:val="none"/>
        </w:rPr>
        <w:t>评标委员会各成员应当独立对每个投标人的商务和技术文件进行评价，并汇总商务技术得分情况。</w:t>
      </w:r>
    </w:p>
    <w:p>
      <w:pPr>
        <w:spacing w:line="360" w:lineRule="auto"/>
        <w:ind w:firstLine="472" w:firstLineChars="196"/>
        <w:rPr>
          <w:rFonts w:cs="宋体" w:asciiTheme="minorEastAsia" w:hAnsiTheme="minorEastAsia" w:eastAsiaTheme="minorEastAsia"/>
          <w:b/>
          <w:kern w:val="0"/>
          <w:sz w:val="24"/>
          <w:highlight w:val="none"/>
        </w:rPr>
      </w:pPr>
      <w:r>
        <w:rPr>
          <w:rFonts w:hint="eastAsia" w:cs="宋体" w:asciiTheme="minorEastAsia" w:hAnsiTheme="minorEastAsia" w:eastAsiaTheme="minorEastAsia"/>
          <w:b/>
          <w:kern w:val="0"/>
          <w:sz w:val="24"/>
          <w:highlight w:val="none"/>
        </w:rPr>
        <w:t>3.4报价评审。</w:t>
      </w:r>
    </w:p>
    <w:p>
      <w:pPr>
        <w:pStyle w:val="129"/>
        <w:spacing w:before="0"/>
        <w:ind w:firstLine="508" w:firstLineChars="212"/>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3.4.1投标文件报价出现前后不一致的，按照下列规定修正：</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3.4.1.1投标文件中开标一览表(报价表)内容与投标文件中相应内容不一致的，以开标一览表(报价表)为准;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3.4.1.2大写金额和小写金额不一致的，以大写金额为准;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3.4.1.3单价金额小数点或者百分比有明显错位的，以开标一览表的总价为准，并修改单价;</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3.4.1.4总价金额与按单价汇总金额不一致的，以单价金额计算结果为准。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3.4.2投标文件出现不是唯一的、有选择性投标报价的，投标无效。</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3.4.3投标报价超过招标文件中规定的预算金额或者最高限价的，投标无效。</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3.4.4评标委员会认为投标人的报价明显低于其他通过符合性审查投标人的报价，有可能影响产品</w:t>
      </w:r>
      <w:r>
        <w:rPr>
          <w:rFonts w:hint="eastAsia" w:cs="宋体" w:asciiTheme="minorEastAsia" w:hAnsiTheme="minorEastAsia" w:eastAsiaTheme="minorEastAsia"/>
          <w:kern w:val="0"/>
          <w:szCs w:val="24"/>
          <w:highlight w:val="none"/>
          <w:lang w:eastAsia="zh-CN"/>
        </w:rPr>
        <w:t>（服务）</w:t>
      </w:r>
      <w:r>
        <w:rPr>
          <w:rFonts w:hint="eastAsia" w:cs="宋体" w:asciiTheme="minorEastAsia" w:hAnsiTheme="minorEastAsia" w:eastAsiaTheme="minorEastAsia"/>
          <w:kern w:val="0"/>
          <w:szCs w:val="24"/>
          <w:highlight w:val="none"/>
        </w:rPr>
        <w:t>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3.4.5对于未预留份额专门面向中小企业的政府采购服务项目，以及预留份额政府采购服务项目中的非预留部分标项，对小型和微型企业的投标报价给予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kern w:val="0"/>
          <w:szCs w:val="24"/>
          <w:highlight w:val="none"/>
        </w:rPr>
        <w:t>20%</w:t>
      </w:r>
      <w:r>
        <w:rPr>
          <w:rFonts w:hint="eastAsia" w:cs="宋体" w:asciiTheme="minorEastAsia" w:hAnsiTheme="minorEastAsia" w:eastAsiaTheme="minorEastAsia"/>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kern w:val="0"/>
          <w:szCs w:val="24"/>
          <w:highlight w:val="none"/>
        </w:rPr>
        <w:t>6%</w:t>
      </w:r>
      <w:r>
        <w:rPr>
          <w:rFonts w:hint="eastAsia" w:cs="宋体" w:asciiTheme="minorEastAsia" w:hAnsiTheme="minorEastAsia" w:eastAsiaTheme="minorEastAsia"/>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3.5排序与推荐。</w:t>
      </w:r>
      <w:r>
        <w:rPr>
          <w:rFonts w:hint="eastAsia" w:cs="宋体" w:asciiTheme="minorEastAsia" w:hAnsiTheme="minorEastAsia" w:eastAsiaTheme="minorEastAsia"/>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cs="宋体" w:asciiTheme="minorEastAsia" w:hAnsiTheme="minorEastAsia" w:eastAsiaTheme="minorEastAsia"/>
          <w:b/>
          <w:kern w:val="0"/>
          <w:sz w:val="24"/>
          <w:highlight w:val="none"/>
        </w:rPr>
      </w:pPr>
      <w:r>
        <w:rPr>
          <w:rFonts w:hint="eastAsia" w:cs="宋体" w:asciiTheme="minorEastAsia" w:hAnsiTheme="minorEastAsia" w:eastAsiaTheme="minorEastAsia"/>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3.6编写评标报告。</w:t>
      </w:r>
      <w:r>
        <w:rPr>
          <w:rFonts w:hint="eastAsia" w:cs="宋体" w:asciiTheme="minorEastAsia" w:hAnsiTheme="minorEastAsia" w:eastAsiaTheme="minorEastAsia"/>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四、评标中的其他事项</w:t>
      </w:r>
    </w:p>
    <w:p>
      <w:pPr>
        <w:pStyle w:val="129"/>
        <w:spacing w:before="0"/>
        <w:ind w:firstLine="472" w:firstLineChars="196"/>
        <w:rPr>
          <w:rFonts w:cs="宋体" w:asciiTheme="minorEastAsia" w:hAnsiTheme="minorEastAsia" w:eastAsiaTheme="minorEastAsia"/>
          <w:kern w:val="0"/>
          <w:szCs w:val="24"/>
          <w:highlight w:val="none"/>
        </w:rPr>
      </w:pPr>
      <w:r>
        <w:rPr>
          <w:rFonts w:hint="eastAsia" w:cs="宋体" w:asciiTheme="minorEastAsia" w:hAnsiTheme="minorEastAsia" w:eastAsiaTheme="minorEastAsia"/>
          <w:b/>
          <w:kern w:val="0"/>
          <w:szCs w:val="24"/>
          <w:highlight w:val="none"/>
        </w:rPr>
        <w:t>4.1投标人澄清、说明或者补正。</w:t>
      </w:r>
      <w:r>
        <w:rPr>
          <w:rFonts w:hint="eastAsia" w:cs="宋体" w:asciiTheme="minorEastAsia" w:hAnsiTheme="minorEastAsia" w:eastAsiaTheme="minorEastAsia"/>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asciiTheme="minorEastAsia" w:hAnsiTheme="minorEastAsia" w:eastAsiaTheme="minorEastAsia"/>
          <w:szCs w:val="21"/>
          <w:highlight w:val="none"/>
        </w:rPr>
      </w:pPr>
      <w:r>
        <w:rPr>
          <w:rFonts w:hint="eastAsia" w:cs="宋体" w:asciiTheme="minorEastAsia" w:hAnsiTheme="minorEastAsia" w:eastAsiaTheme="minorEastAsia"/>
          <w:b/>
          <w:kern w:val="0"/>
          <w:highlight w:val="none"/>
        </w:rPr>
        <w:t>4.2投标无效。</w:t>
      </w:r>
      <w:r>
        <w:rPr>
          <w:rFonts w:hint="eastAsia" w:cs="宋体" w:asciiTheme="minorEastAsia" w:hAnsiTheme="minorEastAsia" w:eastAsiaTheme="minorEastAsia"/>
          <w:szCs w:val="21"/>
          <w:highlight w:val="none"/>
        </w:rPr>
        <w:t>有下列情形之一的，投标无效：</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4.2.2投标文件未按照招标文件要求签署、盖章的；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4.2.4投标文件含有采购人不能接受的附加条件的；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4.2.5投标文件中承诺的投标有效期少于招标文件中载明的投标有效期的；</w:t>
      </w:r>
    </w:p>
    <w:p>
      <w:pPr>
        <w:snapToGrid w:val="0"/>
        <w:spacing w:line="360" w:lineRule="auto"/>
        <w:ind w:firstLine="120" w:firstLineChars="5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4.2.6投标文件出现不是唯一的、有选择性投标报价的;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4.2.7投标报价超过招标文件中规定的预算金额或者最高限价的;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4.2.8报价明显低于其他通过符合性审查投标人的报价，有可能影响产品</w:t>
      </w:r>
      <w:r>
        <w:rPr>
          <w:rFonts w:hint="eastAsia" w:cs="宋体" w:asciiTheme="minorEastAsia" w:hAnsiTheme="minorEastAsia" w:eastAsiaTheme="minorEastAsia"/>
          <w:kern w:val="0"/>
          <w:sz w:val="24"/>
          <w:highlight w:val="none"/>
          <w:lang w:eastAsia="zh-CN"/>
        </w:rPr>
        <w:t>（服务）</w:t>
      </w:r>
      <w:r>
        <w:rPr>
          <w:rFonts w:hint="eastAsia" w:cs="宋体" w:asciiTheme="minorEastAsia" w:hAnsiTheme="minorEastAsia" w:eastAsiaTheme="minorEastAsia"/>
          <w:kern w:val="0"/>
          <w:sz w:val="24"/>
          <w:highlight w:val="none"/>
        </w:rPr>
        <w:t>质量或者不能诚信履约的，未能按要求提供书面说明或者提交相关证明材料，不能证明其报价合理性的;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4.2.9投标人对根据修正原则修正后的报价不确认的；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4.2.10投标人提供虚假材料投标的；</w:t>
      </w:r>
    </w:p>
    <w:p>
      <w:pPr>
        <w:spacing w:line="360" w:lineRule="auto"/>
        <w:ind w:firstLine="240" w:firstLineChars="1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4.2.12投标人仅提交备份投标文件，未在电子交易平台传输递交投标文件的，投标无效；</w:t>
      </w:r>
    </w:p>
    <w:p>
      <w:pPr>
        <w:spacing w:line="360" w:lineRule="auto"/>
        <w:ind w:firstLine="480" w:firstLineChars="200"/>
        <w:rPr>
          <w:rFonts w:hint="eastAsia" w:ascii="宋体" w:hAnsi="宋体" w:cs="宋体"/>
          <w:kern w:val="0"/>
          <w:sz w:val="24"/>
        </w:rPr>
      </w:pPr>
      <w:r>
        <w:rPr>
          <w:rFonts w:hint="eastAsia" w:ascii="宋体" w:hAnsi="宋体" w:cs="宋体"/>
          <w:kern w:val="0"/>
          <w:sz w:val="24"/>
        </w:rPr>
        <w:t>4.2.13投标人未提供样品或提供的样品不满足采购需求实质性条件的，投标无效；</w:t>
      </w:r>
    </w:p>
    <w:p>
      <w:pPr>
        <w:spacing w:line="360" w:lineRule="auto"/>
        <w:ind w:firstLine="480" w:firstLineChars="200"/>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5"/>
        <w:snapToGrid w:val="0"/>
        <w:spacing w:line="360" w:lineRule="auto"/>
        <w:ind w:firstLine="472" w:firstLineChars="196"/>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5.废标。</w:t>
      </w:r>
      <w:r>
        <w:rPr>
          <w:rFonts w:hint="eastAsia" w:cs="宋体" w:asciiTheme="minorEastAsia" w:hAnsiTheme="minorEastAsia" w:eastAsiaTheme="minorEastAsia"/>
          <w:highlight w:val="none"/>
        </w:rPr>
        <w:t>根据《中华人民共和国政府采购法》第三十六条之规定，在采购中，出现下列情形之一的，应予废标：</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5.1符合专业条件的供应商或者对招标文件作实质响应的供应商不足3家的；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5.2出现影响采购公正的违法、违规行为的；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5.3投标人的报价均超过了采购预算，采购人不能支付的；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5.4因重大变故，采购任务取消的。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废标后，采购机构应当将废标理由通知所有投标人。</w:t>
      </w:r>
    </w:p>
    <w:p>
      <w:pPr>
        <w:pStyle w:val="25"/>
        <w:snapToGrid w:val="0"/>
        <w:spacing w:line="360" w:lineRule="auto"/>
        <w:ind w:firstLine="590" w:firstLineChars="245"/>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6.修改招标文件，重新组织采购活动。</w:t>
      </w:r>
      <w:r>
        <w:rPr>
          <w:rFonts w:hint="eastAsia" w:cs="宋体" w:asciiTheme="minorEastAsia" w:hAnsiTheme="minorEastAsia" w:eastAsiaTheme="minorEastAsia"/>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asciiTheme="minorEastAsia" w:hAnsiTheme="minorEastAsia" w:eastAsiaTheme="minorEastAsia"/>
          <w:highlight w:val="none"/>
        </w:rPr>
      </w:pPr>
      <w:r>
        <w:rPr>
          <w:rFonts w:hint="eastAsia" w:cs="宋体" w:asciiTheme="minorEastAsia" w:hAnsiTheme="minorEastAsia" w:eastAsiaTheme="minorEastAsia"/>
          <w:b/>
          <w:kern w:val="0"/>
          <w:highlight w:val="none"/>
        </w:rPr>
        <w:t>7.重新开展采购。</w:t>
      </w:r>
      <w:r>
        <w:rPr>
          <w:rFonts w:hint="eastAsia" w:cs="宋体" w:asciiTheme="minorEastAsia" w:hAnsiTheme="minorEastAsia" w:eastAsiaTheme="minorEastAsia"/>
          <w:highlight w:val="none"/>
        </w:rPr>
        <w:t>有政府采购法第七十一条、第七十二条规定的违法行为之一，影响或者可能影响中标结果的，依照下列规定处理：</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7.1未确定中标供应商的，终止本次政府采购活动，重新开展政府采购活动。</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7.4政府采购合同已经履行，给采购人、供应商造成损失的，由责任人承担赔偿责任。</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ind w:left="720" w:leftChars="343" w:firstLine="1084" w:firstLineChars="300"/>
        <w:outlineLvl w:val="0"/>
        <w:rPr>
          <w:rFonts w:hint="eastAsia" w:cs="宋体" w:asciiTheme="minorEastAsia" w:hAnsiTheme="minorEastAsia" w:eastAsiaTheme="minorEastAsia"/>
          <w:b/>
          <w:sz w:val="36"/>
          <w:szCs w:val="36"/>
          <w:highlight w:val="none"/>
        </w:rPr>
      </w:pPr>
      <w:bookmarkStart w:id="402" w:name="第五部分"/>
      <w:bookmarkStart w:id="403" w:name="_Toc86217003"/>
    </w:p>
    <w:p>
      <w:pPr>
        <w:spacing w:line="360" w:lineRule="auto"/>
        <w:ind w:left="720" w:leftChars="343" w:firstLine="1084" w:firstLineChars="300"/>
        <w:outlineLvl w:val="0"/>
        <w:rPr>
          <w:rFonts w:hint="eastAsia" w:cs="宋体" w:asciiTheme="minorEastAsia" w:hAnsiTheme="minorEastAsia" w:eastAsiaTheme="minorEastAsia"/>
          <w:b/>
          <w:sz w:val="36"/>
          <w:szCs w:val="36"/>
          <w:highlight w:val="none"/>
        </w:rPr>
      </w:pPr>
    </w:p>
    <w:p>
      <w:pPr>
        <w:spacing w:line="360" w:lineRule="auto"/>
        <w:ind w:left="720" w:leftChars="343" w:firstLine="1084" w:firstLineChars="300"/>
        <w:outlineLvl w:val="0"/>
        <w:rPr>
          <w:rFonts w:hint="eastAsia" w:cs="宋体" w:asciiTheme="minorEastAsia" w:hAnsiTheme="minorEastAsia" w:eastAsiaTheme="minorEastAsia"/>
          <w:b/>
          <w:sz w:val="36"/>
          <w:szCs w:val="36"/>
          <w:highlight w:val="none"/>
        </w:rPr>
      </w:pPr>
    </w:p>
    <w:p>
      <w:pPr>
        <w:spacing w:line="360" w:lineRule="auto"/>
        <w:ind w:left="720" w:leftChars="343" w:firstLine="1084" w:firstLineChars="300"/>
        <w:outlineLvl w:val="0"/>
        <w:rPr>
          <w:rFonts w:hint="eastAsia" w:cs="宋体" w:asciiTheme="minorEastAsia" w:hAnsiTheme="minorEastAsia" w:eastAsiaTheme="minorEastAsia"/>
          <w:b/>
          <w:sz w:val="36"/>
          <w:szCs w:val="36"/>
          <w:highlight w:val="none"/>
        </w:rPr>
      </w:pPr>
    </w:p>
    <w:p>
      <w:pPr>
        <w:spacing w:line="360" w:lineRule="auto"/>
        <w:ind w:left="720" w:leftChars="343" w:firstLine="1084" w:firstLineChars="300"/>
        <w:outlineLvl w:val="0"/>
        <w:rPr>
          <w:rFonts w:hint="eastAsia" w:cs="宋体" w:asciiTheme="minorEastAsia" w:hAnsiTheme="minorEastAsia" w:eastAsiaTheme="minorEastAsia"/>
          <w:b/>
          <w:sz w:val="36"/>
          <w:szCs w:val="36"/>
          <w:highlight w:val="none"/>
        </w:rPr>
      </w:pPr>
    </w:p>
    <w:p>
      <w:pPr>
        <w:spacing w:line="360" w:lineRule="auto"/>
        <w:ind w:left="720" w:leftChars="343" w:firstLine="1084" w:firstLineChars="300"/>
        <w:outlineLvl w:val="0"/>
        <w:rPr>
          <w:rFonts w:hint="eastAsia" w:cs="宋体" w:asciiTheme="minorEastAsia" w:hAnsiTheme="minorEastAsia" w:eastAsiaTheme="minorEastAsia"/>
          <w:b/>
          <w:sz w:val="36"/>
          <w:szCs w:val="36"/>
          <w:highlight w:val="none"/>
        </w:rPr>
      </w:pPr>
    </w:p>
    <w:p>
      <w:pPr>
        <w:spacing w:line="360" w:lineRule="auto"/>
        <w:ind w:left="720" w:leftChars="343" w:firstLine="1084" w:firstLineChars="300"/>
        <w:outlineLvl w:val="0"/>
        <w:rPr>
          <w:rFonts w:hint="eastAsia" w:cs="宋体" w:asciiTheme="minorEastAsia" w:hAnsiTheme="minorEastAsia" w:eastAsiaTheme="minorEastAsia"/>
          <w:b/>
          <w:sz w:val="36"/>
          <w:szCs w:val="36"/>
          <w:highlight w:val="none"/>
        </w:rPr>
      </w:pPr>
    </w:p>
    <w:p>
      <w:pPr>
        <w:spacing w:line="360" w:lineRule="auto"/>
        <w:ind w:left="720" w:leftChars="343" w:firstLine="1084" w:firstLineChars="300"/>
        <w:outlineLvl w:val="0"/>
        <w:rPr>
          <w:rFonts w:hint="eastAsia" w:cs="宋体" w:asciiTheme="minorEastAsia" w:hAnsiTheme="minorEastAsia" w:eastAsiaTheme="minorEastAsia"/>
          <w:b/>
          <w:sz w:val="36"/>
          <w:szCs w:val="36"/>
          <w:highlight w:val="none"/>
        </w:rPr>
      </w:pPr>
    </w:p>
    <w:p>
      <w:pPr>
        <w:spacing w:line="360" w:lineRule="auto"/>
        <w:ind w:left="720" w:leftChars="343" w:firstLine="1084" w:firstLineChars="300"/>
        <w:outlineLvl w:val="0"/>
        <w:rPr>
          <w:rFonts w:hint="eastAsia" w:cs="宋体" w:asciiTheme="minorEastAsia" w:hAnsiTheme="minorEastAsia" w:eastAsiaTheme="minorEastAsia"/>
          <w:b/>
          <w:sz w:val="36"/>
          <w:szCs w:val="36"/>
          <w:highlight w:val="none"/>
        </w:rPr>
      </w:pPr>
    </w:p>
    <w:p>
      <w:pPr>
        <w:pStyle w:val="2"/>
        <w:rPr>
          <w:rFonts w:hint="eastAsia" w:cs="宋体" w:asciiTheme="minorEastAsia" w:hAnsiTheme="minorEastAsia" w:eastAsiaTheme="minorEastAsia"/>
          <w:b/>
          <w:sz w:val="36"/>
          <w:szCs w:val="36"/>
          <w:highlight w:val="none"/>
        </w:rPr>
      </w:pPr>
    </w:p>
    <w:p>
      <w:pPr>
        <w:pStyle w:val="3"/>
        <w:rPr>
          <w:rFonts w:hint="eastAsia"/>
        </w:rPr>
      </w:pPr>
    </w:p>
    <w:p>
      <w:pPr>
        <w:spacing w:line="360" w:lineRule="auto"/>
        <w:outlineLvl w:val="0"/>
        <w:rPr>
          <w:rFonts w:hint="eastAsia" w:cs="宋体" w:asciiTheme="minorEastAsia" w:hAnsiTheme="minorEastAsia" w:eastAsiaTheme="minorEastAsia"/>
          <w:b/>
          <w:sz w:val="36"/>
          <w:szCs w:val="36"/>
          <w:highlight w:val="none"/>
        </w:rPr>
      </w:pPr>
    </w:p>
    <w:p>
      <w:pPr>
        <w:spacing w:line="360" w:lineRule="auto"/>
        <w:ind w:left="720" w:leftChars="343" w:firstLine="1084" w:firstLineChars="300"/>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第五部分 拟签订的合同文本</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根据《中华人民共和国政府采购法》和《中华人民共和国合同法》、地方有关法律、法规和政策，在平等、自愿、协商一致的基础上，就甲方（中共杭州市西湖区委政法委员会）委托乙方（</w:t>
      </w:r>
      <w:r>
        <w:rPr>
          <w:rFonts w:hint="eastAsia" w:ascii="宋体" w:hAnsi="宋体" w:cs="宋体"/>
          <w:color w:val="auto"/>
          <w:kern w:val="0"/>
          <w:sz w:val="24"/>
          <w:highlight w:val="none"/>
          <w:lang w:val="zh-CN"/>
        </w:rPr>
        <w:t>经评审最终确定的</w:t>
      </w:r>
      <w:r>
        <w:rPr>
          <w:rFonts w:hint="eastAsia" w:ascii="宋体" w:hAnsi="宋体" w:cs="宋体"/>
          <w:color w:val="auto"/>
          <w:sz w:val="24"/>
          <w:highlight w:val="none"/>
        </w:rPr>
        <w:t>成交供应商）对</w:t>
      </w:r>
      <w:r>
        <w:rPr>
          <w:rFonts w:hint="eastAsia" w:ascii="宋体" w:hAnsi="宋体" w:cs="宋体"/>
          <w:color w:val="auto"/>
          <w:sz w:val="24"/>
          <w:highlight w:val="none"/>
          <w:lang w:eastAsia="zh-CN"/>
        </w:rPr>
        <w:t>“民呼我为”西湖区一体化智治平台项目二期建设项目</w:t>
      </w:r>
      <w:r>
        <w:rPr>
          <w:rFonts w:hint="eastAsia" w:ascii="宋体" w:hAnsi="宋体" w:cs="宋体"/>
          <w:color w:val="auto"/>
          <w:sz w:val="24"/>
          <w:highlight w:val="none"/>
        </w:rPr>
        <w:t>订立本合同。</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1. 定义</w:t>
      </w:r>
    </w:p>
    <w:p>
      <w:pPr>
        <w:spacing w:line="360" w:lineRule="auto"/>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1.1 “合同”系指采购人和中标供应商签订的载明双方当事人所达成的协议，并包括所有的附件、附录和构成合同的其他文件。</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1.2 “合同价”系指根据合同约定，中标供应商在完全履行合同义务后</w:t>
      </w:r>
      <w:r>
        <w:rPr>
          <w:rFonts w:hint="eastAsia" w:ascii="宋体" w:hAnsi="宋体"/>
          <w:color w:val="auto"/>
          <w:sz w:val="24"/>
          <w:highlight w:val="none"/>
        </w:rPr>
        <w:t>，</w:t>
      </w:r>
      <w:r>
        <w:rPr>
          <w:rFonts w:ascii="宋体" w:hAnsi="宋体"/>
          <w:color w:val="auto"/>
          <w:sz w:val="24"/>
          <w:highlight w:val="none"/>
        </w:rPr>
        <w:t>采购人应支付给中标供应商的价格。</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olor w:val="auto"/>
          <w:sz w:val="24"/>
          <w:highlight w:val="none"/>
        </w:rPr>
        <w:t>中标供应商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olor w:val="auto"/>
          <w:sz w:val="24"/>
          <w:highlight w:val="none"/>
        </w:rPr>
        <w:t>中标供应商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1.5 “乙方”系指根据合同约定提供服务的中标供应商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1.6 “现场”系指合同约定提供服务的地点。</w:t>
      </w:r>
    </w:p>
    <w:p>
      <w:pPr>
        <w:spacing w:line="360" w:lineRule="auto"/>
        <w:ind w:firstLine="482" w:firstLineChars="200"/>
        <w:outlineLvl w:val="0"/>
        <w:rPr>
          <w:rFonts w:ascii="宋体" w:hAnsi="宋体"/>
          <w:b/>
          <w:color w:val="auto"/>
          <w:sz w:val="24"/>
          <w:highlight w:val="none"/>
        </w:rPr>
      </w:pPr>
      <w:bookmarkStart w:id="404" w:name="_Toc31402"/>
      <w:bookmarkStart w:id="405" w:name="_Toc3769"/>
      <w:bookmarkStart w:id="406" w:name="_Toc23289"/>
      <w:bookmarkStart w:id="407" w:name="_Toc16752"/>
      <w:bookmarkStart w:id="408" w:name="_Toc19539"/>
      <w:r>
        <w:rPr>
          <w:rFonts w:ascii="宋体" w:hAnsi="宋体"/>
          <w:b/>
          <w:color w:val="auto"/>
          <w:sz w:val="24"/>
          <w:highlight w:val="none"/>
        </w:rPr>
        <w:t>2.技术规范</w:t>
      </w:r>
      <w:bookmarkEnd w:id="404"/>
      <w:bookmarkEnd w:id="405"/>
      <w:bookmarkEnd w:id="406"/>
      <w:bookmarkEnd w:id="407"/>
      <w:bookmarkEnd w:id="408"/>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所应遵守的技术规范应与采购文件规定的技术规范和技术规范附件(如果有)及其技术规范偏差表(如果被甲方接受)相一致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360" w:lineRule="auto"/>
        <w:ind w:firstLine="482" w:firstLineChars="200"/>
        <w:outlineLvl w:val="0"/>
        <w:rPr>
          <w:rFonts w:ascii="宋体" w:hAnsi="宋体"/>
          <w:b/>
          <w:color w:val="auto"/>
          <w:sz w:val="24"/>
          <w:highlight w:val="none"/>
        </w:rPr>
      </w:pPr>
      <w:bookmarkStart w:id="409" w:name="_Toc27945"/>
      <w:bookmarkStart w:id="410" w:name="_Toc4133"/>
      <w:bookmarkStart w:id="411" w:name="_Toc13673"/>
      <w:bookmarkStart w:id="412" w:name="_Toc12412"/>
      <w:bookmarkStart w:id="413" w:name="_Toc9161"/>
      <w:r>
        <w:rPr>
          <w:rFonts w:ascii="宋体" w:hAnsi="宋体"/>
          <w:b/>
          <w:color w:val="auto"/>
          <w:sz w:val="24"/>
          <w:highlight w:val="none"/>
        </w:rPr>
        <w:t>2.1 知识产权</w:t>
      </w:r>
      <w:bookmarkEnd w:id="409"/>
      <w:bookmarkEnd w:id="410"/>
      <w:bookmarkEnd w:id="411"/>
      <w:bookmarkEnd w:id="412"/>
      <w:bookmarkEnd w:id="413"/>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w:t>
      </w:r>
    </w:p>
    <w:p>
      <w:pPr>
        <w:spacing w:line="360" w:lineRule="auto"/>
        <w:ind w:firstLine="482" w:firstLineChars="200"/>
        <w:rPr>
          <w:rFonts w:ascii="宋体" w:hAnsi="宋体"/>
          <w:b/>
          <w:color w:val="auto"/>
          <w:sz w:val="24"/>
          <w:highlight w:val="none"/>
        </w:rPr>
      </w:pPr>
      <w:r>
        <w:rPr>
          <w:rFonts w:ascii="宋体" w:hAnsi="宋体"/>
          <w:b/>
          <w:color w:val="auto"/>
          <w:sz w:val="24"/>
          <w:highlight w:val="none"/>
        </w:rPr>
        <w:t xml:space="preserve">2.2 </w:t>
      </w:r>
      <w:r>
        <w:rPr>
          <w:rFonts w:hint="eastAsia" w:ascii="宋体" w:hAnsi="宋体"/>
          <w:b/>
          <w:color w:val="auto"/>
          <w:sz w:val="24"/>
          <w:highlight w:val="none"/>
        </w:rPr>
        <w:t>履约检查和问题反馈</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2.2.1甲方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2.2.2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360" w:lineRule="auto"/>
        <w:ind w:firstLine="482" w:firstLineChars="200"/>
        <w:outlineLvl w:val="0"/>
        <w:rPr>
          <w:rFonts w:ascii="宋体" w:hAnsi="宋体"/>
          <w:b/>
          <w:color w:val="auto"/>
          <w:sz w:val="24"/>
          <w:highlight w:val="none"/>
        </w:rPr>
      </w:pPr>
      <w:bookmarkStart w:id="414" w:name="_Toc26555"/>
      <w:bookmarkStart w:id="415" w:name="_Toc32670"/>
      <w:bookmarkStart w:id="416" w:name="_Toc15447"/>
      <w:bookmarkStart w:id="417" w:name="_Toc22011"/>
      <w:bookmarkStart w:id="418" w:name="_Toc31233"/>
      <w:r>
        <w:rPr>
          <w:rFonts w:ascii="宋体" w:hAnsi="宋体"/>
          <w:b/>
          <w:color w:val="auto"/>
          <w:sz w:val="24"/>
          <w:highlight w:val="none"/>
        </w:rPr>
        <w:t xml:space="preserve">2.3 </w:t>
      </w:r>
      <w:bookmarkEnd w:id="414"/>
      <w:bookmarkEnd w:id="415"/>
      <w:bookmarkEnd w:id="416"/>
      <w:bookmarkEnd w:id="417"/>
      <w:bookmarkEnd w:id="418"/>
      <w:r>
        <w:rPr>
          <w:rFonts w:hint="eastAsia" w:ascii="宋体" w:hAnsi="宋体"/>
          <w:b/>
          <w:color w:val="auto"/>
          <w:sz w:val="24"/>
          <w:highlight w:val="none"/>
        </w:rPr>
        <w:t>支付</w:t>
      </w:r>
    </w:p>
    <w:p>
      <w:pPr>
        <w:autoSpaceDE w:val="0"/>
        <w:autoSpaceDN w:val="0"/>
        <w:spacing w:line="360" w:lineRule="auto"/>
        <w:ind w:firstLine="480" w:firstLineChars="200"/>
        <w:rPr>
          <w:rFonts w:ascii="宋体" w:hAnsi="宋体" w:cs="宋体"/>
          <w:color w:val="auto"/>
          <w:kern w:val="0"/>
          <w:sz w:val="24"/>
          <w:highlight w:val="none"/>
          <w:lang w:val="zh-CN"/>
        </w:rPr>
      </w:pPr>
      <w:bookmarkStart w:id="419" w:name="_Toc13467"/>
      <w:bookmarkStart w:id="420" w:name="_Toc16163"/>
      <w:bookmarkStart w:id="421" w:name="_Toc13154"/>
      <w:bookmarkStart w:id="422" w:name="_Toc30507"/>
      <w:bookmarkStart w:id="423" w:name="_Toc18990"/>
      <w:r>
        <w:rPr>
          <w:rFonts w:hint="eastAsia" w:ascii="宋体" w:hAnsi="宋体" w:cs="宋体"/>
          <w:color w:val="auto"/>
          <w:kern w:val="0"/>
          <w:sz w:val="24"/>
          <w:highlight w:val="none"/>
          <w:lang w:val="zh-CN"/>
        </w:rPr>
        <w:t>本次项目合同总价为人民币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元），采用分期付款的方式：</w:t>
      </w:r>
    </w:p>
    <w:tbl>
      <w:tblPr>
        <w:tblStyle w:val="6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213"/>
        <w:gridCol w:w="1032"/>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autoSpaceDE w:val="0"/>
              <w:autoSpaceDN w:val="0"/>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付款期数</w:t>
            </w:r>
          </w:p>
        </w:tc>
        <w:tc>
          <w:tcPr>
            <w:tcW w:w="1213" w:type="dxa"/>
            <w:vAlign w:val="center"/>
          </w:tcPr>
          <w:p>
            <w:pPr>
              <w:autoSpaceDE w:val="0"/>
              <w:autoSpaceDN w:val="0"/>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付款大写金额（元）</w:t>
            </w:r>
          </w:p>
        </w:tc>
        <w:tc>
          <w:tcPr>
            <w:tcW w:w="1032" w:type="dxa"/>
            <w:vAlign w:val="center"/>
          </w:tcPr>
          <w:p>
            <w:pPr>
              <w:autoSpaceDE w:val="0"/>
              <w:autoSpaceDN w:val="0"/>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付款小写金额（元）</w:t>
            </w:r>
          </w:p>
        </w:tc>
        <w:tc>
          <w:tcPr>
            <w:tcW w:w="5999" w:type="dxa"/>
            <w:vAlign w:val="center"/>
          </w:tcPr>
          <w:p>
            <w:pPr>
              <w:autoSpaceDE w:val="0"/>
              <w:autoSpaceDN w:val="0"/>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autoSpaceDE w:val="0"/>
              <w:autoSpaceDN w:val="0"/>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w:t>
            </w:r>
          </w:p>
        </w:tc>
        <w:tc>
          <w:tcPr>
            <w:tcW w:w="1213" w:type="dxa"/>
            <w:vAlign w:val="center"/>
          </w:tcPr>
          <w:p>
            <w:pPr>
              <w:autoSpaceDE w:val="0"/>
              <w:autoSpaceDN w:val="0"/>
              <w:spacing w:line="360" w:lineRule="auto"/>
              <w:jc w:val="center"/>
              <w:rPr>
                <w:rFonts w:ascii="宋体" w:hAnsi="宋体" w:cs="宋体"/>
                <w:color w:val="auto"/>
                <w:kern w:val="0"/>
                <w:sz w:val="24"/>
                <w:highlight w:val="none"/>
                <w:lang w:val="zh-CN"/>
              </w:rPr>
            </w:pPr>
          </w:p>
        </w:tc>
        <w:tc>
          <w:tcPr>
            <w:tcW w:w="1032" w:type="dxa"/>
            <w:vAlign w:val="center"/>
          </w:tcPr>
          <w:p>
            <w:pPr>
              <w:autoSpaceDE w:val="0"/>
              <w:autoSpaceDN w:val="0"/>
              <w:spacing w:line="360" w:lineRule="auto"/>
              <w:jc w:val="center"/>
              <w:rPr>
                <w:rFonts w:ascii="宋体" w:hAnsi="宋体" w:cs="宋体"/>
                <w:color w:val="auto"/>
                <w:kern w:val="0"/>
                <w:sz w:val="24"/>
                <w:highlight w:val="none"/>
                <w:lang w:val="zh-CN"/>
              </w:rPr>
            </w:pPr>
          </w:p>
        </w:tc>
        <w:tc>
          <w:tcPr>
            <w:tcW w:w="5999" w:type="dxa"/>
            <w:vAlign w:val="center"/>
          </w:tcPr>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合同签订后</w:t>
            </w:r>
            <w:r>
              <w:rPr>
                <w:rFonts w:hint="eastAsia" w:ascii="宋体" w:hAnsi="宋体" w:cs="宋体"/>
                <w:color w:val="auto"/>
                <w:sz w:val="24"/>
                <w:highlight w:val="none"/>
              </w:rPr>
              <w:t>7</w:t>
            </w:r>
            <w:r>
              <w:rPr>
                <w:rFonts w:hint="eastAsia" w:ascii="宋体" w:hAnsi="宋体" w:cs="宋体"/>
                <w:color w:val="auto"/>
                <w:sz w:val="24"/>
                <w:highlight w:val="none"/>
                <w:lang w:val="zh-CN"/>
              </w:rPr>
              <w:t>个工作日内，进行详细的需求调研，进一步优化概要设计、详细设计，并细化系统建设计划、目标任务书和测试验收方案，向甲方提供上述文档并需经甲方审查通过。</w:t>
            </w:r>
            <w:r>
              <w:rPr>
                <w:rFonts w:hint="eastAsia" w:ascii="宋体" w:hAnsi="宋体" w:cs="宋体"/>
                <w:color w:val="auto"/>
                <w:sz w:val="24"/>
                <w:highlight w:val="none"/>
              </w:rPr>
              <w:t>乙方凭甲方签字盖章的支付通知书向甲方办理合同总价40%的款项支付手续。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autoSpaceDE w:val="0"/>
              <w:autoSpaceDN w:val="0"/>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p>
        </w:tc>
        <w:tc>
          <w:tcPr>
            <w:tcW w:w="1213" w:type="dxa"/>
            <w:vAlign w:val="center"/>
          </w:tcPr>
          <w:p>
            <w:pPr>
              <w:autoSpaceDE w:val="0"/>
              <w:autoSpaceDN w:val="0"/>
              <w:spacing w:line="360" w:lineRule="auto"/>
              <w:jc w:val="center"/>
              <w:rPr>
                <w:rFonts w:ascii="宋体" w:hAnsi="宋体" w:cs="宋体"/>
                <w:color w:val="auto"/>
                <w:kern w:val="0"/>
                <w:sz w:val="24"/>
                <w:highlight w:val="none"/>
                <w:lang w:val="zh-CN"/>
              </w:rPr>
            </w:pPr>
          </w:p>
        </w:tc>
        <w:tc>
          <w:tcPr>
            <w:tcW w:w="1032" w:type="dxa"/>
            <w:vAlign w:val="center"/>
          </w:tcPr>
          <w:p>
            <w:pPr>
              <w:autoSpaceDE w:val="0"/>
              <w:autoSpaceDN w:val="0"/>
              <w:spacing w:line="360" w:lineRule="auto"/>
              <w:jc w:val="center"/>
              <w:rPr>
                <w:rFonts w:ascii="宋体" w:hAnsi="宋体" w:cs="宋体"/>
                <w:color w:val="auto"/>
                <w:kern w:val="0"/>
                <w:sz w:val="24"/>
                <w:highlight w:val="none"/>
                <w:lang w:val="zh-CN"/>
              </w:rPr>
            </w:pPr>
          </w:p>
        </w:tc>
        <w:tc>
          <w:tcPr>
            <w:tcW w:w="5999" w:type="dxa"/>
            <w:vAlign w:val="center"/>
          </w:tcPr>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sz w:val="24"/>
                <w:highlight w:val="none"/>
              </w:rPr>
              <w:t>合同签订后</w:t>
            </w:r>
            <w:r>
              <w:rPr>
                <w:rFonts w:hint="default" w:ascii="宋体" w:hAnsi="宋体" w:cs="宋体"/>
                <w:b/>
                <w:bCs/>
                <w:color w:val="auto"/>
                <w:sz w:val="24"/>
                <w:highlight w:val="none"/>
                <w:lang w:val="en-US"/>
              </w:rPr>
              <w:t>2</w:t>
            </w:r>
            <w:r>
              <w:rPr>
                <w:rFonts w:hint="eastAsia" w:ascii="宋体" w:hAnsi="宋体" w:cs="宋体"/>
                <w:b/>
                <w:bCs/>
                <w:color w:val="auto"/>
                <w:sz w:val="24"/>
                <w:highlight w:val="none"/>
              </w:rPr>
              <w:t>个月</w:t>
            </w:r>
            <w:r>
              <w:rPr>
                <w:rFonts w:hint="eastAsia" w:ascii="宋体" w:hAnsi="宋体" w:cs="宋体"/>
                <w:color w:val="auto"/>
                <w:sz w:val="24"/>
                <w:highlight w:val="none"/>
                <w:lang w:val="zh-CN"/>
              </w:rPr>
              <w:t>内完成软件系统开发建设、开发、上线并通过初步验收之后，</w:t>
            </w:r>
            <w:r>
              <w:rPr>
                <w:rFonts w:hint="eastAsia" w:ascii="宋体" w:hAnsi="宋体" w:cs="宋体"/>
                <w:color w:val="auto"/>
                <w:sz w:val="24"/>
                <w:highlight w:val="none"/>
              </w:rPr>
              <w:t>10</w:t>
            </w:r>
            <w:r>
              <w:rPr>
                <w:rFonts w:hint="eastAsia" w:ascii="宋体" w:hAnsi="宋体" w:cs="宋体"/>
                <w:color w:val="auto"/>
                <w:sz w:val="24"/>
                <w:highlight w:val="none"/>
                <w:lang w:val="zh-CN"/>
              </w:rPr>
              <w:t>个工作日内</w:t>
            </w:r>
            <w:r>
              <w:rPr>
                <w:rFonts w:hint="eastAsia" w:ascii="宋体" w:hAnsi="宋体" w:cs="宋体"/>
                <w:color w:val="auto"/>
                <w:sz w:val="24"/>
                <w:highlight w:val="none"/>
              </w:rPr>
              <w:t>，乙方凭甲方签字盖章的支付通知书、初验报告向甲方办理合同总价</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0%的款项支付手续。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autoSpaceDE w:val="0"/>
              <w:autoSpaceDN w:val="0"/>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w:t>
            </w:r>
          </w:p>
        </w:tc>
        <w:tc>
          <w:tcPr>
            <w:tcW w:w="1213" w:type="dxa"/>
            <w:vAlign w:val="center"/>
          </w:tcPr>
          <w:p>
            <w:pPr>
              <w:autoSpaceDE w:val="0"/>
              <w:autoSpaceDN w:val="0"/>
              <w:spacing w:line="360" w:lineRule="auto"/>
              <w:jc w:val="center"/>
              <w:rPr>
                <w:rFonts w:ascii="宋体" w:hAnsi="宋体" w:cs="宋体"/>
                <w:color w:val="auto"/>
                <w:kern w:val="0"/>
                <w:sz w:val="24"/>
                <w:highlight w:val="none"/>
                <w:lang w:val="zh-CN"/>
              </w:rPr>
            </w:pPr>
          </w:p>
        </w:tc>
        <w:tc>
          <w:tcPr>
            <w:tcW w:w="1032" w:type="dxa"/>
            <w:vAlign w:val="center"/>
          </w:tcPr>
          <w:p>
            <w:pPr>
              <w:autoSpaceDE w:val="0"/>
              <w:autoSpaceDN w:val="0"/>
              <w:spacing w:line="360" w:lineRule="auto"/>
              <w:jc w:val="center"/>
              <w:rPr>
                <w:rFonts w:ascii="宋体" w:hAnsi="宋体" w:cs="宋体"/>
                <w:color w:val="auto"/>
                <w:kern w:val="0"/>
                <w:sz w:val="24"/>
                <w:highlight w:val="none"/>
                <w:lang w:val="zh-CN"/>
              </w:rPr>
            </w:pPr>
          </w:p>
        </w:tc>
        <w:tc>
          <w:tcPr>
            <w:tcW w:w="5999" w:type="dxa"/>
            <w:vAlign w:val="center"/>
          </w:tcPr>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系统正常运转</w:t>
            </w:r>
            <w:r>
              <w:rPr>
                <w:rFonts w:hint="eastAsia" w:ascii="宋体" w:hAnsi="宋体" w:cs="宋体"/>
                <w:b/>
                <w:bCs/>
                <w:color w:val="auto"/>
                <w:kern w:val="0"/>
                <w:sz w:val="24"/>
                <w:highlight w:val="none"/>
              </w:rPr>
              <w:t>1</w:t>
            </w:r>
            <w:r>
              <w:rPr>
                <w:rFonts w:hint="eastAsia" w:ascii="宋体" w:hAnsi="宋体" w:cs="宋体"/>
                <w:b/>
                <w:bCs/>
                <w:color w:val="auto"/>
                <w:kern w:val="0"/>
                <w:sz w:val="24"/>
                <w:highlight w:val="none"/>
                <w:lang w:val="zh-CN"/>
              </w:rPr>
              <w:t>个月</w:t>
            </w:r>
            <w:r>
              <w:rPr>
                <w:rFonts w:hint="eastAsia" w:ascii="宋体" w:hAnsi="宋体" w:cs="宋体"/>
                <w:color w:val="auto"/>
                <w:kern w:val="0"/>
                <w:sz w:val="24"/>
                <w:highlight w:val="none"/>
                <w:lang w:val="zh-CN"/>
              </w:rPr>
              <w:t>后</w:t>
            </w:r>
            <w:r>
              <w:rPr>
                <w:rFonts w:hint="eastAsia" w:ascii="宋体" w:hAnsi="宋体" w:cs="宋体"/>
                <w:color w:val="auto"/>
                <w:kern w:val="0"/>
                <w:sz w:val="24"/>
                <w:highlight w:val="none"/>
              </w:rPr>
              <w:t>（试运行1个月）</w:t>
            </w:r>
            <w:r>
              <w:rPr>
                <w:rFonts w:hint="eastAsia" w:ascii="宋体" w:hAnsi="宋体" w:cs="宋体"/>
                <w:color w:val="auto"/>
                <w:kern w:val="0"/>
                <w:sz w:val="24"/>
                <w:highlight w:val="none"/>
                <w:lang w:val="zh-CN"/>
              </w:rPr>
              <w:t>，提交全部报告材料，并通过最终验收，出具项目终验报告。</w:t>
            </w:r>
            <w:r>
              <w:rPr>
                <w:rFonts w:hint="eastAsia" w:ascii="宋体" w:hAnsi="宋体" w:cs="宋体"/>
                <w:color w:val="auto"/>
                <w:sz w:val="24"/>
                <w:highlight w:val="none"/>
              </w:rPr>
              <w:t>乙方凭甲方签字盖章的支付通知书、发票复印件、终验报告向甲方办理合同总价</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%的货款结算手续。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autoSpaceDE w:val="0"/>
              <w:autoSpaceDN w:val="0"/>
              <w:spacing w:line="360" w:lineRule="auto"/>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四</w:t>
            </w:r>
          </w:p>
        </w:tc>
        <w:tc>
          <w:tcPr>
            <w:tcW w:w="1213" w:type="dxa"/>
            <w:vAlign w:val="center"/>
          </w:tcPr>
          <w:p>
            <w:pPr>
              <w:autoSpaceDE w:val="0"/>
              <w:autoSpaceDN w:val="0"/>
              <w:spacing w:line="360" w:lineRule="auto"/>
              <w:jc w:val="center"/>
              <w:rPr>
                <w:rFonts w:ascii="宋体" w:hAnsi="宋体" w:cs="宋体"/>
                <w:color w:val="auto"/>
                <w:kern w:val="0"/>
                <w:sz w:val="24"/>
                <w:highlight w:val="none"/>
                <w:lang w:val="zh-CN"/>
              </w:rPr>
            </w:pPr>
          </w:p>
        </w:tc>
        <w:tc>
          <w:tcPr>
            <w:tcW w:w="1032" w:type="dxa"/>
            <w:vAlign w:val="center"/>
          </w:tcPr>
          <w:p>
            <w:pPr>
              <w:autoSpaceDE w:val="0"/>
              <w:autoSpaceDN w:val="0"/>
              <w:spacing w:line="360" w:lineRule="auto"/>
              <w:jc w:val="center"/>
              <w:rPr>
                <w:rFonts w:ascii="宋体" w:hAnsi="宋体" w:cs="宋体"/>
                <w:color w:val="auto"/>
                <w:kern w:val="0"/>
                <w:sz w:val="24"/>
                <w:highlight w:val="none"/>
                <w:lang w:val="zh-CN"/>
              </w:rPr>
            </w:pPr>
          </w:p>
        </w:tc>
        <w:tc>
          <w:tcPr>
            <w:tcW w:w="5999" w:type="dxa"/>
            <w:vAlign w:val="center"/>
          </w:tcPr>
          <w:p>
            <w:pPr>
              <w:autoSpaceDE w:val="0"/>
              <w:autoSpaceDN w:val="0"/>
              <w:spacing w:line="360" w:lineRule="auto"/>
              <w:jc w:val="left"/>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项目运维期满后，</w:t>
            </w:r>
            <w:r>
              <w:rPr>
                <w:rFonts w:hint="eastAsia" w:ascii="宋体" w:hAnsi="宋体" w:cs="宋体"/>
                <w:color w:val="auto"/>
                <w:sz w:val="24"/>
                <w:highlight w:val="none"/>
              </w:rPr>
              <w:t>乙方凭甲方签字盖章的支付通知书、发票复印件向甲方办理合同总价10%的货款结算手续。</w:t>
            </w:r>
          </w:p>
        </w:tc>
      </w:tr>
    </w:tbl>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2.4 技术资料和保密义务</w:t>
      </w:r>
      <w:bookmarkEnd w:id="419"/>
      <w:bookmarkEnd w:id="420"/>
      <w:bookmarkEnd w:id="421"/>
      <w:bookmarkEnd w:id="422"/>
      <w:bookmarkEnd w:id="423"/>
    </w:p>
    <w:p>
      <w:pPr>
        <w:spacing w:line="360" w:lineRule="auto"/>
        <w:ind w:firstLine="480" w:firstLineChars="200"/>
        <w:rPr>
          <w:rFonts w:ascii="宋体" w:hAnsi="宋体"/>
          <w:color w:val="auto"/>
          <w:sz w:val="24"/>
          <w:highlight w:val="none"/>
        </w:rPr>
      </w:pPr>
      <w:r>
        <w:rPr>
          <w:rFonts w:ascii="宋体" w:hAnsi="宋体"/>
          <w:color w:val="auto"/>
          <w:sz w:val="24"/>
          <w:highlight w:val="none"/>
        </w:rPr>
        <w:t>2.4.1 乙方有权依据合同约定和项目需要，向甲方了解有关情况，调阅有关资料等，甲方应予积极配合；</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乙方有义务妥善保管和保护由甲方提供的前款信息和资料等；</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2.4.3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b/>
          <w:color w:val="auto"/>
          <w:sz w:val="24"/>
          <w:highlight w:val="none"/>
        </w:rPr>
      </w:pPr>
      <w:bookmarkStart w:id="424" w:name="_Toc19069"/>
      <w:r>
        <w:rPr>
          <w:rFonts w:ascii="宋体" w:hAnsi="宋体"/>
          <w:b/>
          <w:color w:val="auto"/>
          <w:sz w:val="24"/>
          <w:highlight w:val="none"/>
        </w:rPr>
        <w:t xml:space="preserve">2.5 </w:t>
      </w:r>
      <w:r>
        <w:rPr>
          <w:rFonts w:hint="eastAsia" w:ascii="宋体" w:hAnsi="宋体"/>
          <w:b/>
          <w:color w:val="auto"/>
          <w:sz w:val="24"/>
          <w:highlight w:val="none"/>
        </w:rPr>
        <w:t>质量保证</w:t>
      </w:r>
      <w:bookmarkEnd w:id="424"/>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2.5.1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2.5.2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宋体" w:hAnsi="宋体"/>
          <w:b/>
          <w:color w:val="auto"/>
          <w:sz w:val="24"/>
          <w:highlight w:val="none"/>
        </w:rPr>
      </w:pPr>
      <w:bookmarkStart w:id="425" w:name="_Toc22267"/>
      <w:r>
        <w:rPr>
          <w:rFonts w:ascii="宋体" w:hAnsi="宋体"/>
          <w:b/>
          <w:color w:val="auto"/>
          <w:sz w:val="24"/>
          <w:highlight w:val="none"/>
        </w:rPr>
        <w:t xml:space="preserve">2.6 </w:t>
      </w:r>
      <w:r>
        <w:rPr>
          <w:rFonts w:hint="eastAsia" w:ascii="宋体" w:hAnsi="宋体"/>
          <w:b/>
          <w:color w:val="auto"/>
          <w:sz w:val="24"/>
          <w:highlight w:val="none"/>
        </w:rPr>
        <w:t>延迟履行</w:t>
      </w:r>
      <w:bookmarkEnd w:id="425"/>
    </w:p>
    <w:p>
      <w:pPr>
        <w:spacing w:line="360" w:lineRule="auto"/>
        <w:ind w:firstLine="480" w:firstLineChars="200"/>
        <w:rPr>
          <w:rFonts w:ascii="宋体" w:hAnsi="宋体"/>
          <w:color w:val="auto"/>
          <w:sz w:val="24"/>
          <w:highlight w:val="none"/>
        </w:rPr>
      </w:pPr>
      <w:r>
        <w:rPr>
          <w:rFonts w:ascii="宋体" w:hAnsi="宋体"/>
          <w:color w:val="auto"/>
          <w:sz w:val="24"/>
          <w:highlight w:val="none"/>
        </w:rPr>
        <w:t>在合同履行过程中，如果乙方遇到不能按时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360" w:lineRule="auto"/>
        <w:ind w:firstLine="482" w:firstLineChars="200"/>
        <w:outlineLvl w:val="0"/>
        <w:rPr>
          <w:rFonts w:ascii="宋体" w:hAnsi="宋体"/>
          <w:b/>
          <w:color w:val="auto"/>
          <w:sz w:val="24"/>
          <w:highlight w:val="none"/>
        </w:rPr>
      </w:pPr>
      <w:bookmarkStart w:id="426" w:name="_Toc10611"/>
      <w:r>
        <w:rPr>
          <w:rFonts w:ascii="宋体" w:hAnsi="宋体"/>
          <w:b/>
          <w:color w:val="auto"/>
          <w:sz w:val="24"/>
          <w:highlight w:val="none"/>
        </w:rPr>
        <w:t xml:space="preserve">2.7 </w:t>
      </w:r>
      <w:r>
        <w:rPr>
          <w:rFonts w:hint="eastAsia" w:ascii="宋体" w:hAnsi="宋体"/>
          <w:b/>
          <w:color w:val="auto"/>
          <w:sz w:val="24"/>
          <w:highlight w:val="none"/>
        </w:rPr>
        <w:t>合同变更</w:t>
      </w:r>
      <w:bookmarkEnd w:id="42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宋体" w:hAnsi="宋体"/>
          <w:b/>
          <w:color w:val="auto"/>
          <w:sz w:val="24"/>
          <w:highlight w:val="none"/>
        </w:rPr>
      </w:pPr>
      <w:bookmarkStart w:id="427" w:name="_Toc21830"/>
      <w:bookmarkStart w:id="428" w:name="_Toc23368"/>
      <w:bookmarkStart w:id="429" w:name="_Toc10663"/>
      <w:bookmarkStart w:id="430" w:name="_Toc26689"/>
      <w:bookmarkStart w:id="431" w:name="_Toc42"/>
      <w:r>
        <w:rPr>
          <w:rFonts w:ascii="宋体" w:hAnsi="宋体"/>
          <w:b/>
          <w:color w:val="auto"/>
          <w:sz w:val="24"/>
          <w:highlight w:val="none"/>
        </w:rPr>
        <w:t>2.8合同转让和分包</w:t>
      </w:r>
      <w:bookmarkEnd w:id="427"/>
      <w:bookmarkEnd w:id="428"/>
      <w:bookmarkEnd w:id="429"/>
      <w:bookmarkEnd w:id="430"/>
      <w:bookmarkEnd w:id="431"/>
    </w:p>
    <w:p>
      <w:pPr>
        <w:spacing w:line="360" w:lineRule="auto"/>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360" w:lineRule="auto"/>
        <w:ind w:firstLine="482" w:firstLineChars="200"/>
        <w:outlineLvl w:val="0"/>
        <w:rPr>
          <w:rFonts w:ascii="宋体" w:hAnsi="宋体"/>
          <w:b/>
          <w:color w:val="auto"/>
          <w:sz w:val="24"/>
          <w:highlight w:val="none"/>
        </w:rPr>
      </w:pPr>
      <w:bookmarkStart w:id="432" w:name="_Toc14371"/>
      <w:bookmarkStart w:id="433" w:name="_Toc25571"/>
      <w:bookmarkStart w:id="434" w:name="_Toc32494"/>
      <w:bookmarkStart w:id="435" w:name="_Toc4720"/>
      <w:bookmarkStart w:id="436" w:name="_Toc26633"/>
      <w:r>
        <w:rPr>
          <w:rFonts w:ascii="宋体" w:hAnsi="宋体"/>
          <w:b/>
          <w:color w:val="auto"/>
          <w:sz w:val="24"/>
          <w:highlight w:val="none"/>
        </w:rPr>
        <w:t>2.9 不可抗力</w:t>
      </w:r>
      <w:bookmarkEnd w:id="432"/>
      <w:bookmarkEnd w:id="433"/>
      <w:bookmarkEnd w:id="434"/>
      <w:bookmarkEnd w:id="435"/>
      <w:bookmarkEnd w:id="436"/>
    </w:p>
    <w:p>
      <w:pPr>
        <w:spacing w:line="360" w:lineRule="auto"/>
        <w:ind w:firstLine="480" w:firstLineChars="200"/>
        <w:rPr>
          <w:rFonts w:ascii="宋体" w:hAnsi="宋体"/>
          <w:color w:val="auto"/>
          <w:sz w:val="24"/>
          <w:highlight w:val="none"/>
        </w:rPr>
      </w:pPr>
      <w:r>
        <w:rPr>
          <w:rFonts w:ascii="宋体" w:hAnsi="宋体"/>
          <w:color w:val="auto"/>
          <w:sz w:val="24"/>
          <w:highlight w:val="none"/>
        </w:rPr>
        <w:t>2.9.1如果任何一方遭遇法律规定的不可抗力，致使合同履行受阻时，履行合同的期限应予延长，延长的期限应相当于不可抗力所影响的时间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2.9.2 </w:t>
      </w:r>
      <w:r>
        <w:rPr>
          <w:rFonts w:hint="eastAsia" w:ascii="宋体" w:hAnsi="宋体"/>
          <w:color w:val="auto"/>
          <w:sz w:val="24"/>
          <w:highlight w:val="none"/>
        </w:rPr>
        <w:t>因不可抗力致使不能实现合同目的的，当事人可以解除合同；</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2.9.3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不可抗力致使合同有变更必要的，双方当事人应在约定时间内以书面形式变更合同</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2.9.4受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应在约定时间内以书面形式通知</w:t>
      </w:r>
      <w:r>
        <w:rPr>
          <w:rFonts w:hint="eastAsia" w:ascii="宋体" w:hAnsi="宋体"/>
          <w:color w:val="auto"/>
          <w:sz w:val="24"/>
          <w:highlight w:val="none"/>
        </w:rPr>
        <w:t>对</w:t>
      </w:r>
      <w:r>
        <w:rPr>
          <w:rFonts w:ascii="宋体" w:hAnsi="宋体"/>
          <w:color w:val="auto"/>
          <w:sz w:val="24"/>
          <w:highlight w:val="none"/>
        </w:rPr>
        <w:t>方当事人，并在约定时间内，将有关部门出具的证明文件送达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360" w:lineRule="auto"/>
        <w:ind w:firstLine="482" w:firstLineChars="200"/>
        <w:outlineLvl w:val="0"/>
        <w:rPr>
          <w:rFonts w:ascii="宋体" w:hAnsi="宋体"/>
          <w:b/>
          <w:color w:val="auto"/>
          <w:sz w:val="24"/>
          <w:highlight w:val="none"/>
        </w:rPr>
      </w:pPr>
      <w:bookmarkStart w:id="437" w:name="_Toc23854"/>
      <w:bookmarkStart w:id="438" w:name="_Toc3638"/>
      <w:bookmarkStart w:id="439" w:name="_Toc14115"/>
      <w:bookmarkStart w:id="440" w:name="_Toc25783"/>
      <w:bookmarkStart w:id="441" w:name="_Toc24465"/>
      <w:r>
        <w:rPr>
          <w:rFonts w:ascii="宋体" w:hAnsi="宋体"/>
          <w:b/>
          <w:color w:val="auto"/>
          <w:sz w:val="24"/>
          <w:highlight w:val="none"/>
        </w:rPr>
        <w:t>2.10 税费</w:t>
      </w:r>
      <w:bookmarkEnd w:id="437"/>
      <w:bookmarkEnd w:id="438"/>
      <w:bookmarkEnd w:id="439"/>
      <w:bookmarkEnd w:id="440"/>
      <w:bookmarkEnd w:id="441"/>
    </w:p>
    <w:p>
      <w:pPr>
        <w:spacing w:line="360" w:lineRule="auto"/>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360" w:lineRule="auto"/>
        <w:ind w:firstLine="482" w:firstLineChars="200"/>
        <w:outlineLvl w:val="0"/>
        <w:rPr>
          <w:rFonts w:ascii="宋体" w:hAnsi="宋体"/>
          <w:b/>
          <w:color w:val="auto"/>
          <w:sz w:val="24"/>
          <w:highlight w:val="none"/>
        </w:rPr>
      </w:pPr>
      <w:bookmarkStart w:id="442" w:name="_Toc7315"/>
      <w:bookmarkStart w:id="443" w:name="_Toc30105"/>
      <w:bookmarkStart w:id="444" w:name="_Toc26883"/>
      <w:bookmarkStart w:id="445" w:name="_Toc14814"/>
      <w:bookmarkStart w:id="446" w:name="_Toc25525"/>
      <w:r>
        <w:rPr>
          <w:rFonts w:ascii="宋体" w:hAnsi="宋体"/>
          <w:b/>
          <w:color w:val="auto"/>
          <w:sz w:val="24"/>
          <w:highlight w:val="none"/>
        </w:rPr>
        <w:t>2.11 乙方破产</w:t>
      </w:r>
      <w:bookmarkEnd w:id="442"/>
      <w:bookmarkEnd w:id="443"/>
      <w:bookmarkEnd w:id="444"/>
      <w:bookmarkEnd w:id="445"/>
      <w:bookmarkEnd w:id="446"/>
    </w:p>
    <w:p>
      <w:pPr>
        <w:spacing w:line="360" w:lineRule="auto"/>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360" w:lineRule="auto"/>
        <w:ind w:firstLine="482" w:firstLineChars="200"/>
        <w:outlineLvl w:val="0"/>
        <w:rPr>
          <w:rFonts w:ascii="宋体" w:hAnsi="宋体"/>
          <w:b/>
          <w:color w:val="auto"/>
          <w:sz w:val="24"/>
          <w:highlight w:val="none"/>
        </w:rPr>
      </w:pPr>
      <w:bookmarkStart w:id="447" w:name="_Toc1123"/>
      <w:bookmarkStart w:id="448" w:name="_Toc2016"/>
      <w:bookmarkStart w:id="449" w:name="_Toc23323"/>
      <w:r>
        <w:rPr>
          <w:rFonts w:ascii="宋体" w:hAnsi="宋体"/>
          <w:b/>
          <w:color w:val="auto"/>
          <w:sz w:val="24"/>
          <w:highlight w:val="none"/>
        </w:rPr>
        <w:t>2.12 合同中止、终止</w:t>
      </w:r>
      <w:bookmarkEnd w:id="447"/>
      <w:bookmarkEnd w:id="448"/>
      <w:bookmarkEnd w:id="449"/>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2.12.1 </w:t>
      </w:r>
      <w:r>
        <w:rPr>
          <w:rFonts w:hint="eastAsia" w:ascii="宋体" w:hAnsi="宋体"/>
          <w:color w:val="auto"/>
          <w:sz w:val="24"/>
          <w:highlight w:val="none"/>
        </w:rPr>
        <w:t>双方当事人不得擅自中止或者终止合同；</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2.12.2合同继续履行将损害国家利益和社会公共利益的，双方当事人应当中止或者终止合同。有过错的一方应当承担赔偿责任，双方当事人都有过错的，各自承担相应的责任。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宋体" w:hAnsi="宋体"/>
          <w:b/>
          <w:color w:val="auto"/>
          <w:sz w:val="24"/>
          <w:highlight w:val="none"/>
        </w:rPr>
      </w:pPr>
      <w:bookmarkStart w:id="450" w:name="_Toc1969"/>
      <w:bookmarkStart w:id="451" w:name="_Toc14525"/>
      <w:bookmarkStart w:id="452" w:name="_Toc17363"/>
      <w:r>
        <w:rPr>
          <w:rFonts w:ascii="宋体" w:hAnsi="宋体"/>
          <w:b/>
          <w:color w:val="auto"/>
          <w:sz w:val="24"/>
          <w:highlight w:val="none"/>
        </w:rPr>
        <w:t>2.13 检验和验收</w:t>
      </w:r>
      <w:bookmarkEnd w:id="450"/>
      <w:bookmarkEnd w:id="451"/>
      <w:bookmarkEnd w:id="452"/>
    </w:p>
    <w:p>
      <w:pPr>
        <w:tabs>
          <w:tab w:val="left" w:pos="360"/>
          <w:tab w:val="left" w:pos="540"/>
          <w:tab w:val="left" w:pos="1080"/>
        </w:tabs>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2.13.1 </w:t>
      </w:r>
      <w:r>
        <w:rPr>
          <w:rFonts w:hint="eastAsia" w:ascii="宋体" w:hAnsi="宋体"/>
          <w:color w:val="auto"/>
          <w:sz w:val="24"/>
          <w:highlight w:val="none"/>
        </w:rPr>
        <w:t>乙方按照</w:t>
      </w:r>
      <w:r>
        <w:rPr>
          <w:rFonts w:hint="eastAsia" w:ascii="宋体" w:hAnsi="宋体"/>
          <w:bCs/>
          <w:iCs/>
          <w:color w:val="auto"/>
          <w:sz w:val="24"/>
          <w:highlight w:val="none"/>
        </w:rPr>
        <w:t>相关</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hint="eastAsia" w:ascii="宋体" w:hAnsi="宋体"/>
          <w:bCs/>
          <w:iCs/>
          <w:color w:val="auto"/>
          <w:sz w:val="24"/>
          <w:highlight w:val="none"/>
        </w:rPr>
        <w:t>相关</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2.13.2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82" w:firstLineChars="200"/>
        <w:outlineLvl w:val="0"/>
        <w:rPr>
          <w:rFonts w:ascii="宋体" w:hAnsi="宋体"/>
          <w:b/>
          <w:color w:val="auto"/>
          <w:sz w:val="24"/>
          <w:highlight w:val="none"/>
        </w:rPr>
      </w:pPr>
      <w:bookmarkStart w:id="453" w:name="_Toc31892"/>
      <w:bookmarkStart w:id="454" w:name="_Toc12666"/>
      <w:bookmarkStart w:id="455" w:name="_Toc2308"/>
      <w:bookmarkStart w:id="456" w:name="_Toc25198"/>
      <w:bookmarkStart w:id="457" w:name="_Toc9808"/>
      <w:r>
        <w:rPr>
          <w:rFonts w:ascii="宋体" w:hAnsi="宋体"/>
          <w:b/>
          <w:color w:val="auto"/>
          <w:sz w:val="24"/>
          <w:highlight w:val="none"/>
        </w:rPr>
        <w:t>2.14 通知和送达</w:t>
      </w:r>
      <w:bookmarkEnd w:id="453"/>
      <w:bookmarkEnd w:id="454"/>
      <w:bookmarkEnd w:id="455"/>
      <w:bookmarkEnd w:id="456"/>
      <w:bookmarkEnd w:id="457"/>
    </w:p>
    <w:p>
      <w:pPr>
        <w:spacing w:line="360" w:lineRule="auto"/>
        <w:ind w:firstLine="480" w:firstLineChars="200"/>
        <w:rPr>
          <w:rFonts w:ascii="宋体" w:hAnsi="宋体"/>
          <w:color w:val="auto"/>
          <w:sz w:val="24"/>
          <w:highlight w:val="none"/>
        </w:rPr>
      </w:pPr>
      <w:bookmarkStart w:id="458" w:name="_Toc27674"/>
      <w:bookmarkStart w:id="459" w:name="_Toc18401"/>
      <w:r>
        <w:rPr>
          <w:rFonts w:ascii="宋体" w:hAnsi="宋体"/>
          <w:color w:val="auto"/>
          <w:sz w:val="24"/>
          <w:highlight w:val="none"/>
        </w:rPr>
        <w:t>2.14.1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2.14.2以当面交付方式送达的，交付之时视为送达；以电子邮件方式送达的，发出电子邮件之时视为送达；以传真方式送达的，发出传真之时视为送达；以邮寄方式送达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58"/>
      <w:bookmarkEnd w:id="459"/>
    </w:p>
    <w:p>
      <w:pPr>
        <w:spacing w:line="360" w:lineRule="auto"/>
        <w:ind w:firstLine="482" w:firstLineChars="200"/>
        <w:outlineLvl w:val="0"/>
        <w:rPr>
          <w:rFonts w:ascii="宋体" w:hAnsi="宋体"/>
          <w:b/>
          <w:color w:val="auto"/>
          <w:sz w:val="24"/>
          <w:highlight w:val="none"/>
        </w:rPr>
      </w:pPr>
      <w:bookmarkStart w:id="460" w:name="_Toc27644"/>
      <w:bookmarkStart w:id="461" w:name="_Toc28906"/>
      <w:bookmarkStart w:id="462" w:name="_Toc20808"/>
      <w:bookmarkStart w:id="463" w:name="_Toc12254"/>
      <w:bookmarkStart w:id="464" w:name="_Toc5063"/>
      <w:r>
        <w:rPr>
          <w:rFonts w:ascii="宋体" w:hAnsi="宋体"/>
          <w:b/>
          <w:color w:val="auto"/>
          <w:sz w:val="24"/>
          <w:highlight w:val="none"/>
        </w:rPr>
        <w:t xml:space="preserve">2.15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460"/>
      <w:bookmarkEnd w:id="461"/>
      <w:bookmarkEnd w:id="462"/>
      <w:bookmarkEnd w:id="463"/>
      <w:bookmarkEnd w:id="464"/>
    </w:p>
    <w:p>
      <w:pPr>
        <w:spacing w:line="360" w:lineRule="auto"/>
        <w:ind w:firstLine="480" w:firstLineChars="200"/>
        <w:rPr>
          <w:rFonts w:ascii="宋体" w:hAnsi="宋体"/>
          <w:color w:val="auto"/>
          <w:sz w:val="24"/>
          <w:highlight w:val="none"/>
        </w:rPr>
      </w:pPr>
      <w:r>
        <w:rPr>
          <w:rFonts w:ascii="宋体" w:hAnsi="宋体"/>
          <w:color w:val="auto"/>
          <w:sz w:val="24"/>
          <w:highlight w:val="none"/>
        </w:rPr>
        <w:t>2.15.1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360" w:lineRule="auto"/>
        <w:ind w:firstLine="482" w:firstLineChars="200"/>
        <w:outlineLvl w:val="0"/>
        <w:rPr>
          <w:rFonts w:ascii="宋体" w:hAnsi="宋体"/>
          <w:b/>
          <w:color w:val="auto"/>
          <w:sz w:val="24"/>
          <w:highlight w:val="none"/>
        </w:rPr>
      </w:pPr>
      <w:bookmarkStart w:id="465" w:name="_Toc22266"/>
      <w:bookmarkStart w:id="466" w:name="_Toc27127"/>
      <w:bookmarkStart w:id="467" w:name="_Toc1492"/>
      <w:bookmarkStart w:id="468" w:name="_Toc27403"/>
      <w:bookmarkStart w:id="469" w:name="_Toc30096"/>
      <w:r>
        <w:rPr>
          <w:rFonts w:ascii="宋体" w:hAnsi="宋体"/>
          <w:b/>
          <w:color w:val="auto"/>
          <w:sz w:val="24"/>
          <w:highlight w:val="none"/>
        </w:rPr>
        <w:t>2.16 履约保证金</w:t>
      </w:r>
      <w:bookmarkEnd w:id="465"/>
      <w:bookmarkEnd w:id="466"/>
      <w:bookmarkEnd w:id="467"/>
      <w:bookmarkEnd w:id="468"/>
      <w:bookmarkEnd w:id="469"/>
    </w:p>
    <w:p>
      <w:pPr>
        <w:spacing w:line="360" w:lineRule="auto"/>
        <w:ind w:firstLine="440" w:firstLineChars="200"/>
        <w:rPr>
          <w:rFonts w:ascii="宋体" w:hAnsi="宋体"/>
          <w:bCs/>
          <w:color w:val="auto"/>
          <w:sz w:val="28"/>
          <w:szCs w:val="28"/>
          <w:highlight w:val="none"/>
        </w:rPr>
      </w:pPr>
      <w:r>
        <w:rPr>
          <w:rFonts w:hint="eastAsia" w:ascii="宋体" w:hAnsi="宋体" w:cs="宋体"/>
          <w:bCs/>
          <w:color w:val="auto"/>
          <w:kern w:val="0"/>
          <w:sz w:val="22"/>
          <w:szCs w:val="28"/>
          <w:highlight w:val="none"/>
          <w:lang w:val="zh-CN"/>
        </w:rPr>
        <w:t>本项目免收履约保证金。</w:t>
      </w:r>
    </w:p>
    <w:p>
      <w:pPr>
        <w:spacing w:line="360" w:lineRule="auto"/>
        <w:ind w:firstLine="482" w:firstLineChars="200"/>
        <w:rPr>
          <w:rFonts w:ascii="宋体" w:hAnsi="宋体"/>
          <w:color w:val="auto"/>
          <w:sz w:val="24"/>
          <w:highlight w:val="none"/>
        </w:rPr>
      </w:pPr>
      <w:r>
        <w:rPr>
          <w:rFonts w:ascii="宋体" w:hAnsi="宋体"/>
          <w:b/>
          <w:bCs/>
          <w:color w:val="auto"/>
          <w:sz w:val="24"/>
          <w:highlight w:val="none"/>
        </w:rPr>
        <w:t>2.17</w:t>
      </w:r>
      <w:r>
        <w:rPr>
          <w:rFonts w:ascii="宋体" w:hAnsi="宋体"/>
          <w:color w:val="auto"/>
          <w:sz w:val="24"/>
          <w:highlight w:val="none"/>
        </w:rPr>
        <w:t>对于因甲方原因导致变更、中止或者终止政府采购合同的，甲方应当依照合同约定对供应商受到的损失予以赔偿或者补偿</w:t>
      </w:r>
      <w:r>
        <w:rPr>
          <w:rFonts w:hint="eastAsia" w:ascii="宋体" w:hAnsi="宋体"/>
          <w:color w:val="auto"/>
          <w:sz w:val="24"/>
          <w:highlight w:val="none"/>
        </w:rPr>
        <w:t>。</w:t>
      </w:r>
    </w:p>
    <w:p>
      <w:pPr>
        <w:autoSpaceDE w:val="0"/>
        <w:autoSpaceDN w:val="0"/>
        <w:spacing w:line="360" w:lineRule="auto"/>
        <w:ind w:firstLine="482" w:firstLineChars="200"/>
        <w:jc w:val="left"/>
        <w:rPr>
          <w:rFonts w:ascii="宋体" w:hAnsi="宋体" w:cs="宋体"/>
          <w:b/>
          <w:color w:val="auto"/>
          <w:kern w:val="0"/>
          <w:sz w:val="24"/>
          <w:highlight w:val="none"/>
          <w:lang w:val="zh-CN"/>
        </w:rPr>
      </w:pPr>
      <w:r>
        <w:rPr>
          <w:rFonts w:ascii="宋体" w:hAnsi="宋体" w:cs="宋体"/>
          <w:b/>
          <w:color w:val="auto"/>
          <w:kern w:val="0"/>
          <w:sz w:val="24"/>
          <w:highlight w:val="none"/>
        </w:rPr>
        <w:t>2.18</w:t>
      </w:r>
      <w:r>
        <w:rPr>
          <w:rFonts w:hint="eastAsia" w:ascii="宋体" w:hAnsi="宋体" w:cs="宋体"/>
          <w:b/>
          <w:color w:val="auto"/>
          <w:kern w:val="0"/>
          <w:sz w:val="24"/>
          <w:highlight w:val="none"/>
          <w:lang w:val="zh-CN"/>
        </w:rPr>
        <w:t xml:space="preserve"> 争议处理</w:t>
      </w:r>
    </w:p>
    <w:p>
      <w:pPr>
        <w:autoSpaceDE w:val="0"/>
        <w:autoSpaceDN w:val="0"/>
        <w:spacing w:line="360" w:lineRule="auto"/>
        <w:ind w:firstLine="480" w:firstLineChars="200"/>
        <w:jc w:val="left"/>
        <w:rPr>
          <w:rFonts w:ascii="宋体" w:hAnsi="宋体" w:cs="宋体"/>
          <w:bCs/>
          <w:color w:val="auto"/>
          <w:kern w:val="0"/>
          <w:sz w:val="24"/>
          <w:highlight w:val="none"/>
          <w:lang w:val="zh-CN"/>
        </w:rPr>
      </w:pPr>
      <w:r>
        <w:rPr>
          <w:rFonts w:ascii="宋体" w:hAnsi="宋体" w:cs="宋体"/>
          <w:bCs/>
          <w:color w:val="auto"/>
          <w:kern w:val="0"/>
          <w:sz w:val="24"/>
          <w:highlight w:val="none"/>
        </w:rPr>
        <w:t>2.18</w:t>
      </w:r>
      <w:r>
        <w:rPr>
          <w:rFonts w:hint="eastAsia" w:ascii="宋体" w:hAnsi="宋体" w:cs="宋体"/>
          <w:bCs/>
          <w:color w:val="auto"/>
          <w:kern w:val="0"/>
          <w:sz w:val="24"/>
          <w:highlight w:val="none"/>
          <w:lang w:val="zh-CN"/>
        </w:rPr>
        <w:t>.1 合同在履行过程中发生争议时，甲方与乙方及时协商解决。协商不成时，</w:t>
      </w:r>
      <w:r>
        <w:rPr>
          <w:rFonts w:hint="eastAsia" w:ascii="宋体" w:hAnsi="宋体" w:cs="宋体"/>
          <w:bCs/>
          <w:color w:val="auto"/>
          <w:sz w:val="24"/>
          <w:highlight w:val="none"/>
        </w:rPr>
        <w:t>依法向人民法院起诉。</w:t>
      </w:r>
    </w:p>
    <w:p>
      <w:pPr>
        <w:spacing w:line="360" w:lineRule="auto"/>
        <w:ind w:firstLine="480" w:firstLineChars="200"/>
        <w:jc w:val="left"/>
        <w:rPr>
          <w:rFonts w:ascii="宋体" w:hAnsi="宋体" w:cs="宋体"/>
          <w:b/>
          <w:color w:val="auto"/>
          <w:kern w:val="0"/>
          <w:sz w:val="24"/>
          <w:highlight w:val="none"/>
          <w:lang w:val="zh-CN"/>
        </w:rPr>
      </w:pPr>
      <w:r>
        <w:rPr>
          <w:rFonts w:ascii="宋体" w:hAnsi="宋体" w:cs="宋体"/>
          <w:bCs/>
          <w:color w:val="auto"/>
          <w:kern w:val="0"/>
          <w:sz w:val="24"/>
          <w:highlight w:val="none"/>
        </w:rPr>
        <w:t>2.18</w:t>
      </w:r>
      <w:r>
        <w:rPr>
          <w:rFonts w:hint="eastAsia" w:ascii="宋体" w:hAnsi="宋体" w:cs="宋体"/>
          <w:color w:val="auto"/>
          <w:kern w:val="0"/>
          <w:sz w:val="24"/>
          <w:highlight w:val="none"/>
          <w:lang w:val="zh-CN"/>
        </w:rPr>
        <w:t>.2 对于因违反或终止合同而引起的损失、损害的赔偿，由甲方与乙方友好商解决，经协商仍未能达成一致的，</w:t>
      </w:r>
      <w:r>
        <w:rPr>
          <w:rFonts w:hint="eastAsia" w:ascii="宋体" w:hAnsi="宋体" w:cs="宋体"/>
          <w:color w:val="auto"/>
          <w:sz w:val="24"/>
          <w:highlight w:val="none"/>
        </w:rPr>
        <w:t>依法向人民法院起诉。</w:t>
      </w:r>
    </w:p>
    <w:p>
      <w:pPr>
        <w:autoSpaceDE w:val="0"/>
        <w:autoSpaceDN w:val="0"/>
        <w:spacing w:line="360" w:lineRule="auto"/>
        <w:ind w:firstLine="482" w:firstLineChars="200"/>
        <w:jc w:val="left"/>
        <w:rPr>
          <w:rFonts w:ascii="宋体" w:hAnsi="宋体" w:cs="宋体"/>
          <w:b/>
          <w:color w:val="auto"/>
          <w:kern w:val="0"/>
          <w:sz w:val="24"/>
          <w:highlight w:val="none"/>
          <w:lang w:val="zh-CN"/>
        </w:rPr>
      </w:pPr>
      <w:r>
        <w:rPr>
          <w:rFonts w:ascii="宋体" w:hAnsi="宋体" w:cs="宋体"/>
          <w:b/>
          <w:color w:val="auto"/>
          <w:kern w:val="0"/>
          <w:sz w:val="24"/>
          <w:highlight w:val="none"/>
        </w:rPr>
        <w:t>2.19</w:t>
      </w:r>
      <w:r>
        <w:rPr>
          <w:rFonts w:hint="eastAsia" w:ascii="宋体" w:hAnsi="宋体" w:cs="宋体"/>
          <w:b/>
          <w:color w:val="auto"/>
          <w:kern w:val="0"/>
          <w:sz w:val="24"/>
          <w:highlight w:val="none"/>
          <w:lang w:val="zh-CN"/>
        </w:rPr>
        <w:t>. 其他</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 xml:space="preserve">    </w:t>
      </w:r>
      <w:r>
        <w:rPr>
          <w:rFonts w:ascii="宋体" w:hAnsi="宋体" w:cs="宋体"/>
          <w:color w:val="auto"/>
          <w:kern w:val="0"/>
          <w:sz w:val="24"/>
          <w:highlight w:val="none"/>
        </w:rPr>
        <w:t>2.19</w:t>
      </w:r>
      <w:r>
        <w:rPr>
          <w:rFonts w:hint="eastAsia" w:ascii="宋体" w:hAnsi="宋体" w:cs="宋体"/>
          <w:color w:val="auto"/>
          <w:kern w:val="0"/>
          <w:sz w:val="24"/>
          <w:highlight w:val="none"/>
          <w:lang w:val="zh-CN"/>
        </w:rPr>
        <w:t>.1 本合同（□是  □否）为可融资合同（若为可融资合同，则甲方必须将采购资金支付到合同中指定的融资银行及收款账号，开户银行：     账号：        ）。关于中小企业信用融资事项可登录杭州市政府采购网“中小企业融资系统”专栏进行查询。</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highlight w:val="none"/>
        </w:rPr>
        <w:t>2.19</w:t>
      </w:r>
      <w:r>
        <w:rPr>
          <w:rFonts w:hint="eastAsia" w:ascii="宋体" w:hAnsi="宋体" w:cs="宋体"/>
          <w:color w:val="auto"/>
          <w:kern w:val="0"/>
          <w:sz w:val="24"/>
          <w:highlight w:val="none"/>
          <w:lang w:val="zh-CN"/>
        </w:rPr>
        <w:t>.2 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highlight w:val="none"/>
        </w:rPr>
        <w:t>2.19</w:t>
      </w:r>
      <w:r>
        <w:rPr>
          <w:rFonts w:hint="eastAsia" w:ascii="宋体" w:hAnsi="宋体" w:cs="宋体"/>
          <w:color w:val="auto"/>
          <w:kern w:val="0"/>
          <w:sz w:val="24"/>
          <w:highlight w:val="none"/>
          <w:lang w:val="zh-CN"/>
        </w:rPr>
        <w:t>.3 乙方不得参与可能与合同规定的与甲方的利益相冲突的任何活动。</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highlight w:val="none"/>
        </w:rPr>
        <w:t>2.19</w:t>
      </w:r>
      <w:r>
        <w:rPr>
          <w:rFonts w:hint="eastAsia" w:ascii="宋体" w:hAnsi="宋体" w:cs="宋体"/>
          <w:color w:val="auto"/>
          <w:kern w:val="0"/>
          <w:sz w:val="24"/>
          <w:highlight w:val="none"/>
          <w:lang w:val="zh-CN"/>
        </w:rPr>
        <w:t>.4 乙方人员在甲方场地工作时，应遵守甲方相关规章、制度。</w:t>
      </w:r>
    </w:p>
    <w:p>
      <w:pPr>
        <w:autoSpaceDE w:val="0"/>
        <w:autoSpaceDN w:val="0"/>
        <w:spacing w:line="360" w:lineRule="auto"/>
        <w:ind w:firstLine="480" w:firstLineChars="200"/>
        <w:jc w:val="left"/>
        <w:rPr>
          <w:rFonts w:ascii="宋体" w:hAnsi="宋体" w:cs="宋体"/>
          <w:color w:val="auto"/>
          <w:sz w:val="24"/>
          <w:highlight w:val="none"/>
        </w:rPr>
      </w:pPr>
      <w:r>
        <w:rPr>
          <w:rFonts w:ascii="宋体" w:hAnsi="宋体" w:cs="宋体"/>
          <w:color w:val="auto"/>
          <w:kern w:val="0"/>
          <w:sz w:val="24"/>
          <w:highlight w:val="none"/>
        </w:rPr>
        <w:t>2.19</w:t>
      </w:r>
      <w:r>
        <w:rPr>
          <w:rFonts w:hint="eastAsia" w:ascii="宋体" w:hAnsi="宋体" w:cs="宋体"/>
          <w:color w:val="auto"/>
          <w:kern w:val="0"/>
          <w:sz w:val="24"/>
          <w:highlight w:val="none"/>
          <w:lang w:val="zh-CN"/>
        </w:rPr>
        <w:t xml:space="preserve">.5 </w:t>
      </w:r>
      <w:r>
        <w:rPr>
          <w:rFonts w:hint="eastAsia" w:ascii="宋体" w:hAnsi="宋体" w:cs="宋体"/>
          <w:color w:val="auto"/>
          <w:sz w:val="24"/>
          <w:highlight w:val="none"/>
        </w:rPr>
        <w:t>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ascii="宋体" w:hAnsi="宋体" w:cs="宋体"/>
          <w:color w:val="auto"/>
          <w:sz w:val="24"/>
          <w:highlight w:val="none"/>
        </w:rPr>
      </w:pPr>
      <w:r>
        <w:rPr>
          <w:rFonts w:ascii="宋体" w:hAnsi="宋体" w:cs="宋体"/>
          <w:color w:val="auto"/>
          <w:kern w:val="0"/>
          <w:sz w:val="24"/>
          <w:highlight w:val="none"/>
        </w:rPr>
        <w:t>2.19</w:t>
      </w:r>
      <w:r>
        <w:rPr>
          <w:rFonts w:hint="eastAsia" w:ascii="宋体" w:hAnsi="宋体" w:cs="宋体"/>
          <w:color w:val="auto"/>
          <w:kern w:val="0"/>
          <w:sz w:val="24"/>
          <w:highlight w:val="none"/>
          <w:lang w:val="zh-CN"/>
        </w:rPr>
        <w:t xml:space="preserve">.6 </w:t>
      </w:r>
      <w:r>
        <w:rPr>
          <w:rFonts w:hint="eastAsia" w:ascii="宋体" w:hAnsi="宋体" w:cs="宋体"/>
          <w:color w:val="auto"/>
          <w:sz w:val="24"/>
          <w:highlight w:val="none"/>
        </w:rPr>
        <w:t>合同履行期内甲乙双方均不得随意变更或解除合同。合同若有未尽事宜，需经双方共同协商，订立补充协议，补充协议与本合同有同等法律效力。</w:t>
      </w:r>
    </w:p>
    <w:p>
      <w:pPr>
        <w:autoSpaceDE w:val="0"/>
        <w:autoSpaceDN w:val="0"/>
        <w:spacing w:line="360" w:lineRule="auto"/>
        <w:ind w:firstLine="480" w:firstLineChars="200"/>
        <w:jc w:val="left"/>
        <w:rPr>
          <w:rFonts w:ascii="宋体" w:hAnsi="宋体" w:cs="宋体"/>
          <w:color w:val="auto"/>
          <w:sz w:val="24"/>
          <w:highlight w:val="none"/>
        </w:rPr>
      </w:pPr>
      <w:r>
        <w:rPr>
          <w:rFonts w:ascii="宋体" w:hAnsi="宋体" w:cs="宋体"/>
          <w:color w:val="auto"/>
          <w:kern w:val="0"/>
          <w:sz w:val="24"/>
          <w:highlight w:val="none"/>
        </w:rPr>
        <w:t>2.20</w:t>
      </w:r>
      <w:r>
        <w:rPr>
          <w:rFonts w:hint="eastAsia" w:ascii="宋体" w:hAnsi="宋体" w:cs="宋体"/>
          <w:color w:val="auto"/>
          <w:kern w:val="0"/>
          <w:sz w:val="24"/>
          <w:highlight w:val="none"/>
          <w:lang w:val="zh-CN"/>
        </w:rPr>
        <w:t xml:space="preserve">.7 </w:t>
      </w:r>
      <w:r>
        <w:rPr>
          <w:rFonts w:hint="eastAsia" w:ascii="宋体" w:hAnsi="宋体" w:cs="宋体"/>
          <w:color w:val="auto"/>
          <w:sz w:val="24"/>
          <w:highlight w:val="none"/>
        </w:rPr>
        <w:t>招标文件[编号：</w:t>
      </w:r>
      <w:r>
        <w:rPr>
          <w:rFonts w:hint="eastAsia" w:ascii="宋体" w:hAnsi="宋体" w:cs="宋体"/>
          <w:color w:val="auto"/>
          <w:sz w:val="24"/>
          <w:highlight w:val="none"/>
          <w:lang w:eastAsia="zh-CN"/>
        </w:rPr>
        <w:t>XHZFCG-2023-G-16</w:t>
      </w:r>
      <w:r>
        <w:rPr>
          <w:rFonts w:hint="eastAsia" w:ascii="宋体" w:hAnsi="宋体" w:cs="宋体"/>
          <w:color w:val="auto"/>
          <w:sz w:val="24"/>
          <w:highlight w:val="none"/>
        </w:rPr>
        <w:t>]、投标文件及评标过程中形成的文字资料、询标纪要均作为本合同的组成部分，具有同等效力。</w:t>
      </w:r>
    </w:p>
    <w:p>
      <w:pPr>
        <w:autoSpaceDE w:val="0"/>
        <w:autoSpaceDN w:val="0"/>
        <w:spacing w:line="360" w:lineRule="auto"/>
        <w:ind w:firstLine="480" w:firstLineChars="200"/>
        <w:jc w:val="left"/>
        <w:rPr>
          <w:rFonts w:ascii="宋体" w:hAnsi="宋体" w:cs="宋体"/>
          <w:color w:val="auto"/>
          <w:sz w:val="24"/>
          <w:highlight w:val="none"/>
        </w:rPr>
      </w:pPr>
      <w:r>
        <w:rPr>
          <w:rFonts w:ascii="宋体" w:hAnsi="宋体" w:cs="宋体"/>
          <w:color w:val="auto"/>
          <w:kern w:val="0"/>
          <w:sz w:val="24"/>
          <w:highlight w:val="none"/>
        </w:rPr>
        <w:t>2.19</w:t>
      </w:r>
      <w:r>
        <w:rPr>
          <w:rFonts w:hint="eastAsia" w:ascii="宋体" w:hAnsi="宋体" w:cs="宋体"/>
          <w:color w:val="auto"/>
          <w:kern w:val="0"/>
          <w:sz w:val="24"/>
          <w:highlight w:val="none"/>
          <w:lang w:val="zh-CN"/>
        </w:rPr>
        <w:t xml:space="preserve">.8 </w:t>
      </w:r>
      <w:r>
        <w:rPr>
          <w:rFonts w:hint="eastAsia" w:ascii="宋体" w:hAnsi="宋体" w:cs="宋体"/>
          <w:color w:val="auto"/>
          <w:sz w:val="24"/>
          <w:highlight w:val="none"/>
        </w:rPr>
        <w:t>本合同经甲乙双方法定代表人或其委托人签字盖章，并且乙方向甲方缴纳合同约定金额的履约保证金或建议免收履约保证金，合同在政采云平台备案后生效。</w:t>
      </w:r>
    </w:p>
    <w:p>
      <w:pPr>
        <w:autoSpaceDE w:val="0"/>
        <w:autoSpaceDN w:val="0"/>
        <w:spacing w:line="360" w:lineRule="auto"/>
        <w:ind w:firstLine="480" w:firstLineChars="200"/>
        <w:jc w:val="left"/>
        <w:rPr>
          <w:rFonts w:ascii="宋体" w:hAnsi="宋体" w:cs="宋体"/>
          <w:color w:val="auto"/>
          <w:sz w:val="24"/>
          <w:highlight w:val="none"/>
        </w:rPr>
      </w:pPr>
      <w:r>
        <w:rPr>
          <w:rFonts w:ascii="宋体" w:hAnsi="宋体" w:cs="宋体"/>
          <w:color w:val="auto"/>
          <w:kern w:val="0"/>
          <w:sz w:val="24"/>
          <w:highlight w:val="none"/>
        </w:rPr>
        <w:t>2.19</w:t>
      </w:r>
      <w:r>
        <w:rPr>
          <w:rFonts w:hint="eastAsia" w:ascii="宋体" w:hAnsi="宋体" w:cs="宋体"/>
          <w:color w:val="auto"/>
          <w:kern w:val="0"/>
          <w:sz w:val="24"/>
          <w:highlight w:val="none"/>
          <w:lang w:val="zh-CN"/>
        </w:rPr>
        <w:t xml:space="preserve">.9 </w:t>
      </w:r>
      <w:r>
        <w:rPr>
          <w:rFonts w:hint="eastAsia" w:ascii="宋体" w:hAnsi="宋体" w:cs="宋体"/>
          <w:color w:val="auto"/>
          <w:sz w:val="24"/>
          <w:highlight w:val="none"/>
        </w:rPr>
        <w:t>本合同一式伍份，甲方、乙方各执贰份，采购机构执壹份。</w:t>
      </w:r>
    </w:p>
    <w:p>
      <w:pPr>
        <w:autoSpaceDE w:val="0"/>
        <w:autoSpaceDN w:val="0"/>
        <w:spacing w:line="360" w:lineRule="auto"/>
        <w:ind w:firstLine="480" w:firstLineChars="200"/>
        <w:jc w:val="left"/>
        <w:rPr>
          <w:rFonts w:ascii="宋体" w:hAnsi="宋体" w:cs="宋体"/>
          <w:color w:val="auto"/>
          <w:sz w:val="24"/>
          <w:highlight w:val="none"/>
        </w:rPr>
      </w:pPr>
      <w:r>
        <w:rPr>
          <w:rFonts w:ascii="宋体" w:hAnsi="宋体" w:cs="宋体"/>
          <w:color w:val="auto"/>
          <w:kern w:val="0"/>
          <w:sz w:val="24"/>
          <w:highlight w:val="none"/>
        </w:rPr>
        <w:t>2.19</w:t>
      </w:r>
      <w:r>
        <w:rPr>
          <w:rFonts w:hint="eastAsia" w:ascii="宋体" w:hAnsi="宋体" w:cs="宋体"/>
          <w:color w:val="auto"/>
          <w:sz w:val="24"/>
          <w:highlight w:val="none"/>
        </w:rPr>
        <w:t>.10 适用法律：本合同应按照中华人民共和国的法律进行解释。</w:t>
      </w:r>
    </w:p>
    <w:p>
      <w:pPr>
        <w:autoSpaceDE w:val="0"/>
        <w:autoSpaceDN w:val="0"/>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kern w:val="0"/>
          <w:sz w:val="24"/>
          <w:highlight w:val="none"/>
        </w:rPr>
        <w:t>2.19</w:t>
      </w:r>
      <w:r>
        <w:rPr>
          <w:rFonts w:hint="eastAsia" w:ascii="宋体" w:hAnsi="宋体" w:cs="宋体"/>
          <w:color w:val="auto"/>
          <w:sz w:val="24"/>
          <w:highlight w:val="none"/>
        </w:rPr>
        <w:t xml:space="preserve">.11 以上是合同的主要条款，合同条款包括但不止于以上条款（如安全生产责任状以及廉政合同等）。  </w:t>
      </w:r>
    </w:p>
    <w:p>
      <w:pPr>
        <w:spacing w:line="460" w:lineRule="exact"/>
        <w:rPr>
          <w:rFonts w:ascii="宋体" w:hAnsi="宋体" w:cs="宋体"/>
          <w:color w:val="auto"/>
          <w:sz w:val="24"/>
          <w:highlight w:val="none"/>
        </w:rPr>
      </w:pPr>
    </w:p>
    <w:p>
      <w:pPr>
        <w:spacing w:line="460" w:lineRule="exact"/>
        <w:rPr>
          <w:rFonts w:ascii="宋体" w:hAnsi="宋体" w:cs="宋体"/>
          <w:color w:val="auto"/>
          <w:sz w:val="24"/>
          <w:highlight w:val="none"/>
        </w:rPr>
      </w:pPr>
      <w:r>
        <w:rPr>
          <w:rFonts w:hint="eastAsia" w:ascii="宋体" w:hAnsi="宋体" w:cs="宋体"/>
          <w:color w:val="auto"/>
          <w:sz w:val="24"/>
          <w:highlight w:val="none"/>
        </w:rPr>
        <w:t xml:space="preserve">甲方（盖章）：                             乙方（盖章）：        </w:t>
      </w:r>
    </w:p>
    <w:p>
      <w:pPr>
        <w:spacing w:line="460" w:lineRule="exact"/>
        <w:rPr>
          <w:rFonts w:ascii="宋体" w:hAnsi="宋体" w:cs="宋体"/>
          <w:color w:val="auto"/>
          <w:sz w:val="24"/>
          <w:highlight w:val="none"/>
        </w:rPr>
      </w:pPr>
      <w:r>
        <w:rPr>
          <w:rFonts w:hint="eastAsia" w:ascii="宋体" w:hAnsi="宋体" w:cs="宋体"/>
          <w:color w:val="auto"/>
          <w:sz w:val="24"/>
          <w:highlight w:val="none"/>
        </w:rPr>
        <w:t xml:space="preserve">法定代表人：                              法定代表人：                   </w:t>
      </w:r>
    </w:p>
    <w:p>
      <w:pPr>
        <w:spacing w:line="460" w:lineRule="exact"/>
        <w:rPr>
          <w:rFonts w:ascii="宋体" w:hAnsi="宋体" w:cs="宋体"/>
          <w:color w:val="auto"/>
          <w:sz w:val="24"/>
          <w:highlight w:val="none"/>
        </w:rPr>
      </w:pPr>
      <w:r>
        <w:rPr>
          <w:rFonts w:hint="eastAsia" w:ascii="宋体" w:hAnsi="宋体" w:cs="宋体"/>
          <w:color w:val="auto"/>
          <w:sz w:val="24"/>
          <w:highlight w:val="none"/>
        </w:rPr>
        <w:t xml:space="preserve">或受委托人（签字）：                       或受委托人（签字）：                  </w:t>
      </w:r>
    </w:p>
    <w:p>
      <w:pPr>
        <w:spacing w:line="460" w:lineRule="exact"/>
        <w:rPr>
          <w:rFonts w:ascii="宋体" w:hAnsi="宋体" w:cs="宋体"/>
          <w:color w:val="auto"/>
          <w:sz w:val="24"/>
          <w:highlight w:val="none"/>
        </w:rPr>
      </w:pPr>
      <w:r>
        <w:rPr>
          <w:rFonts w:hint="eastAsia" w:ascii="宋体" w:hAnsi="宋体" w:cs="宋体"/>
          <w:color w:val="auto"/>
          <w:sz w:val="24"/>
          <w:highlight w:val="none"/>
        </w:rPr>
        <w:t>联系人：                                  联系人：</w:t>
      </w:r>
    </w:p>
    <w:p>
      <w:pPr>
        <w:spacing w:line="460" w:lineRule="exact"/>
        <w:rPr>
          <w:rFonts w:ascii="宋体" w:hAnsi="宋体" w:cs="宋体"/>
          <w:color w:val="auto"/>
          <w:sz w:val="24"/>
          <w:highlight w:val="none"/>
        </w:rPr>
      </w:pPr>
      <w:r>
        <w:rPr>
          <w:rFonts w:hint="eastAsia" w:ascii="宋体" w:hAnsi="宋体" w:cs="宋体"/>
          <w:color w:val="auto"/>
          <w:sz w:val="24"/>
          <w:highlight w:val="none"/>
        </w:rPr>
        <w:t xml:space="preserve">地址：                                    地址： </w:t>
      </w:r>
    </w:p>
    <w:p>
      <w:pPr>
        <w:spacing w:line="460" w:lineRule="exact"/>
        <w:rPr>
          <w:rFonts w:ascii="宋体" w:hAnsi="宋体" w:cs="宋体"/>
          <w:color w:val="auto"/>
          <w:sz w:val="24"/>
          <w:highlight w:val="none"/>
        </w:rPr>
      </w:pPr>
      <w:r>
        <w:rPr>
          <w:rFonts w:hint="eastAsia" w:ascii="宋体" w:hAnsi="宋体" w:cs="宋体"/>
          <w:color w:val="auto"/>
          <w:sz w:val="24"/>
          <w:highlight w:val="none"/>
        </w:rPr>
        <w:t>电话：                                    电话：</w:t>
      </w:r>
    </w:p>
    <w:p>
      <w:pPr>
        <w:spacing w:line="460" w:lineRule="exact"/>
        <w:rPr>
          <w:rFonts w:ascii="宋体" w:hAnsi="宋体" w:cs="宋体"/>
          <w:color w:val="auto"/>
          <w:sz w:val="24"/>
          <w:highlight w:val="none"/>
        </w:rPr>
      </w:pPr>
    </w:p>
    <w:p>
      <w:pPr>
        <w:spacing w:line="460" w:lineRule="exact"/>
        <w:rPr>
          <w:rFonts w:ascii="宋体" w:hAnsi="宋体" w:cs="宋体"/>
          <w:color w:val="auto"/>
          <w:sz w:val="24"/>
          <w:highlight w:val="none"/>
        </w:rPr>
      </w:pPr>
    </w:p>
    <w:p>
      <w:pPr>
        <w:spacing w:line="460" w:lineRule="exact"/>
        <w:ind w:firstLine="5280" w:firstLineChars="2200"/>
        <w:rPr>
          <w:rFonts w:ascii="宋体" w:hAnsi="宋体" w:cs="宋体"/>
          <w:color w:val="auto"/>
          <w:sz w:val="24"/>
          <w:highlight w:val="none"/>
        </w:rPr>
      </w:pPr>
      <w:r>
        <w:rPr>
          <w:rFonts w:hint="eastAsia" w:ascii="宋体" w:hAnsi="宋体" w:cs="宋体"/>
          <w:color w:val="auto"/>
          <w:sz w:val="24"/>
          <w:highlight w:val="none"/>
        </w:rPr>
        <w:t>签 约 地：</w:t>
      </w:r>
    </w:p>
    <w:p>
      <w:pPr>
        <w:adjustRightInd w:val="0"/>
        <w:snapToGrid w:val="0"/>
        <w:spacing w:line="360" w:lineRule="auto"/>
        <w:rPr>
          <w:rFonts w:hint="eastAsia" w:ascii="宋体" w:hAnsi="宋体" w:eastAsia="宋体" w:cs="宋体"/>
          <w:b/>
          <w:sz w:val="24"/>
          <w:szCs w:val="24"/>
          <w:highlight w:val="none"/>
        </w:rPr>
      </w:pPr>
      <w:r>
        <w:rPr>
          <w:rFonts w:hint="eastAsia" w:ascii="宋体" w:hAnsi="宋体" w:cs="宋体"/>
          <w:color w:val="auto"/>
          <w:sz w:val="24"/>
          <w:highlight w:val="none"/>
        </w:rPr>
        <w:t xml:space="preserve">                                            签约日期：   年   月    日</w:t>
      </w:r>
    </w:p>
    <w:p>
      <w:pPr>
        <w:spacing w:line="360" w:lineRule="auto"/>
        <w:ind w:left="-420" w:leftChars="-200" w:right="-420" w:rightChars="-200"/>
        <w:rPr>
          <w:rFonts w:cs="宋体" w:asciiTheme="minorEastAsia" w:hAnsiTheme="minorEastAsia" w:eastAsiaTheme="minorEastAsia"/>
          <w:sz w:val="24"/>
          <w:highlight w:val="none"/>
        </w:rPr>
      </w:pPr>
    </w:p>
    <w:p>
      <w:pPr>
        <w:spacing w:line="360" w:lineRule="auto"/>
        <w:ind w:left="-420" w:leftChars="-200" w:right="-420" w:rightChars="-200" w:firstLine="480" w:firstLineChars="200"/>
        <w:jc w:val="center"/>
        <w:outlineLvl w:val="0"/>
        <w:rPr>
          <w:rFonts w:cs="宋体" w:asciiTheme="minorEastAsia" w:hAnsiTheme="minorEastAsia" w:eastAsiaTheme="minorEastAsia"/>
          <w:sz w:val="24"/>
          <w:highlight w:val="none"/>
        </w:rPr>
      </w:pPr>
    </w:p>
    <w:p>
      <w:pPr>
        <w:spacing w:line="360" w:lineRule="auto"/>
        <w:ind w:left="-420" w:leftChars="-200" w:right="-420" w:rightChars="-200" w:firstLine="480" w:firstLineChars="200"/>
        <w:jc w:val="center"/>
        <w:outlineLvl w:val="0"/>
        <w:rPr>
          <w:rFonts w:cs="宋体" w:asciiTheme="minorEastAsia" w:hAnsiTheme="minorEastAsia" w:eastAsiaTheme="minorEastAsia"/>
          <w:sz w:val="24"/>
          <w:highlight w:val="none"/>
        </w:rPr>
      </w:pPr>
    </w:p>
    <w:p>
      <w:pPr>
        <w:widowControl/>
        <w:adjustRightInd/>
        <w:jc w:val="left"/>
        <w:rPr>
          <w:rFonts w:cs="宋体" w:asciiTheme="minorEastAsia" w:hAnsiTheme="minorEastAsia" w:eastAsiaTheme="minorEastAsia"/>
          <w:b/>
          <w:sz w:val="36"/>
          <w:szCs w:val="20"/>
          <w:highlight w:val="none"/>
        </w:rPr>
      </w:pPr>
      <w:r>
        <w:rPr>
          <w:rFonts w:cs="宋体" w:asciiTheme="minorEastAsia" w:hAnsiTheme="minorEastAsia" w:eastAsiaTheme="minorEastAsia"/>
          <w:b/>
          <w:sz w:val="36"/>
          <w:szCs w:val="20"/>
          <w:highlight w:val="none"/>
        </w:rPr>
        <w:br w:type="page"/>
      </w:r>
    </w:p>
    <w:p>
      <w:pPr>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第六部分</w:t>
      </w:r>
      <w:bookmarkEnd w:id="402"/>
      <w:r>
        <w:rPr>
          <w:rFonts w:hint="eastAsia" w:cs="宋体" w:asciiTheme="minorEastAsia" w:hAnsiTheme="minorEastAsia" w:eastAsiaTheme="minorEastAsia"/>
          <w:b/>
          <w:sz w:val="36"/>
          <w:szCs w:val="20"/>
          <w:highlight w:val="none"/>
        </w:rPr>
        <w:t xml:space="preserve"> </w:t>
      </w:r>
      <w:bookmarkEnd w:id="403"/>
      <w:r>
        <w:rPr>
          <w:rFonts w:hint="eastAsia" w:cs="宋体" w:asciiTheme="minorEastAsia" w:hAnsiTheme="minorEastAsia" w:eastAsiaTheme="minorEastAsia"/>
          <w:b/>
          <w:sz w:val="36"/>
          <w:szCs w:val="20"/>
          <w:highlight w:val="none"/>
        </w:rPr>
        <w:t>应提交的有关格式范例</w:t>
      </w:r>
    </w:p>
    <w:p>
      <w:pPr>
        <w:spacing w:line="360" w:lineRule="auto"/>
        <w:jc w:val="center"/>
        <w:outlineLvl w:val="0"/>
        <w:rPr>
          <w:rFonts w:cs="宋体" w:asciiTheme="minorEastAsia" w:hAnsiTheme="minorEastAsia" w:eastAsiaTheme="minorEastAsia"/>
          <w:b/>
          <w:kern w:val="0"/>
          <w:sz w:val="36"/>
          <w:szCs w:val="36"/>
          <w:highlight w:val="none"/>
        </w:r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资格文件部分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（1）符合参加政府采购活动应当具备的一般条件的承诺函……………（页码）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szCs w:val="20"/>
          <w:highlight w:val="none"/>
        </w:rPr>
        <w:t>（2）联合协议</w:t>
      </w:r>
      <w:r>
        <w:rPr>
          <w:rFonts w:hint="eastAsia" w:cs="宋体" w:asciiTheme="minorEastAsia" w:hAnsiTheme="minorEastAsia" w:eastAsiaTheme="minorEastAsia"/>
          <w:sz w:val="24"/>
          <w:highlight w:val="none"/>
        </w:rPr>
        <w:t>………………………………………………………………（页码）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）本项目的特定资格要求………………………………………………（页码）</w:t>
      </w:r>
    </w:p>
    <w:p>
      <w:pPr>
        <w:snapToGrid w:val="0"/>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kern w:val="0"/>
          <w:sz w:val="24"/>
          <w:highlight w:val="none"/>
        </w:rPr>
        <w:br w:type="page"/>
      </w:r>
      <w:r>
        <w:rPr>
          <w:rFonts w:hint="eastAsia" w:cs="宋体" w:asciiTheme="minorEastAsia" w:hAnsiTheme="minorEastAsia" w:eastAsiaTheme="minorEastAsia"/>
          <w:b/>
          <w:kern w:val="0"/>
          <w:sz w:val="32"/>
          <w:szCs w:val="32"/>
          <w:highlight w:val="none"/>
        </w:rPr>
        <w:t xml:space="preserve">  一、 符合参加政府采购活动应当具备的一般条件的承诺函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中共杭州市西湖区委政法委员会</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我方参与</w:t>
      </w:r>
      <w:r>
        <w:rPr>
          <w:rFonts w:hint="eastAsia" w:cs="宋体" w:asciiTheme="minorEastAsia" w:hAnsiTheme="minorEastAsia" w:eastAsiaTheme="minorEastAsia"/>
          <w:sz w:val="24"/>
          <w:highlight w:val="none"/>
          <w:lang w:eastAsia="zh-CN"/>
        </w:rPr>
        <w:t>“民呼我为”西湖区一体化智治平台项目二期建设项目</w:t>
      </w:r>
      <w:r>
        <w:rPr>
          <w:rFonts w:hint="eastAsia" w:cs="宋体" w:asciiTheme="minorEastAsia" w:hAnsiTheme="minorEastAsia" w:eastAsiaTheme="minorEastAsia"/>
          <w:sz w:val="24"/>
          <w:highlight w:val="none"/>
        </w:rPr>
        <w:t>【招标编号：XHZFCG-2023-G-16】政府采购活动，郑重承诺：</w:t>
      </w:r>
    </w:p>
    <w:p>
      <w:pPr>
        <w:snapToGrid w:val="0"/>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（三）不存在以下情况：</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投标人名称(电子签名)：</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 xml:space="preserve">：  年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w:t>
      </w:r>
    </w:p>
    <w:p>
      <w:pPr>
        <w:snapToGrid w:val="0"/>
        <w:spacing w:line="360" w:lineRule="auto"/>
        <w:ind w:right="480"/>
        <w:jc w:val="both"/>
        <w:rPr>
          <w:rFonts w:cs="宋体" w:asciiTheme="minorEastAsia" w:hAnsiTheme="minorEastAsia" w:eastAsiaTheme="minorEastAsia"/>
          <w:b/>
          <w:kern w:val="0"/>
          <w:sz w:val="32"/>
          <w:szCs w:val="32"/>
          <w:highlight w:val="none"/>
        </w:rPr>
      </w:pPr>
      <w:r>
        <w:rPr>
          <w:rFonts w:hint="eastAsia" w:ascii="宋体" w:hAnsi="宋体" w:cs="仿宋_GB2312"/>
          <w:sz w:val="24"/>
        </w:rPr>
        <w:t>注：根据《</w:t>
      </w:r>
      <w:r>
        <w:rPr>
          <w:rFonts w:ascii="宋体" w:hAnsi="宋体" w:cs="仿宋_GB2312"/>
          <w:sz w:val="24"/>
        </w:rPr>
        <w:t>关于规范政府采购供应商资格设定及资格审查的通知</w:t>
      </w:r>
      <w:r>
        <w:rPr>
          <w:rFonts w:hint="eastAsia" w:ascii="宋体" w:hAnsi="宋体" w:cs="仿宋_GB2312"/>
          <w:sz w:val="24"/>
        </w:rPr>
        <w:t>》（</w:t>
      </w:r>
      <w:r>
        <w:rPr>
          <w:rFonts w:ascii="宋体" w:hAnsi="宋体" w:cs="仿宋_GB2312"/>
          <w:sz w:val="24"/>
        </w:rPr>
        <w:t>浙财采监[2013]24号</w:t>
      </w:r>
      <w:r>
        <w:rPr>
          <w:rFonts w:hint="eastAsia" w:ascii="宋体" w:hAnsi="宋体" w:cs="仿宋_GB2312"/>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widowControl/>
        <w:spacing w:line="360" w:lineRule="auto"/>
        <w:ind w:firstLine="643" w:firstLineChars="20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二、联合协议（如果有）</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三、落实政府采购政策需满足的资格要求（如果有）</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（根据招标公告落实政府采购政策需满足的资格要求选择提供相应的材料；未要求的，无需提供）</w:t>
      </w:r>
    </w:p>
    <w:p>
      <w:pPr>
        <w:pStyle w:val="5"/>
        <w:rPr>
          <w:rFonts w:hint="eastAsia" w:cs="宋体" w:asciiTheme="minorEastAsia" w:hAnsiTheme="minorEastAsia" w:eastAsiaTheme="minorEastAsia"/>
          <w:b/>
          <w:kern w:val="0"/>
          <w:sz w:val="32"/>
          <w:szCs w:val="32"/>
          <w:highlight w:val="none"/>
          <w:lang w:eastAsia="zh-CN"/>
        </w:rPr>
      </w:pPr>
    </w:p>
    <w:p>
      <w:pPr>
        <w:rPr>
          <w:highlight w:val="none"/>
        </w:rPr>
      </w:pPr>
    </w:p>
    <w:p>
      <w:pPr>
        <w:widowControl/>
        <w:spacing w:line="360" w:lineRule="auto"/>
        <w:ind w:left="15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四、本项目的特定资格要求（如果有）</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（根据招标公告本项目的特定资格要求提供相应的材料；未要求的，无需提供）</w:t>
      </w:r>
    </w:p>
    <w:p>
      <w:pPr>
        <w:rPr>
          <w:rFonts w:cs="宋体" w:asciiTheme="minorEastAsia" w:hAnsiTheme="minorEastAsia" w:eastAsiaTheme="minorEastAsia"/>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6"/>
          <w:szCs w:val="36"/>
          <w:highlight w:val="none"/>
        </w:rPr>
      </w:pPr>
      <w:r>
        <w:rPr>
          <w:rFonts w:cs="宋体" w:asciiTheme="minorEastAsia" w:hAnsiTheme="minorEastAsia" w:eastAsiaTheme="minorEastAsia"/>
          <w:b/>
          <w:kern w:val="0"/>
          <w:sz w:val="36"/>
          <w:szCs w:val="36"/>
          <w:highlight w:val="none"/>
        </w:rPr>
        <w:br w:type="page"/>
      </w:r>
    </w:p>
    <w:p>
      <w:pPr>
        <w:spacing w:line="360" w:lineRule="auto"/>
        <w:ind w:right="420" w:firstLine="3614" w:firstLineChars="100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商务技术文件部分</w:t>
      </w:r>
    </w:p>
    <w:p>
      <w:pPr>
        <w:spacing w:line="360" w:lineRule="auto"/>
        <w:jc w:val="center"/>
        <w:outlineLvl w:val="0"/>
        <w:rPr>
          <w:rFonts w:cs="宋体" w:asciiTheme="minorEastAsia" w:hAnsiTheme="minorEastAsia" w:eastAsiaTheme="minorEastAsia"/>
          <w:b/>
          <w:kern w:val="0"/>
          <w:sz w:val="24"/>
          <w:highlight w:val="none"/>
        </w:rPr>
      </w:pPr>
    </w:p>
    <w:p>
      <w:pPr>
        <w:spacing w:line="360" w:lineRule="auto"/>
        <w:jc w:val="center"/>
        <w:outlineLvl w:val="0"/>
        <w:rPr>
          <w:rFonts w:cs="宋体" w:asciiTheme="minorEastAsia" w:hAnsiTheme="minorEastAsia" w:eastAsiaTheme="minorEastAsia"/>
          <w:b/>
          <w:kern w:val="0"/>
          <w:sz w:val="28"/>
          <w:szCs w:val="28"/>
          <w:highlight w:val="none"/>
        </w:rPr>
      </w:pPr>
      <w:r>
        <w:rPr>
          <w:rFonts w:hint="eastAsia" w:cs="宋体" w:asciiTheme="minorEastAsia" w:hAnsiTheme="minorEastAsia" w:eastAsiaTheme="minorEastAsia"/>
          <w:b/>
          <w:kern w:val="0"/>
          <w:sz w:val="28"/>
          <w:szCs w:val="28"/>
          <w:highlight w:val="none"/>
        </w:rPr>
        <w:t>目录</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（1）投标函</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（2）授权委托书或法定代表人（单位负责人、自然人本人）身份证明</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highlight w:val="none"/>
        </w:rPr>
        <w:t>…………………………………………………………………………（页码）</w:t>
      </w:r>
    </w:p>
    <w:p>
      <w:pPr>
        <w:snapToGrid w:val="0"/>
        <w:spacing w:line="360" w:lineRule="auto"/>
        <w:ind w:firstLine="480" w:firstLineChars="200"/>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r>
        <w:rPr>
          <w:rFonts w:hint="eastAsia" w:cs="宋体" w:asciiTheme="minorEastAsia" w:hAnsiTheme="minorEastAsia" w:eastAsiaTheme="minorEastAsia"/>
          <w:highlight w:val="none"/>
        </w:rPr>
        <w:t>…………………………………………………（页码）</w:t>
      </w: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rPr>
          <w:rFonts w:cs="宋体" w:asciiTheme="minorEastAsia" w:hAnsiTheme="minorEastAsia" w:eastAsiaTheme="minorEastAsia"/>
          <w:b/>
          <w:kern w:val="0"/>
          <w:sz w:val="32"/>
          <w:szCs w:val="32"/>
          <w:highlight w:val="none"/>
          <w:lang w:val="zh-CN"/>
        </w:rPr>
      </w:pP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snapToGrid w:val="0"/>
        <w:spacing w:line="360" w:lineRule="auto"/>
        <w:jc w:val="center"/>
        <w:outlineLvl w:val="0"/>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kern w:val="0"/>
          <w:sz w:val="32"/>
          <w:szCs w:val="32"/>
          <w:highlight w:val="none"/>
        </w:rPr>
        <w:t>一、投标</w:t>
      </w:r>
      <w:r>
        <w:rPr>
          <w:rFonts w:hint="eastAsia" w:cs="宋体" w:asciiTheme="minorEastAsia" w:hAnsiTheme="minorEastAsia" w:eastAsiaTheme="minorEastAsia"/>
          <w:b/>
          <w:sz w:val="32"/>
          <w:szCs w:val="32"/>
          <w:highlight w:val="none"/>
        </w:rPr>
        <w:t>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中共杭州市西湖区委政法委员会</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我方参加你方组织的</w:t>
      </w:r>
      <w:r>
        <w:rPr>
          <w:rFonts w:hint="eastAsia" w:cs="宋体" w:asciiTheme="minorEastAsia" w:hAnsiTheme="minorEastAsia" w:eastAsiaTheme="minorEastAsia"/>
          <w:sz w:val="24"/>
          <w:highlight w:val="none"/>
          <w:lang w:eastAsia="zh-CN"/>
        </w:rPr>
        <w:t>“民呼我为”西湖区一体化智治平台项目二期建设项目</w:t>
      </w:r>
      <w:r>
        <w:rPr>
          <w:rFonts w:hint="eastAsia" w:cs="宋体" w:asciiTheme="minorEastAsia" w:hAnsiTheme="minorEastAsia" w:eastAsiaTheme="minorEastAsia"/>
          <w:sz w:val="24"/>
          <w:highlight w:val="none"/>
        </w:rPr>
        <w:t>【招标编号：XHZFCG-2023-G-16】招标的有关活动，并对此项目进行投标。为此：</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1、我方承诺投标有效期从提交投标文件的截止之日起</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天（不少于90天）</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本投标文件在投标有效期满之前均具有约束力。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2、我方的投标文件包括以下内容：</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2.1资格文件：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2.1.1承诺函；</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2.1.2</w:t>
      </w:r>
      <w:r>
        <w:rPr>
          <w:rFonts w:hint="eastAsia" w:cs="宋体" w:asciiTheme="minorEastAsia" w:hAnsiTheme="minorEastAsia" w:eastAsiaTheme="minorEastAsia"/>
          <w:snapToGrid w:val="0"/>
          <w:kern w:val="28"/>
          <w:sz w:val="24"/>
          <w:szCs w:val="20"/>
          <w:highlight w:val="none"/>
        </w:rPr>
        <w:t>联合协议</w:t>
      </w:r>
      <w:bookmarkStart w:id="470" w:name="_Hlk101257010"/>
      <w:r>
        <w:rPr>
          <w:rFonts w:hint="eastAsia" w:cs="宋体" w:asciiTheme="minorEastAsia" w:hAnsiTheme="minorEastAsia" w:eastAsiaTheme="minorEastAsia"/>
          <w:sz w:val="24"/>
          <w:highlight w:val="none"/>
        </w:rPr>
        <w:t>（如果有)</w:t>
      </w:r>
      <w:bookmarkEnd w:id="470"/>
      <w:r>
        <w:rPr>
          <w:rFonts w:hint="eastAsia" w:cs="宋体" w:asciiTheme="minorEastAsia" w:hAnsiTheme="minorEastAsia" w:eastAsiaTheme="minorEastAsia"/>
          <w:snapToGrid w:val="0"/>
          <w:kern w:val="28"/>
          <w:sz w:val="24"/>
          <w:szCs w:val="20"/>
          <w:highlight w:val="none"/>
        </w:rPr>
        <w:t>；</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cs="宋体" w:asciiTheme="minorEastAsia" w:hAnsiTheme="minorEastAsia" w:eastAsiaTheme="minorEastAsia"/>
          <w:sz w:val="24"/>
          <w:highlight w:val="none"/>
        </w:rPr>
        <w:t>.1.3</w:t>
      </w:r>
      <w:r>
        <w:rPr>
          <w:rFonts w:hint="eastAsia" w:cs="宋体" w:asciiTheme="minorEastAsia" w:hAnsiTheme="minorEastAsia" w:eastAsiaTheme="minorEastAsia"/>
          <w:sz w:val="24"/>
          <w:highlight w:val="none"/>
        </w:rPr>
        <w:t>落实政府采购政策需满足的资格要求（如果有）；</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本项目的特定资格要求（如果有)。</w:t>
      </w:r>
    </w:p>
    <w:p>
      <w:pPr>
        <w:snapToGrid w:val="0"/>
        <w:spacing w:line="360" w:lineRule="auto"/>
        <w:ind w:left="210" w:leftChars="1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2.2.1投标函；</w:t>
      </w:r>
      <w:r>
        <w:rPr>
          <w:rFonts w:hint="eastAsia" w:cs="宋体" w:asciiTheme="minorEastAsia" w:hAnsiTheme="minorEastAsia" w:eastAsiaTheme="minorEastAsia"/>
          <w:sz w:val="24"/>
          <w:highlight w:val="none"/>
          <w:lang w:val="zh-CN"/>
        </w:rPr>
        <w:t xml:space="preserve"> </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2.2.2授权委托书或法定代表人（单位负责人）身份证明；</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分包意向协议（如果有)；</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left="420" w:leftChars="2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3报价文件</w:t>
      </w:r>
    </w:p>
    <w:p>
      <w:pPr>
        <w:snapToGrid w:val="0"/>
        <w:spacing w:line="360" w:lineRule="auto"/>
        <w:ind w:left="420" w:leftChars="200" w:firstLine="480" w:firstLineChars="2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2.3.1开标一览表（报价表）</w:t>
      </w:r>
      <w:r>
        <w:rPr>
          <w:rFonts w:hint="eastAsia" w:cs="宋体" w:asciiTheme="minorEastAsia" w:hAnsiTheme="minorEastAsia" w:eastAsiaTheme="minorEastAsia"/>
          <w:sz w:val="24"/>
          <w:highlight w:val="none"/>
          <w:lang w:eastAsia="zh-CN"/>
        </w:rPr>
        <w:t>。</w:t>
      </w:r>
    </w:p>
    <w:p>
      <w:pPr>
        <w:pStyle w:val="5"/>
        <w:ind w:left="664" w:leftChars="316" w:firstLine="228" w:firstLineChars="95"/>
        <w:rPr>
          <w:rFonts w:hint="eastAsia"/>
          <w:lang w:eastAsia="zh-CN"/>
        </w:rPr>
      </w:pPr>
      <w:r>
        <w:rPr>
          <w:rFonts w:ascii="宋体" w:hAnsi="宋体" w:eastAsia="宋体" w:cs="宋体"/>
          <w:b w:val="0"/>
          <w:bCs w:val="0"/>
          <w:color w:val="auto"/>
          <w:sz w:val="24"/>
          <w:highlight w:val="none"/>
          <w:lang w:val="en-US"/>
        </w:rPr>
        <w:t xml:space="preserve">2.3.2 </w:t>
      </w:r>
      <w:r>
        <w:rPr>
          <w:rFonts w:hint="eastAsia" w:ascii="宋体" w:hAnsi="宋体" w:eastAsia="宋体" w:cs="宋体"/>
          <w:b w:val="0"/>
          <w:bCs w:val="0"/>
          <w:color w:val="auto"/>
          <w:sz w:val="24"/>
          <w:szCs w:val="24"/>
          <w:highlight w:val="none"/>
          <w:lang w:val="en-US"/>
        </w:rPr>
        <w:t>中小企业声明函（如果有）</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3、我方承诺除商务技术偏离表列出的偏离外，我方响应招标文件的全部要求。</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4、如我方中标，我方承诺：</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4.3按照招标文件要求提交履约保证金；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5、其他补充说明:</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p>
    <w:p>
      <w:pPr>
        <w:spacing w:line="360" w:lineRule="auto"/>
        <w:ind w:firstLine="3600" w:firstLineChars="15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投标人名称（电子签名）：                          </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snapToGrid w:val="0"/>
        <w:spacing w:line="360" w:lineRule="auto"/>
        <w:ind w:left="420" w:leftChars="200" w:firstLine="4200" w:firstLineChars="1750"/>
        <w:rPr>
          <w:rFonts w:cs="宋体" w:asciiTheme="minorEastAsia" w:hAnsiTheme="minorEastAsia" w:eastAsiaTheme="minorEastAsia"/>
          <w:kern w:val="0"/>
          <w:sz w:val="24"/>
          <w:highlight w:val="none"/>
          <w:u w:val="singl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napToGrid w:val="0"/>
        <w:spacing w:line="360" w:lineRule="auto"/>
        <w:jc w:val="center"/>
        <w:rPr>
          <w:rFonts w:cs="宋体" w:asciiTheme="minorEastAsia" w:hAnsiTheme="minorEastAsia" w:eastAsiaTheme="minorEastAsia"/>
          <w:b/>
          <w:kern w:val="0"/>
          <w:sz w:val="32"/>
          <w:szCs w:val="32"/>
          <w:highlight w:val="none"/>
        </w:rPr>
      </w:pPr>
    </w:p>
    <w:p>
      <w:pPr>
        <w:snapToGrid w:val="0"/>
        <w:spacing w:line="360" w:lineRule="auto"/>
        <w:rPr>
          <w:rFonts w:cs="宋体" w:asciiTheme="minorEastAsia" w:hAnsiTheme="minorEastAsia" w:eastAsiaTheme="minorEastAsia"/>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pStyle w:val="5"/>
        <w:rPr>
          <w:rFonts w:asciiTheme="minorEastAsia" w:hAnsiTheme="minorEastAsia" w:eastAsiaTheme="minorEastAsia"/>
          <w:highlight w:val="none"/>
          <w:lang w:val="en-US"/>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kern w:val="0"/>
          <w:sz w:val="32"/>
          <w:szCs w:val="32"/>
          <w:highlight w:val="none"/>
          <w:lang w:val="zh-CN"/>
        </w:rPr>
        <w:t>二、授权委托书或法定代表人（单位负责人、自然人本人）身份证明</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p>
    <w:p>
      <w:pPr>
        <w:snapToGrid w:val="0"/>
        <w:spacing w:line="360" w:lineRule="auto"/>
        <w:ind w:firstLine="2872" w:firstLineChars="894"/>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lang w:val="zh-CN"/>
        </w:rPr>
        <w:t>授权委托书（适用于非联合体投标）</w:t>
      </w:r>
      <w:r>
        <w:rPr>
          <w:rFonts w:hint="eastAsia" w:cs="宋体" w:asciiTheme="minorEastAsia" w:hAnsiTheme="minorEastAsia" w:eastAsiaTheme="minorEastAsia"/>
          <w:highlight w:val="none"/>
        </w:rPr>
        <w:t xml:space="preserve">                               </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中共杭州市西湖区委政法委员会</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“民呼我为”西湖区一体化智治平台项目二期建设项目</w:t>
      </w:r>
      <w:r>
        <w:rPr>
          <w:rFonts w:hint="eastAsia" w:cs="宋体" w:asciiTheme="minorEastAsia" w:hAnsiTheme="minorEastAsia" w:eastAsiaTheme="minorEastAsia"/>
          <w:sz w:val="24"/>
          <w:highlight w:val="none"/>
        </w:rPr>
        <w:t>【招标编号：XHZFCG-2023-G-16】</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投标人名称(电子签名)：</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签发日期：  年  月   日</w:t>
      </w:r>
    </w:p>
    <w:p>
      <w:pPr>
        <w:snapToGrid w:val="0"/>
        <w:spacing w:line="360" w:lineRule="auto"/>
        <w:rPr>
          <w:rFonts w:cs="宋体" w:asciiTheme="minorEastAsia" w:hAnsiTheme="minorEastAsia" w:eastAsiaTheme="minorEastAsia"/>
          <w:sz w:val="24"/>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lang w:val="zh-CN"/>
        </w:rPr>
        <w:t xml:space="preserve">      </w:t>
      </w:r>
      <w:r>
        <w:rPr>
          <w:rFonts w:hint="eastAsia" w:cs="宋体" w:asciiTheme="minorEastAsia" w:hAnsiTheme="minorEastAsia" w:eastAsiaTheme="minorEastAsia"/>
          <w:b/>
          <w:kern w:val="0"/>
          <w:sz w:val="32"/>
          <w:szCs w:val="32"/>
          <w:highlight w:val="none"/>
        </w:rPr>
        <w:t xml:space="preserve"> </w:t>
      </w:r>
      <w:r>
        <w:rPr>
          <w:rFonts w:hint="eastAsia" w:cs="宋体" w:asciiTheme="minorEastAsia" w:hAnsiTheme="minorEastAsia" w:eastAsiaTheme="minorEastAsia"/>
          <w:b/>
          <w:kern w:val="0"/>
          <w:sz w:val="32"/>
          <w:szCs w:val="32"/>
          <w:highlight w:val="none"/>
          <w:lang w:val="zh-CN"/>
        </w:rPr>
        <w:t>授权委托书（适用于联合体投标）</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中共杭州市西湖区委政法委员会</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“民呼我为”西湖区一体化智治平台项目二期建设项目</w:t>
      </w:r>
      <w:r>
        <w:rPr>
          <w:rFonts w:hint="eastAsia" w:cs="宋体" w:asciiTheme="minorEastAsia" w:hAnsiTheme="minorEastAsia" w:eastAsiaTheme="minorEastAsia"/>
          <w:sz w:val="24"/>
          <w:highlight w:val="none"/>
        </w:rPr>
        <w:t>【招标编号：XHZFCG-2023-G-16】</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rPr>
          <w:rFonts w:cs="宋体" w:asciiTheme="minorEastAsia" w:hAnsiTheme="minorEastAsia" w:eastAsiaTheme="minorEastAsia"/>
          <w:highlight w:val="none"/>
        </w:rPr>
      </w:pP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autoSpaceDE w:val="0"/>
        <w:autoSpaceDN w:val="0"/>
        <w:spacing w:line="360" w:lineRule="auto"/>
        <w:jc w:val="left"/>
        <w:rPr>
          <w:rFonts w:ascii="宋体" w:hAnsi="宋体" w:cs="宋体"/>
          <w:b/>
          <w:kern w:val="0"/>
          <w:sz w:val="32"/>
          <w:szCs w:val="32"/>
          <w:u w:val="single"/>
          <w:lang w:val="zh-CN"/>
        </w:rPr>
      </w:pPr>
      <w:r>
        <w:rPr>
          <w:rFonts w:hint="eastAsia" w:ascii="宋体" w:hAnsi="宋体" w:cs="宋体"/>
          <w:b/>
          <w:kern w:val="0"/>
          <w:sz w:val="24"/>
          <w:u w:val="singl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cs="宋体" w:asciiTheme="minorEastAsia" w:hAnsiTheme="minorEastAsia" w:eastAsiaTheme="minorEastAsia"/>
          <w:b/>
          <w:kern w:val="0"/>
          <w:sz w:val="32"/>
          <w:szCs w:val="32"/>
          <w:highlight w:val="none"/>
          <w:lang w:val="zh-CN"/>
        </w:rPr>
      </w:pPr>
    </w:p>
    <w:p>
      <w:pPr>
        <w:autoSpaceDE w:val="0"/>
        <w:autoSpaceDN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32"/>
          <w:szCs w:val="32"/>
          <w:highlight w:val="none"/>
          <w:lang w:val="zh-CN"/>
        </w:rPr>
        <w:t>法定代表人、单位负责人或自然人本人</w:t>
      </w:r>
      <w:r>
        <w:rPr>
          <w:rFonts w:hint="eastAsia" w:cs="宋体" w:asciiTheme="minorEastAsia" w:hAnsiTheme="minorEastAsia" w:eastAsiaTheme="minorEastAsia"/>
          <w:b/>
          <w:sz w:val="30"/>
          <w:szCs w:val="30"/>
          <w:highlight w:val="none"/>
        </w:rPr>
        <w:t>的身份证明（适用于法定代表人、单位负责人或者自然人本人代表投标人参加投标）</w:t>
      </w:r>
    </w:p>
    <w:p>
      <w:pPr>
        <w:pStyle w:val="147"/>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正面：                                 反面：</w:t>
            </w:r>
          </w:p>
          <w:p>
            <w:pPr>
              <w:pStyle w:val="147"/>
              <w:adjustRightInd w:val="0"/>
              <w:spacing w:line="360" w:lineRule="auto"/>
              <w:rPr>
                <w:rFonts w:cs="宋体" w:asciiTheme="minorEastAsia" w:hAnsiTheme="minorEastAsia" w:eastAsiaTheme="minorEastAsia"/>
                <w:bCs/>
                <w:sz w:val="24"/>
                <w:highlight w:val="none"/>
              </w:rPr>
            </w:pPr>
          </w:p>
        </w:tc>
      </w:tr>
    </w:tbl>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投标人名称(电子签名)：                              </w:t>
      </w:r>
    </w:p>
    <w:p>
      <w:pPr>
        <w:spacing w:line="360" w:lineRule="auto"/>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snapToGrid w:val="0"/>
        <w:spacing w:line="360" w:lineRule="auto"/>
        <w:ind w:right="480"/>
        <w:rPr>
          <w:rFonts w:cs="宋体" w:asciiTheme="minorEastAsia" w:hAnsiTheme="minorEastAsia" w:eastAsiaTheme="minorEastAsia"/>
          <w:b/>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三、分包意向协议（如果有）</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中标后以分包方式履行合同的，提供分包意向协议(附件6</w:t>
      </w:r>
      <w:r>
        <w:rPr>
          <w:rFonts w:cs="宋体" w:asciiTheme="minorEastAsia" w:hAnsiTheme="minorEastAsia" w:eastAsiaTheme="minorEastAsia"/>
          <w:b/>
          <w:sz w:val="24"/>
          <w:highlight w:val="none"/>
        </w:rPr>
        <w:t>)</w:t>
      </w:r>
      <w:r>
        <w:rPr>
          <w:rFonts w:hint="eastAsia" w:cs="宋体" w:asciiTheme="minorEastAsia" w:hAnsiTheme="minorEastAsia" w:eastAsiaTheme="minorEastAsia"/>
          <w:b/>
          <w:sz w:val="24"/>
          <w:highlight w:val="none"/>
        </w:rPr>
        <w:t>；采购人不同意分包或者投标人中标后不以分包方式履行合同的，则不需要提供。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kern w:val="0"/>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四、符合性审查资料</w:t>
      </w:r>
    </w:p>
    <w:p>
      <w:pPr>
        <w:jc w:val="center"/>
        <w:rPr>
          <w:rFonts w:cs="宋体" w:asciiTheme="minorEastAsia" w:hAnsiTheme="minorEastAsia" w:eastAsiaTheme="minorEastAsia"/>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499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实质性要求</w:t>
            </w:r>
          </w:p>
        </w:tc>
        <w:tc>
          <w:tcPr>
            <w:tcW w:w="255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需要提供的符合性审查资料</w:t>
            </w:r>
          </w:p>
        </w:tc>
        <w:tc>
          <w:tcPr>
            <w:tcW w:w="1418"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投标文件中的</w:t>
            </w:r>
          </w:p>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投标文件按照招标文件要求签署、盖章。</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需要使用电子签名或者签字盖章的投标文件的组成部分</w:t>
            </w:r>
          </w:p>
        </w:tc>
        <w:tc>
          <w:tcPr>
            <w:tcW w:w="1418" w:type="dxa"/>
            <w:vAlign w:val="center"/>
          </w:tcPr>
          <w:p>
            <w:pPr>
              <w:jc w:val="center"/>
              <w:rPr>
                <w:rFonts w:cs="宋体" w:asciiTheme="minorEastAsia" w:hAnsiTheme="minorEastAsia" w:eastAsiaTheme="minorEastAsia"/>
                <w:sz w:val="24"/>
                <w:highlight w:val="none"/>
              </w:rPr>
            </w:pPr>
          </w:p>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见投标文件</w:t>
            </w:r>
          </w:p>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投标文件中承诺的投标有效期不少于招标文件中载明的投标有效期。</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投标函</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投标文件满足招标文件的其它实质性要求。</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招标文件其它实质性要求相应的材料（“▲” 系指实质性要求条款，招标文件无其它实质性要求的，无需提供）</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bl>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 xml:space="preserve">            </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rPr>
        <w:t>五、评标标准相应的商务技术资料</w:t>
      </w:r>
    </w:p>
    <w:p>
      <w:pPr>
        <w:snapToGrid w:val="0"/>
        <w:spacing w:line="360" w:lineRule="auto"/>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（按招标文件第四部分评标办法前附表中“投标文件中评标标准相应的商务技术资料目录”提供资料。）</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ind w:firstLine="2891" w:firstLineChars="9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bl>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序号</w:t>
            </w:r>
          </w:p>
        </w:tc>
        <w:tc>
          <w:tcPr>
            <w:tcW w:w="3683"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招标文件章节及具体内容</w:t>
            </w:r>
          </w:p>
        </w:tc>
        <w:tc>
          <w:tcPr>
            <w:tcW w:w="354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投标文件章节及具体内容</w:t>
            </w:r>
          </w:p>
        </w:tc>
        <w:tc>
          <w:tcPr>
            <w:tcW w:w="127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bl>
    <w:p>
      <w:pPr>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投标人保证：除商务技术偏离表列出的偏离外，投标人响应招标文件的全部要求</w:t>
      </w:r>
    </w:p>
    <w:p>
      <w:pPr>
        <w:jc w:val="center"/>
        <w:rPr>
          <w:rFonts w:cs="宋体" w:asciiTheme="minorEastAsia" w:hAnsiTheme="minorEastAsia" w:eastAsiaTheme="minorEastAsia"/>
          <w:b/>
          <w:kern w:val="0"/>
          <w:sz w:val="32"/>
          <w:szCs w:val="32"/>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widowControl/>
        <w:adjustRightInd/>
        <w:jc w:val="left"/>
        <w:rPr>
          <w:rFonts w:cs="宋体" w:asciiTheme="minorEastAsia" w:hAnsiTheme="minorEastAsia" w:eastAsiaTheme="minorEastAsia"/>
          <w:b/>
          <w:bCs/>
          <w:sz w:val="32"/>
          <w:szCs w:val="32"/>
          <w:highlight w:val="none"/>
        </w:rPr>
      </w:pPr>
      <w:r>
        <w:rPr>
          <w:rFonts w:cs="宋体" w:asciiTheme="minorEastAsia" w:hAnsiTheme="minorEastAsia" w:eastAsiaTheme="minorEastAsia"/>
          <w:b/>
          <w:bCs/>
          <w:sz w:val="32"/>
          <w:szCs w:val="32"/>
          <w:highlight w:val="none"/>
        </w:rPr>
        <w:br w:type="page"/>
      </w:r>
    </w:p>
    <w:p>
      <w:pPr>
        <w:ind w:firstLine="1911" w:firstLineChars="595"/>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bCs/>
          <w:sz w:val="32"/>
          <w:szCs w:val="32"/>
          <w:highlight w:val="none"/>
        </w:rPr>
        <w:t>八</w:t>
      </w:r>
      <w:r>
        <w:rPr>
          <w:rFonts w:hint="eastAsia" w:cs="宋体" w:asciiTheme="minorEastAsia" w:hAnsiTheme="minorEastAsia" w:eastAsiaTheme="minorEastAsia"/>
          <w:b/>
          <w:kern w:val="0"/>
          <w:sz w:val="32"/>
          <w:szCs w:val="32"/>
          <w:highlight w:val="none"/>
        </w:rPr>
        <w:t>、</w:t>
      </w:r>
      <w:r>
        <w:rPr>
          <w:rFonts w:hint="eastAsia" w:cs="宋体" w:asciiTheme="minorEastAsia" w:hAnsiTheme="minorEastAsia" w:eastAsiaTheme="minorEastAsia"/>
          <w:b/>
          <w:kern w:val="0"/>
          <w:sz w:val="32"/>
          <w:szCs w:val="32"/>
          <w:highlight w:val="none"/>
          <w:lang w:val="zh-CN"/>
        </w:rPr>
        <w:t>政府采购供应商廉洁自律承诺书</w:t>
      </w:r>
    </w:p>
    <w:p>
      <w:pPr>
        <w:snapToGrid w:val="0"/>
        <w:spacing w:line="360" w:lineRule="auto"/>
        <w:rPr>
          <w:rFonts w:cs="宋体" w:asciiTheme="minorEastAsia" w:hAnsiTheme="minorEastAsia" w:eastAsiaTheme="minorEastAsia"/>
          <w:sz w:val="24"/>
          <w:highlight w:val="none"/>
        </w:rPr>
      </w:pP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中共杭州市西湖区委政法委员会</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我单位响应你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四、不为项目有关人员及部门出国（境）、旅游等提供方便；</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五、不为项目有关人员个人装修住房、婚丧嫁娶、配偶子女工作安排等提供</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好处；</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六、严格遵守《</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政府采购法》《</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招标投标</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法》</w:t>
      </w:r>
      <w:r>
        <w:rPr>
          <w:rFonts w:hint="eastAsia" w:cs="宋体" w:asciiTheme="minorEastAsia" w:hAnsiTheme="minorEastAsia" w:eastAsiaTheme="minorEastAsia"/>
          <w:sz w:val="24"/>
          <w:highlight w:val="none"/>
          <w:lang w:val="zh-CN"/>
        </w:rPr>
        <w:t>《中华人民共和国民法典》</w:t>
      </w:r>
      <w:r>
        <w:rPr>
          <w:rFonts w:hint="eastAsia" w:cs="宋体" w:asciiTheme="minorEastAsia" w:hAnsiTheme="minorEastAsia" w:eastAsiaTheme="minorEastAsia"/>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如违反上述承诺，你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有权立即取消我单位投标、中标或在建项目的建设资格，有权拒绝我单位在一定时期内进入你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leftChars="1" w:right="1120" w:firstLine="4560" w:firstLineChars="19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投标人名称（</w:t>
      </w:r>
      <w:r>
        <w:rPr>
          <w:rFonts w:hint="eastAsia" w:cs="宋体" w:asciiTheme="minorEastAsia" w:hAnsiTheme="minorEastAsia" w:eastAsiaTheme="minorEastAsia"/>
          <w:sz w:val="24"/>
          <w:highlight w:val="none"/>
        </w:rPr>
        <w:t>电子签名</w:t>
      </w:r>
      <w:r>
        <w:rPr>
          <w:rFonts w:hint="eastAsia" w:cs="宋体" w:asciiTheme="minorEastAsia" w:hAnsiTheme="minorEastAsia" w:eastAsiaTheme="minorEastAsia"/>
          <w:kern w:val="0"/>
          <w:sz w:val="24"/>
          <w:highlight w:val="none"/>
          <w:lang w:val="zh-CN"/>
        </w:rPr>
        <w:t xml:space="preserve">）：                                                                                                                                                                                                               </w:t>
      </w:r>
    </w:p>
    <w:p>
      <w:pPr>
        <w:spacing w:line="360" w:lineRule="auto"/>
        <w:ind w:left="4620" w:leftChars="2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 xml:space="preserve">   年   月   日</w:t>
      </w:r>
    </w:p>
    <w:p>
      <w:pPr>
        <w:spacing w:line="360" w:lineRule="auto"/>
        <w:jc w:val="center"/>
        <w:rPr>
          <w:rFonts w:cs="宋体" w:asciiTheme="minorEastAsia" w:hAnsiTheme="minorEastAsia" w:eastAsiaTheme="minorEastAsia"/>
          <w:b/>
          <w:bCs/>
          <w:sz w:val="24"/>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pacing w:line="360" w:lineRule="auto"/>
        <w:jc w:val="center"/>
        <w:rPr>
          <w:rFonts w:cs="宋体" w:asciiTheme="minorEastAsia" w:hAnsiTheme="minorEastAsia" w:eastAsiaTheme="minorEastAsia"/>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报价文件部分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（1）开标一览表（报价表）………………………………………………………（页码）</w:t>
      </w:r>
    </w:p>
    <w:p>
      <w:pPr>
        <w:pStyle w:val="5"/>
        <w:numPr>
          <w:ilvl w:val="0"/>
          <w:numId w:val="0"/>
        </w:numPr>
        <w:ind w:leftChars="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eastAsia="zh-CN"/>
        </w:rPr>
        <w:t>（</w:t>
      </w:r>
      <w:r>
        <w:rPr>
          <w:rFonts w:hint="default"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中小企业声明函（如果有）…………………………………………………（页码）</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r>
        <w:rPr>
          <w:rFonts w:hint="eastAsia" w:cs="宋体" w:asciiTheme="minorEastAsia" w:hAnsiTheme="minorEastAsia" w:eastAsiaTheme="minorEastAsia"/>
          <w:kern w:val="2"/>
          <w:sz w:val="32"/>
          <w:szCs w:val="32"/>
          <w:highlight w:val="none"/>
        </w:rPr>
        <w:t>一、开标一览表（报价表）</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中共杭州市西湖区委政法委员会</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482"/>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sz w:val="24"/>
          <w:highlight w:val="none"/>
          <w:lang w:eastAsia="zh-CN"/>
        </w:rPr>
        <w:t>“民呼我为”西湖区一体化智治平台项目二期建设项目</w:t>
      </w:r>
      <w:r>
        <w:rPr>
          <w:rFonts w:hint="eastAsia" w:cs="宋体" w:asciiTheme="minorEastAsia" w:hAnsiTheme="minorEastAsia" w:eastAsiaTheme="minorEastAsia"/>
          <w:kern w:val="0"/>
          <w:sz w:val="24"/>
          <w:highlight w:val="none"/>
          <w:lang w:val="zh-CN"/>
        </w:rPr>
        <w:t>【招标编号：</w:t>
      </w:r>
      <w:r>
        <w:rPr>
          <w:rFonts w:hint="eastAsia" w:cs="宋体" w:asciiTheme="minorEastAsia" w:hAnsiTheme="minorEastAsia" w:eastAsiaTheme="minorEastAsia"/>
          <w:sz w:val="24"/>
          <w:highlight w:val="none"/>
        </w:rPr>
        <w:t>XHZFCG-2023-G-16】的实施</w:t>
      </w:r>
      <w:r>
        <w:rPr>
          <w:rFonts w:hint="eastAsia" w:cs="宋体" w:asciiTheme="minorEastAsia" w:hAnsiTheme="minorEastAsia" w:eastAsiaTheme="minorEastAsia"/>
          <w:kern w:val="0"/>
          <w:sz w:val="24"/>
          <w:highlight w:val="none"/>
          <w:lang w:val="zh-CN"/>
        </w:rPr>
        <w:t>。</w:t>
      </w:r>
    </w:p>
    <w:p>
      <w:pPr>
        <w:spacing w:line="360" w:lineRule="auto"/>
        <w:jc w:val="center"/>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开标一览表（报价表）(单位均为人民币元)</w:t>
      </w:r>
    </w:p>
    <w:tbl>
      <w:tblPr>
        <w:tblStyle w:val="62"/>
        <w:tblW w:w="8237" w:type="dxa"/>
        <w:jc w:val="center"/>
        <w:tblLayout w:type="fixed"/>
        <w:tblCellMar>
          <w:top w:w="0" w:type="dxa"/>
          <w:left w:w="30" w:type="dxa"/>
          <w:bottom w:w="0" w:type="dxa"/>
          <w:right w:w="30" w:type="dxa"/>
        </w:tblCellMar>
      </w:tblPr>
      <w:tblGrid>
        <w:gridCol w:w="1067"/>
        <w:gridCol w:w="2985"/>
        <w:gridCol w:w="2685"/>
        <w:gridCol w:w="1500"/>
      </w:tblGrid>
      <w:tr>
        <w:tblPrEx>
          <w:tblCellMar>
            <w:top w:w="0" w:type="dxa"/>
            <w:left w:w="30" w:type="dxa"/>
            <w:bottom w:w="0" w:type="dxa"/>
            <w:right w:w="30" w:type="dxa"/>
          </w:tblCellMar>
        </w:tblPrEx>
        <w:trPr>
          <w:trHeight w:val="821" w:hRule="atLeast"/>
          <w:jc w:val="center"/>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报价内容</w:t>
            </w: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总报价</w:t>
            </w: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CellMar>
            <w:top w:w="0" w:type="dxa"/>
            <w:left w:w="30" w:type="dxa"/>
            <w:bottom w:w="0" w:type="dxa"/>
            <w:right w:w="30" w:type="dxa"/>
          </w:tblCellMar>
        </w:tblPrEx>
        <w:trPr>
          <w:trHeight w:val="683" w:hRule="atLeast"/>
          <w:jc w:val="center"/>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一</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bCs/>
                <w:color w:val="auto"/>
                <w:sz w:val="24"/>
                <w:highlight w:val="none"/>
              </w:rPr>
            </w:pP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color w:val="auto"/>
                <w:sz w:val="36"/>
                <w:highlight w:val="none"/>
              </w:rPr>
            </w:pP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color w:val="auto"/>
                <w:sz w:val="36"/>
                <w:highlight w:val="none"/>
              </w:rPr>
            </w:pPr>
          </w:p>
        </w:tc>
      </w:tr>
      <w:tr>
        <w:tblPrEx>
          <w:tblCellMar>
            <w:top w:w="0" w:type="dxa"/>
            <w:left w:w="30" w:type="dxa"/>
            <w:bottom w:w="0" w:type="dxa"/>
            <w:right w:w="30" w:type="dxa"/>
          </w:tblCellMar>
        </w:tblPrEx>
        <w:trPr>
          <w:trHeight w:val="821" w:hRule="atLeast"/>
          <w:jc w:val="center"/>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二</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bCs/>
                <w:color w:val="auto"/>
                <w:sz w:val="24"/>
                <w:highlight w:val="none"/>
              </w:rPr>
            </w:pP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color w:val="auto"/>
                <w:sz w:val="36"/>
                <w:highlight w:val="none"/>
              </w:rPr>
            </w:pP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Cs/>
                <w:color w:val="auto"/>
                <w:sz w:val="24"/>
                <w:highlight w:val="none"/>
              </w:rPr>
            </w:pPr>
          </w:p>
        </w:tc>
      </w:tr>
      <w:tr>
        <w:tblPrEx>
          <w:tblCellMar>
            <w:top w:w="0" w:type="dxa"/>
            <w:left w:w="30" w:type="dxa"/>
            <w:bottom w:w="0" w:type="dxa"/>
            <w:right w:w="30" w:type="dxa"/>
          </w:tblCellMar>
        </w:tblPrEx>
        <w:trPr>
          <w:trHeight w:val="821" w:hRule="atLeast"/>
          <w:jc w:val="center"/>
        </w:trPr>
        <w:tc>
          <w:tcPr>
            <w:tcW w:w="1067"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w:t>
            </w:r>
          </w:p>
        </w:tc>
        <w:tc>
          <w:tcPr>
            <w:tcW w:w="2985" w:type="dxa"/>
            <w:tcBorders>
              <w:top w:val="single" w:color="auto" w:sz="6" w:space="0"/>
              <w:left w:val="single" w:color="auto" w:sz="4" w:space="0"/>
              <w:bottom w:val="single" w:color="auto" w:sz="4" w:space="0"/>
              <w:right w:val="single" w:color="auto" w:sz="6" w:space="0"/>
            </w:tcBorders>
            <w:vAlign w:val="center"/>
          </w:tcPr>
          <w:p>
            <w:pPr>
              <w:autoSpaceDE w:val="0"/>
              <w:autoSpaceDN w:val="0"/>
              <w:spacing w:line="360" w:lineRule="auto"/>
              <w:jc w:val="center"/>
              <w:rPr>
                <w:rFonts w:ascii="宋体" w:hAnsi="宋体" w:cs="宋体"/>
                <w:bCs/>
                <w:color w:val="auto"/>
                <w:sz w:val="24"/>
                <w:highlight w:val="none"/>
              </w:rPr>
            </w:pP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color w:val="auto"/>
                <w:sz w:val="36"/>
                <w:highlight w:val="none"/>
              </w:rPr>
            </w:pP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Cs/>
                <w:color w:val="auto"/>
                <w:sz w:val="24"/>
                <w:highlight w:val="none"/>
              </w:rPr>
            </w:pPr>
          </w:p>
        </w:tc>
      </w:tr>
      <w:tr>
        <w:tblPrEx>
          <w:tblCellMar>
            <w:top w:w="0" w:type="dxa"/>
            <w:left w:w="30" w:type="dxa"/>
            <w:bottom w:w="0" w:type="dxa"/>
            <w:right w:w="30" w:type="dxa"/>
          </w:tblCellMar>
        </w:tblPrEx>
        <w:trPr>
          <w:trHeight w:val="821" w:hRule="atLeast"/>
          <w:jc w:val="center"/>
        </w:trPr>
        <w:tc>
          <w:tcPr>
            <w:tcW w:w="4052"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合计</w:t>
            </w:r>
          </w:p>
        </w:tc>
        <w:tc>
          <w:tcPr>
            <w:tcW w:w="418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小写：</w:t>
            </w:r>
          </w:p>
        </w:tc>
      </w:tr>
      <w:tr>
        <w:tblPrEx>
          <w:tblCellMar>
            <w:top w:w="0" w:type="dxa"/>
            <w:left w:w="30" w:type="dxa"/>
            <w:bottom w:w="0" w:type="dxa"/>
            <w:right w:w="30" w:type="dxa"/>
          </w:tblCellMar>
        </w:tblPrEx>
        <w:trPr>
          <w:trHeight w:val="821" w:hRule="atLeast"/>
          <w:jc w:val="center"/>
        </w:trPr>
        <w:tc>
          <w:tcPr>
            <w:tcW w:w="4052"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color w:val="auto"/>
                <w:sz w:val="24"/>
                <w:highlight w:val="none"/>
              </w:rPr>
            </w:pPr>
          </w:p>
        </w:tc>
        <w:tc>
          <w:tcPr>
            <w:tcW w:w="418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大写：</w:t>
            </w:r>
          </w:p>
        </w:tc>
      </w:tr>
      <w:tr>
        <w:tblPrEx>
          <w:tblCellMar>
            <w:top w:w="0" w:type="dxa"/>
            <w:left w:w="30" w:type="dxa"/>
            <w:bottom w:w="0" w:type="dxa"/>
            <w:right w:w="30" w:type="dxa"/>
          </w:tblCellMar>
        </w:tblPrEx>
        <w:trPr>
          <w:trHeight w:val="821" w:hRule="atLeast"/>
          <w:jc w:val="center"/>
        </w:trPr>
        <w:tc>
          <w:tcPr>
            <w:tcW w:w="40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是否为中小企业</w:t>
            </w:r>
          </w:p>
        </w:tc>
        <w:tc>
          <w:tcPr>
            <w:tcW w:w="4185" w:type="dxa"/>
            <w:gridSpan w:val="2"/>
            <w:tcBorders>
              <w:top w:val="single" w:color="auto" w:sz="6" w:space="0"/>
              <w:left w:val="single" w:color="auto" w:sz="4" w:space="0"/>
              <w:bottom w:val="single" w:color="auto" w:sz="4" w:space="0"/>
              <w:right w:val="single" w:color="auto" w:sz="6" w:space="0"/>
            </w:tcBorders>
            <w:vAlign w:val="center"/>
          </w:tcPr>
          <w:p>
            <w:pPr>
              <w:autoSpaceDE w:val="0"/>
              <w:autoSpaceDN w:val="0"/>
              <w:spacing w:line="360" w:lineRule="auto"/>
              <w:jc w:val="left"/>
              <w:rPr>
                <w:rFonts w:hint="eastAsia" w:ascii="宋体" w:hAnsi="宋体" w:eastAsia="宋体" w:cs="宋体"/>
                <w:b/>
                <w:color w:val="auto"/>
                <w:sz w:val="24"/>
                <w:highlight w:val="none"/>
                <w:lang w:val="en-US" w:eastAsia="zh-CN"/>
              </w:rPr>
            </w:pP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lang w:eastAsia="zh-CN"/>
              </w:rPr>
              <w:t>是</w:t>
            </w:r>
            <w:r>
              <w:rPr>
                <w:rFonts w:hint="default" w:ascii="宋体" w:hAnsi="宋体" w:cs="宋体"/>
                <w:kern w:val="0"/>
                <w:sz w:val="24"/>
                <w:highlight w:val="none"/>
                <w:lang w:val="en-US" w:eastAsia="zh-CN"/>
              </w:rPr>
              <w:t xml:space="preserve">   </w:t>
            </w: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lang w:eastAsia="zh-CN"/>
              </w:rPr>
              <w:t>否</w:t>
            </w:r>
          </w:p>
        </w:tc>
      </w:tr>
    </w:tbl>
    <w:p>
      <w:pPr>
        <w:snapToGrid w:val="0"/>
        <w:spacing w:line="360" w:lineRule="auto"/>
        <w:ind w:left="480"/>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注：</w:t>
      </w:r>
    </w:p>
    <w:p>
      <w:pPr>
        <w:spacing w:line="360" w:lineRule="auto"/>
        <w:ind w:left="-2" w:leftChars="-1"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1、投标人需按本表格式填写</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b/>
          <w:kern w:val="0"/>
          <w:sz w:val="24"/>
          <w:highlight w:val="none"/>
        </w:rPr>
        <w:t>否则视为</w:t>
      </w:r>
      <w:r>
        <w:rPr>
          <w:rFonts w:hint="eastAsia" w:cs="宋体" w:asciiTheme="minorEastAsia" w:hAnsiTheme="minorEastAsia" w:eastAsiaTheme="minorEastAsia"/>
          <w:b/>
          <w:sz w:val="24"/>
          <w:highlight w:val="none"/>
        </w:rPr>
        <w:t>投标文件含有采购人不能接受的附加条件，投标无效</w:t>
      </w:r>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hint="eastAsia"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2、有关本项目实施所涉及的一切费用均计入报价。</w:t>
      </w:r>
      <w:r>
        <w:rPr>
          <w:rFonts w:hint="eastAsia" w:cs="宋体" w:asciiTheme="minorEastAsia" w:hAnsiTheme="minorEastAsia" w:eastAsiaTheme="minorEastAsia"/>
          <w:b/>
          <w:kern w:val="0"/>
          <w:sz w:val="24"/>
          <w:highlight w:val="none"/>
          <w:lang w:val="zh-CN"/>
        </w:rPr>
        <w:t>合同总价不为零，报价明细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视为投标文件含有采购人不能接受的附加条件的，投标无效。</w:t>
      </w:r>
    </w:p>
    <w:p>
      <w:pPr>
        <w:spacing w:line="360" w:lineRule="auto"/>
        <w:ind w:firstLine="482" w:firstLineChars="200"/>
        <w:rPr>
          <w:rFonts w:hint="default" w:eastAsiaTheme="minorEastAsia"/>
          <w:highlight w:val="none"/>
          <w:lang w:val="en-US" w:eastAsia="zh-CN"/>
        </w:rPr>
      </w:pPr>
      <w:r>
        <w:rPr>
          <w:rFonts w:hint="default" w:cs="宋体" w:asciiTheme="minorEastAsia" w:hAnsiTheme="minorEastAsia" w:eastAsiaTheme="minorEastAsia"/>
          <w:b/>
          <w:kern w:val="0"/>
          <w:sz w:val="24"/>
          <w:highlight w:val="none"/>
          <w:lang w:val="en-US"/>
        </w:rPr>
        <w:t>3</w:t>
      </w:r>
      <w:r>
        <w:rPr>
          <w:rFonts w:hint="eastAsia" w:cs="宋体" w:asciiTheme="minorEastAsia" w:hAnsiTheme="minorEastAsia" w:eastAsiaTheme="minorEastAsia"/>
          <w:b/>
          <w:kern w:val="0"/>
          <w:sz w:val="24"/>
          <w:highlight w:val="none"/>
          <w:lang w:val="en-US" w:eastAsia="zh-CN"/>
        </w:rPr>
        <w:t>、▲特别说明：供应商报价低于项目预算50%的，应当在报价文件中详细阐述不影响产品质量或者诚信履约的具体原因。</w:t>
      </w:r>
    </w:p>
    <w:p>
      <w:pPr>
        <w:snapToGrid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default" w:cs="宋体" w:asciiTheme="minorEastAsia" w:hAnsiTheme="minorEastAsia" w:eastAsiaTheme="minorEastAsia"/>
          <w:kern w:val="0"/>
          <w:sz w:val="24"/>
          <w:highlight w:val="none"/>
          <w:lang w:val="en-US"/>
        </w:rPr>
        <w:t>4</w:t>
      </w:r>
      <w:r>
        <w:rPr>
          <w:rFonts w:hint="eastAsia" w:cs="宋体" w:asciiTheme="minorEastAsia" w:hAnsiTheme="minorEastAsia" w:eastAsiaTheme="minorEastAsia"/>
          <w:kern w:val="0"/>
          <w:sz w:val="24"/>
          <w:highlight w:val="none"/>
          <w:lang w:val="zh-CN"/>
        </w:rPr>
        <w:t>、特别提示：采购机构将对项目名称和项目编号，中标供应商名称、地址和中标金额，主要中标标的名称、服务范围、服务要求、服务时间、服务标准等予以公示。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default" w:cs="宋体" w:asciiTheme="minorEastAsia" w:hAnsiTheme="minorEastAsia" w:eastAsiaTheme="minorEastAsia"/>
          <w:kern w:val="0"/>
          <w:sz w:val="24"/>
          <w:szCs w:val="22"/>
          <w:highlight w:val="none"/>
          <w:lang w:val="en-US"/>
        </w:rPr>
        <w:t>5</w:t>
      </w:r>
      <w:r>
        <w:rPr>
          <w:rFonts w:hint="eastAsia" w:cs="宋体" w:asciiTheme="minorEastAsia" w:hAnsiTheme="minorEastAsia" w:eastAsiaTheme="minorEastAsia"/>
          <w:kern w:val="0"/>
          <w:sz w:val="24"/>
          <w:szCs w:val="22"/>
          <w:highlight w:val="none"/>
          <w:lang w:val="zh-CN"/>
        </w:rPr>
        <w:t>、</w:t>
      </w:r>
      <w:r>
        <w:rPr>
          <w:rFonts w:hint="eastAsia" w:cs="宋体" w:asciiTheme="minorEastAsia" w:hAnsiTheme="minorEastAsia" w:eastAsiaTheme="minorEastAsia"/>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cs="宋体" w:asciiTheme="minorEastAsia" w:hAnsiTheme="minorEastAsia" w:eastAsiaTheme="minorEastAsia"/>
          <w:b/>
          <w:kern w:val="0"/>
          <w:sz w:val="24"/>
          <w:highlight w:val="none"/>
        </w:rPr>
      </w:pP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p>
    <w:p>
      <w:pPr>
        <w:spacing w:line="360" w:lineRule="auto"/>
        <w:ind w:right="1760"/>
        <w:jc w:val="center"/>
        <w:rPr>
          <w:rFonts w:cs="宋体" w:asciiTheme="minorEastAsia" w:hAnsiTheme="minorEastAsia" w:eastAsiaTheme="minorEastAsia"/>
          <w:sz w:val="24"/>
          <w:highlight w:val="none"/>
        </w:rPr>
      </w:pPr>
      <w:r>
        <w:rPr>
          <w:rFonts w:hint="default" w:cs="宋体" w:asciiTheme="minorEastAsia" w:hAnsiTheme="minorEastAsia" w:eastAsiaTheme="minorEastAsia"/>
          <w:sz w:val="24"/>
          <w:highlight w:val="none"/>
          <w:lang w:val="en-US"/>
        </w:rPr>
        <w:t xml:space="preserve">                                                                                  </w:t>
      </w:r>
      <w:r>
        <w:rPr>
          <w:rFonts w:hint="eastAsia" w:cs="宋体" w:asciiTheme="minorEastAsia" w:hAnsiTheme="minorEastAsia" w:eastAsiaTheme="minorEastAsia"/>
          <w:sz w:val="24"/>
          <w:highlight w:val="none"/>
        </w:rPr>
        <w:t>投标人名称（电子签名）：</w:t>
      </w:r>
    </w:p>
    <w:p>
      <w:pPr>
        <w:spacing w:line="360" w:lineRule="auto"/>
        <w:ind w:right="1120" w:firstLine="10200" w:firstLineChars="42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spacing w:line="360" w:lineRule="auto"/>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附件1：</w:t>
      </w:r>
    </w:p>
    <w:p>
      <w:pPr>
        <w:spacing w:line="360" w:lineRule="auto"/>
        <w:jc w:val="center"/>
        <w:rPr>
          <w:rFonts w:cs="宋体" w:asciiTheme="minorEastAsia" w:hAnsiTheme="minorEastAsia" w:eastAsiaTheme="minorEastAsia"/>
          <w:b/>
          <w:spacing w:val="6"/>
          <w:sz w:val="32"/>
          <w:szCs w:val="32"/>
          <w:highlight w:val="none"/>
        </w:rPr>
      </w:pPr>
      <w:bookmarkStart w:id="471" w:name="OLE_LINK13"/>
      <w:bookmarkStart w:id="472" w:name="OLE_LINK14"/>
      <w:r>
        <w:rPr>
          <w:rFonts w:hint="eastAsia" w:cs="宋体" w:asciiTheme="minorEastAsia" w:hAnsiTheme="minorEastAsia" w:eastAsiaTheme="minorEastAsia"/>
          <w:b/>
          <w:spacing w:val="6"/>
          <w:sz w:val="32"/>
          <w:szCs w:val="32"/>
          <w:highlight w:val="none"/>
        </w:rPr>
        <w:t>残疾人福利性单位声明函</w:t>
      </w:r>
    </w:p>
    <w:bookmarkEnd w:id="471"/>
    <w:bookmarkEnd w:id="472"/>
    <w:p>
      <w:pPr>
        <w:spacing w:line="360" w:lineRule="auto"/>
        <w:rPr>
          <w:rFonts w:cs="宋体" w:asciiTheme="minorEastAsia" w:hAnsiTheme="minorEastAsia" w:eastAsiaTheme="minorEastAsia"/>
          <w:b/>
          <w:spacing w:val="6"/>
          <w:sz w:val="30"/>
          <w:szCs w:val="30"/>
          <w:highlight w:val="none"/>
        </w:rPr>
      </w:pP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cs="宋体" w:asciiTheme="minorEastAsia" w:hAnsiTheme="minorEastAsia" w:eastAsiaTheme="minorEastAsia"/>
          <w:sz w:val="24"/>
          <w:highlight w:val="none"/>
          <w:u w:val="single"/>
          <w:lang w:eastAsia="zh-CN"/>
        </w:rPr>
        <w:t>中共杭州市西湖区委政法委员会</w:t>
      </w:r>
      <w:r>
        <w:rPr>
          <w:rFonts w:hint="eastAsia" w:cs="宋体" w:asciiTheme="minorEastAsia" w:hAnsiTheme="minorEastAsia" w:eastAsiaTheme="minorEastAsia"/>
          <w:sz w:val="24"/>
          <w:highlight w:val="none"/>
        </w:rPr>
        <w:t>_单位的</w:t>
      </w:r>
      <w:r>
        <w:rPr>
          <w:rFonts w:hint="eastAsia" w:cs="宋体" w:asciiTheme="minorEastAsia" w:hAnsiTheme="minorEastAsia" w:eastAsiaTheme="minorEastAsia"/>
          <w:sz w:val="24"/>
          <w:highlight w:val="none"/>
          <w:u w:val="single"/>
          <w:lang w:eastAsia="zh-CN"/>
        </w:rPr>
        <w:t>“民呼我为”西湖区一体化智治平台项目二期建设项目的</w:t>
      </w:r>
      <w:r>
        <w:rPr>
          <w:rFonts w:hint="eastAsia" w:cs="宋体" w:asciiTheme="minorEastAsia" w:hAnsiTheme="minorEastAsia" w:eastAsiaTheme="minorEastAsia"/>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本单位对上述声明的真实性负责。如有虚假，将依法承担相应责任。</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kern w:val="0"/>
          <w:sz w:val="24"/>
          <w:highlight w:val="none"/>
          <w:lang w:val="zh-CN"/>
        </w:rPr>
        <w:t>投标人名称（电子签名）</w:t>
      </w:r>
      <w:r>
        <w:rPr>
          <w:rFonts w:hint="eastAsia" w:cs="宋体" w:asciiTheme="minorEastAsia" w:hAnsiTheme="minorEastAsia" w:eastAsiaTheme="minorEastAsia"/>
          <w:sz w:val="24"/>
          <w:highlight w:val="none"/>
        </w:rPr>
        <w:t>：</w:t>
      </w: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  期：</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pStyle w:val="79"/>
        <w:rPr>
          <w:rFonts w:cs="宋体" w:asciiTheme="minorEastAsia" w:hAnsiTheme="minorEastAsia" w:eastAsiaTheme="minorEastAsia"/>
          <w:b/>
          <w:sz w:val="24"/>
          <w:highlight w:val="none"/>
        </w:rPr>
      </w:pPr>
    </w:p>
    <w:p>
      <w:pPr>
        <w:pStyle w:val="79"/>
        <w:rPr>
          <w:rFonts w:cs="宋体" w:asciiTheme="minorEastAsia" w:hAnsiTheme="minorEastAsia" w:eastAsiaTheme="minorEastAsia"/>
          <w:b/>
          <w:sz w:val="24"/>
          <w:highlight w:val="none"/>
        </w:rPr>
      </w:pPr>
    </w:p>
    <w:p>
      <w:pPr>
        <w:pStyle w:val="79"/>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附件2：质疑函范本及制作说明</w:t>
      </w: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质疑函范本</w:t>
      </w:r>
    </w:p>
    <w:p>
      <w:pPr>
        <w:snapToGrid w:val="0"/>
        <w:spacing w:before="240" w:beforeLines="100"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一、质疑供应商基本信息</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质疑供应商：</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地址：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地址： </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二、质疑项目基本情况</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采购文件获取日期：</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三、质疑事项具体内容</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质疑事项1：</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质疑事项2</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四、与质疑事项相关的质疑请求</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jc w:val="center"/>
        <w:rPr>
          <w:rFonts w:cs="宋体" w:asciiTheme="minorEastAsia" w:hAnsiTheme="minorEastAsia" w:eastAsiaTheme="minorEastAsia"/>
          <w:b/>
          <w:bCs/>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质疑函制作说明：</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1.供应商提出质疑时，应提交质疑函和必要的证明材料。</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2.质疑供应商若委托代理人进行质疑的，质疑函应按要求列明“授权代表”的有关内容，并在附件中提交由质疑</w:t>
      </w:r>
      <w:r>
        <w:rPr>
          <w:rFonts w:hint="eastAsia" w:cs="宋体" w:asciiTheme="minorEastAsia" w:hAnsiTheme="minorEastAsia" w:eastAsiaTheme="minorEastAsia"/>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3.质疑供应商若对项目的某一分包进行质疑，质疑函中应列明具体分包号。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4.质疑函的质疑事项应具体、明确，并有必要的事实依据和法律依据。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5.质疑函的质疑请求应与质疑事项相关。</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宋体" w:asciiTheme="minorEastAsia" w:hAnsiTheme="minorEastAsia" w:eastAsiaTheme="minorEastAsia"/>
          <w:sz w:val="30"/>
          <w:szCs w:val="30"/>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附件3：投诉书范本及制作说明</w:t>
      </w:r>
    </w:p>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投诉书范本</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一、投诉相关主体基本情况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tabs>
          <w:tab w:val="left" w:pos="6510"/>
        </w:tabs>
        <w:spacing w:line="360"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法定代表人/主要负责人：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tabs>
          <w:tab w:val="left" w:pos="6510"/>
        </w:tabs>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被投诉人1：</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被投诉人2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相关供应商：</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二、投诉项目基本情况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采购项目名称：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采购项目编号：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代理机构名称：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采购文件公告: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采购结果公告: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三、质疑基本情况</w:t>
      </w:r>
    </w:p>
    <w:p>
      <w:pPr>
        <w:spacing w:line="360" w:lineRule="auto"/>
        <w:ind w:firstLine="480" w:firstLineChars="200"/>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日,向</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提出质疑，质疑事项为：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采购人/代理机构</w:t>
      </w:r>
      <w:r>
        <w:rPr>
          <w:rFonts w:hint="eastAsia" w:cs="宋体" w:asciiTheme="minorEastAsia" w:hAnsiTheme="minorEastAsia" w:eastAsiaTheme="minorEastAsia"/>
          <w:sz w:val="24"/>
          <w:highlight w:val="none"/>
        </w:rPr>
        <w:t>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日,就质疑事项作出了答复/没有在法定期限内作出答复。</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四、投诉事项具体内容</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投诉事项 1：</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投诉事项2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五、与投诉事项相关的投诉请求</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投诉书制作说明：</w:t>
      </w:r>
    </w:p>
    <w:p>
      <w:pPr>
        <w:widowControl/>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3.投诉人若对项目的某一分包进行投诉，投诉书应列明具体分包号。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4.投诉书应简要列明质疑事项，质疑函、质疑答复等作为附件材料提供。</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5.投诉书的投诉事项应具体、明确，并有必要的事实依据和法律依据。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cs="宋体" w:asciiTheme="minorEastAsia" w:hAnsiTheme="minorEastAsia" w:eastAsiaTheme="minorEastAsia"/>
          <w:b/>
          <w:sz w:val="24"/>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bCs/>
          <w:sz w:val="32"/>
          <w:szCs w:val="32"/>
          <w:highlight w:val="none"/>
        </w:rPr>
      </w:pPr>
      <w:r>
        <w:rPr>
          <w:rFonts w:hint="eastAsia" w:cs="宋体" w:asciiTheme="minorEastAsia" w:hAnsiTheme="minorEastAsia" w:eastAsiaTheme="minorEastAsia"/>
          <w:b/>
          <w:spacing w:val="6"/>
          <w:sz w:val="32"/>
          <w:szCs w:val="32"/>
          <w:highlight w:val="none"/>
        </w:rPr>
        <w:t>附件4：</w:t>
      </w:r>
      <w:r>
        <w:rPr>
          <w:rFonts w:hint="eastAsia" w:cs="宋体" w:asciiTheme="minorEastAsia" w:hAnsiTheme="minorEastAsia" w:eastAsiaTheme="minorEastAsia"/>
          <w:b/>
          <w:bCs/>
          <w:sz w:val="32"/>
          <w:szCs w:val="32"/>
          <w:highlight w:val="none"/>
        </w:rPr>
        <w:t>业务专用章使用说明函</w:t>
      </w:r>
    </w:p>
    <w:p>
      <w:pPr>
        <w:spacing w:line="360" w:lineRule="auto"/>
        <w:rPr>
          <w:rFonts w:cs="宋体" w:asciiTheme="minorEastAsia" w:hAnsiTheme="minorEastAsia" w:eastAsiaTheme="minorEastAsia"/>
          <w:sz w:val="24"/>
          <w:highlight w:val="none"/>
          <w:u w:val="single"/>
        </w:rPr>
      </w:pP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single"/>
          <w:lang w:eastAsia="zh-CN"/>
        </w:rPr>
        <w:t>中共杭州市西湖区委政法委员会</w:t>
      </w:r>
      <w:r>
        <w:rPr>
          <w:rFonts w:hint="eastAsia" w:cs="宋体" w:asciiTheme="minorEastAsia" w:hAnsiTheme="minorEastAsia" w:eastAsiaTheme="minorEastAsia"/>
          <w:sz w:val="24"/>
          <w:highlight w:val="none"/>
          <w:u w:val="single"/>
        </w:rPr>
        <w:t>、</w:t>
      </w:r>
      <w:r>
        <w:rPr>
          <w:rFonts w:hint="eastAsia" w:cs="宋体" w:asciiTheme="minorEastAsia" w:hAnsiTheme="minorEastAsia" w:eastAsiaTheme="minorEastAsia"/>
          <w:sz w:val="24"/>
          <w:highlight w:val="none"/>
          <w:u w:val="single"/>
          <w:lang w:eastAsia="zh-CN"/>
        </w:rPr>
        <w:t>杭州市西湖区政府采购中心</w:t>
      </w:r>
      <w:r>
        <w:rPr>
          <w:rFonts w:hint="eastAsia" w:cs="宋体" w:asciiTheme="minorEastAsia" w:hAnsiTheme="minorEastAsia" w:eastAsiaTheme="minorEastAsia"/>
          <w:sz w:val="24"/>
          <w:highlight w:val="none"/>
          <w:u w:val="single"/>
        </w:rPr>
        <w:t>：</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我方</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sz w:val="24"/>
          <w:highlight w:val="none"/>
        </w:rPr>
        <w:t>(投标人全称)是中华人民共和国依法登记注册的合法企业，</w:t>
      </w:r>
      <w:r>
        <w:rPr>
          <w:rFonts w:hint="eastAsia" w:cs="宋体" w:asciiTheme="minorEastAsia" w:hAnsiTheme="minorEastAsia" w:eastAsiaTheme="minorEastAsia"/>
          <w:bCs/>
          <w:sz w:val="24"/>
          <w:highlight w:val="none"/>
        </w:rPr>
        <w:t>在参加</w:t>
      </w:r>
      <w:r>
        <w:rPr>
          <w:rFonts w:hint="eastAsia" w:cs="宋体" w:asciiTheme="minorEastAsia" w:hAnsiTheme="minorEastAsia" w:eastAsiaTheme="minorEastAsia"/>
          <w:sz w:val="24"/>
          <w:highlight w:val="none"/>
        </w:rPr>
        <w:t>你方组织的</w:t>
      </w:r>
      <w:r>
        <w:rPr>
          <w:rFonts w:hint="eastAsia" w:cs="宋体" w:asciiTheme="minorEastAsia" w:hAnsiTheme="minorEastAsia" w:eastAsiaTheme="minorEastAsia"/>
          <w:sz w:val="24"/>
          <w:highlight w:val="none"/>
          <w:lang w:eastAsia="zh-CN"/>
        </w:rPr>
        <w:t>“民呼我为”西湖区一体化智治平台项目二期建设项目</w:t>
      </w:r>
      <w:r>
        <w:rPr>
          <w:rFonts w:hint="eastAsia" w:cs="宋体" w:asciiTheme="minorEastAsia" w:hAnsiTheme="minorEastAsia" w:eastAsiaTheme="minorEastAsia"/>
          <w:sz w:val="24"/>
          <w:highlight w:val="none"/>
        </w:rPr>
        <w:t>【招标编号：XHZFCG-2023-G-16】</w:t>
      </w:r>
      <w:r>
        <w:rPr>
          <w:rFonts w:hint="eastAsia" w:cs="宋体" w:asciiTheme="minorEastAsia" w:hAnsiTheme="minorEastAsia" w:eastAsiaTheme="minorEastAsia"/>
          <w:bCs/>
          <w:sz w:val="24"/>
          <w:highlight w:val="none"/>
        </w:rPr>
        <w:t>投标活动中作如下说明：</w:t>
      </w:r>
      <w:r>
        <w:rPr>
          <w:rFonts w:hint="eastAsia" w:cs="宋体" w:asciiTheme="minorEastAsia" w:hAnsiTheme="minorEastAsia" w:eastAsiaTheme="minorEastAsia"/>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特此说明。</w:t>
      </w: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right="480" w:firstLine="4080" w:firstLineChars="17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投标单位（法定名称章）：</w:t>
      </w:r>
    </w:p>
    <w:p>
      <w:pPr>
        <w:ind w:right="1440" w:firstLine="494"/>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rPr>
          <w:rFonts w:cs="宋体" w:asciiTheme="minorEastAsia" w:hAnsiTheme="minorEastAsia" w:eastAsiaTheme="minorEastAsia"/>
          <w:sz w:val="24"/>
          <w:highlight w:val="none"/>
        </w:rPr>
      </w:pPr>
      <w:r>
        <w:rPr>
          <w:rFonts w:hint="eastAsia" w:cs="宋体" w:asciiTheme="minorEastAsia" w:hAnsiTheme="minorEastAsia" w:eastAsiaTheme="minorEastAsia"/>
          <w:b/>
          <w:bCs/>
          <w:sz w:val="24"/>
          <w:highlight w:val="none"/>
        </w:rPr>
        <w:t>附：</w:t>
      </w:r>
    </w:p>
    <w:p>
      <w:pPr>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highlight w:val="none"/>
        </w:rPr>
        <w:t>投标单位法定名称章（印模）                投标单位“XX专用章”（印模）</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pStyle w:val="79"/>
        <w:rPr>
          <w:rFonts w:cs="宋体" w:asciiTheme="minorEastAsia" w:hAnsiTheme="minorEastAsia" w:eastAsiaTheme="minorEastAsia"/>
          <w:b/>
          <w:spacing w:val="6"/>
          <w:sz w:val="32"/>
          <w:szCs w:val="32"/>
          <w:highlight w:val="none"/>
        </w:rPr>
      </w:pPr>
    </w:p>
    <w:p>
      <w:pPr>
        <w:pStyle w:val="79"/>
        <w:rPr>
          <w:rFonts w:cs="宋体" w:asciiTheme="minorEastAsia" w:hAnsiTheme="minorEastAsia" w:eastAsiaTheme="minorEastAsia"/>
          <w:b/>
          <w:spacing w:val="6"/>
          <w:sz w:val="32"/>
          <w:szCs w:val="32"/>
          <w:highlight w:val="none"/>
        </w:rPr>
      </w:pPr>
    </w:p>
    <w:p>
      <w:pPr>
        <w:pStyle w:val="79"/>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5</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lang w:val="zh-CN"/>
        </w:rPr>
        <w:t>联合协议</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（联合体所有成员名称）</w:t>
      </w:r>
      <w:r>
        <w:rPr>
          <w:rFonts w:hint="eastAsia" w:cs="宋体" w:asciiTheme="minorEastAsia" w:hAnsiTheme="minorEastAsia" w:eastAsiaTheme="minorEastAsia"/>
          <w:kern w:val="0"/>
          <w:sz w:val="24"/>
          <w:highlight w:val="none"/>
        </w:rPr>
        <w:t>自愿</w:t>
      </w:r>
      <w:r>
        <w:rPr>
          <w:rFonts w:hint="eastAsia" w:cs="宋体" w:asciiTheme="minorEastAsia" w:hAnsiTheme="minorEastAsia" w:eastAsiaTheme="minorEastAsia"/>
          <w:kern w:val="0"/>
          <w:sz w:val="24"/>
          <w:highlight w:val="none"/>
          <w:lang w:val="zh-CN"/>
        </w:rPr>
        <w:t>组成一个联合体，以一个投标人的身份</w:t>
      </w:r>
      <w:r>
        <w:rPr>
          <w:rFonts w:hint="eastAsia" w:cs="宋体" w:asciiTheme="minorEastAsia" w:hAnsiTheme="minorEastAsia" w:eastAsiaTheme="minorEastAsia"/>
          <w:kern w:val="0"/>
          <w:sz w:val="24"/>
          <w:highlight w:val="none"/>
        </w:rPr>
        <w:t>参加</w:t>
      </w:r>
      <w:r>
        <w:rPr>
          <w:rFonts w:hint="eastAsia" w:cs="宋体" w:asciiTheme="minorEastAsia" w:hAnsiTheme="minorEastAsia" w:eastAsiaTheme="minorEastAsia"/>
          <w:sz w:val="24"/>
          <w:highlight w:val="none"/>
          <w:lang w:eastAsia="zh-CN"/>
        </w:rPr>
        <w:t>“民呼我为”西湖区一体化智治平台项目二期建设项目</w:t>
      </w:r>
      <w:r>
        <w:rPr>
          <w:rFonts w:hint="eastAsia" w:cs="宋体" w:asciiTheme="minorEastAsia" w:hAnsiTheme="minorEastAsia" w:eastAsiaTheme="minorEastAsia"/>
          <w:sz w:val="24"/>
          <w:highlight w:val="none"/>
        </w:rPr>
        <w:t>【招标编号：XHZFCG-2023-G-16】</w:t>
      </w:r>
      <w:r>
        <w:rPr>
          <w:rFonts w:hint="eastAsia" w:cs="宋体" w:asciiTheme="minorEastAsia" w:hAnsiTheme="minorEastAsia" w:eastAsiaTheme="minorEastAsia"/>
          <w:kern w:val="0"/>
          <w:sz w:val="24"/>
          <w:highlight w:val="none"/>
          <w:lang w:val="zh-CN"/>
        </w:rPr>
        <w:t xml:space="preserve">投标。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一、各方一致决定，</w:t>
      </w:r>
      <w:r>
        <w:rPr>
          <w:rFonts w:hint="eastAsia" w:cs="宋体" w:asciiTheme="minorEastAsia" w:hAnsiTheme="minorEastAsia" w:eastAsiaTheme="minorEastAsia"/>
          <w:kern w:val="0"/>
          <w:sz w:val="24"/>
          <w:highlight w:val="none"/>
          <w:u w:val="single"/>
        </w:rPr>
        <w:t>（某联合体成员名称）</w:t>
      </w:r>
      <w:r>
        <w:rPr>
          <w:rFonts w:hint="eastAsia" w:cs="宋体" w:asciiTheme="minorEastAsia" w:hAnsiTheme="minorEastAsia" w:eastAsiaTheme="minorEastAsia"/>
          <w:kern w:val="0"/>
          <w:sz w:val="24"/>
          <w:highlight w:val="none"/>
        </w:rPr>
        <w:t>为联合体</w:t>
      </w:r>
      <w:r>
        <w:rPr>
          <w:rFonts w:hint="eastAsia" w:cs="宋体" w:asciiTheme="minorEastAsia" w:hAnsiTheme="minorEastAsia" w:eastAsiaTheme="minorEastAsia"/>
          <w:kern w:val="0"/>
          <w:sz w:val="24"/>
          <w:highlight w:val="none"/>
          <w:lang w:val="zh-CN"/>
        </w:rPr>
        <w:t>牵头人</w:t>
      </w:r>
      <w:r>
        <w:rPr>
          <w:rFonts w:hint="eastAsia" w:cs="宋体" w:asciiTheme="minorEastAsia" w:hAnsiTheme="minorEastAsia" w:eastAsiaTheme="minorEastAsia"/>
          <w:sz w:val="24"/>
          <w:highlight w:val="none"/>
        </w:rPr>
        <w:t>，代表所有联合体成员负责投标和合同实施阶段的主办、协调工作</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w:t>
      </w:r>
      <w:r>
        <w:rPr>
          <w:rFonts w:hint="eastAsia" w:cs="宋体" w:asciiTheme="minorEastAsia" w:hAnsiTheme="minorEastAsia" w:eastAsiaTheme="minorEastAsia"/>
          <w:sz w:val="24"/>
          <w:highlight w:val="none"/>
        </w:rPr>
        <w:t>所有联合体成员各方签署授权书，授权书载明的</w:t>
      </w:r>
      <w:r>
        <w:rPr>
          <w:rFonts w:hint="eastAsia" w:cs="宋体" w:asciiTheme="minorEastAsia" w:hAnsiTheme="minorEastAsia" w:eastAsiaTheme="minorEastAsia"/>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三、本次联合投标中，分工如下：</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（联合体成员1）</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w:t>
      </w:r>
      <w:r>
        <w:rPr>
          <w:rFonts w:cs="宋体" w:asciiTheme="minorEastAsia" w:hAnsiTheme="minorEastAsia" w:eastAsiaTheme="minorEastAsia"/>
          <w:kern w:val="0"/>
          <w:sz w:val="24"/>
          <w:highlight w:val="none"/>
          <w:u w:val="single"/>
        </w:rPr>
        <w:t>2</w:t>
      </w:r>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四、联合体成员中小企业合同份额。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1、</w:t>
      </w:r>
      <w:r>
        <w:rPr>
          <w:rFonts w:hint="eastAsia" w:cs="宋体" w:asciiTheme="minorEastAsia" w:hAnsiTheme="minorEastAsia" w:eastAsiaTheme="minorEastAsia"/>
          <w:kern w:val="0"/>
          <w:sz w:val="24"/>
          <w:highlight w:val="none"/>
          <w:u w:val="single"/>
        </w:rPr>
        <w:t>（</w:t>
      </w:r>
      <w:bookmarkStart w:id="473" w:name="_Hlk101131882"/>
      <w:r>
        <w:rPr>
          <w:rFonts w:hint="eastAsia" w:cs="宋体" w:asciiTheme="minorEastAsia" w:hAnsiTheme="minorEastAsia" w:eastAsiaTheme="minorEastAsia"/>
          <w:kern w:val="0"/>
          <w:sz w:val="24"/>
          <w:highlight w:val="none"/>
          <w:u w:val="single"/>
        </w:rPr>
        <w:t>联合体成员X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w:t>
      </w:r>
      <w:bookmarkEnd w:id="473"/>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rPr>
        <w:t>提供的服务由小微企业承接，其合同份额占到合同总金额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kern w:val="0"/>
          <w:sz w:val="24"/>
          <w:highlight w:val="none"/>
          <w:lang w:val="zh-CN"/>
        </w:rPr>
        <w:t>（</w:t>
      </w:r>
      <w:bookmarkStart w:id="474" w:name="_Hlk101133598"/>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bookmarkEnd w:id="474"/>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w:t>
      </w:r>
      <w:bookmarkStart w:id="475" w:name="_Hlk101133173"/>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highlight w:val="none"/>
          <w:lang w:val="zh-CN"/>
        </w:rPr>
        <w:t>）</w:t>
      </w:r>
      <w:bookmarkEnd w:id="475"/>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五、如果中标，</w:t>
      </w:r>
      <w:r>
        <w:rPr>
          <w:rFonts w:hint="eastAsia" w:cs="宋体" w:asciiTheme="minorEastAsia" w:hAnsiTheme="minorEastAsia" w:eastAsiaTheme="minorEastAsia"/>
          <w:sz w:val="24"/>
          <w:highlight w:val="none"/>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六、有关本次联合投标的其他事宜：</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right="960"/>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napToGrid w:val="0"/>
        <w:spacing w:line="360" w:lineRule="auto"/>
        <w:ind w:firstLine="3666" w:firstLineChars="1100"/>
        <w:rPr>
          <w:rFonts w:cs="宋体" w:asciiTheme="minorEastAsia" w:hAnsiTheme="minorEastAsia" w:eastAsiaTheme="minorEastAsia"/>
          <w:b/>
          <w:spacing w:val="6"/>
          <w:sz w:val="32"/>
          <w:szCs w:val="32"/>
          <w:highlight w:val="none"/>
        </w:rPr>
      </w:pPr>
    </w:p>
    <w:p>
      <w:pPr>
        <w:widowControl/>
        <w:adjustRightInd/>
        <w:jc w:val="left"/>
        <w:rPr>
          <w:rFonts w:cs="宋体" w:asciiTheme="minorEastAsia" w:hAnsiTheme="minorEastAsia" w:eastAsiaTheme="minorEastAsia"/>
          <w:b/>
          <w:spacing w:val="6"/>
          <w:sz w:val="32"/>
          <w:szCs w:val="32"/>
          <w:highlight w:val="none"/>
        </w:rPr>
      </w:pPr>
      <w:r>
        <w:rPr>
          <w:rFonts w:cs="宋体" w:asciiTheme="minorEastAsia" w:hAnsiTheme="minorEastAsia" w:eastAsiaTheme="minorEastAsia"/>
          <w:b/>
          <w:spacing w:val="6"/>
          <w:sz w:val="32"/>
          <w:szCs w:val="32"/>
          <w:highlight w:val="none"/>
        </w:rPr>
        <w:br w:type="page"/>
      </w:r>
    </w:p>
    <w:p>
      <w:pPr>
        <w:snapToGrid w:val="0"/>
        <w:spacing w:line="360" w:lineRule="auto"/>
        <w:ind w:firstLine="3666"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6</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rPr>
        <w:t>分包意向协议</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若成为</w:t>
      </w:r>
      <w:r>
        <w:rPr>
          <w:rFonts w:hint="eastAsia" w:cs="宋体" w:asciiTheme="minorEastAsia" w:hAnsiTheme="minorEastAsia" w:eastAsiaTheme="minorEastAsia"/>
          <w:sz w:val="24"/>
          <w:highlight w:val="none"/>
          <w:lang w:eastAsia="zh-CN"/>
        </w:rPr>
        <w:t>“民呼我为”西湖区一体化智治平台项目二期建设项目</w:t>
      </w:r>
      <w:r>
        <w:rPr>
          <w:rFonts w:hint="eastAsia" w:cs="宋体" w:asciiTheme="minorEastAsia" w:hAnsiTheme="minorEastAsia" w:eastAsiaTheme="minorEastAsia"/>
          <w:sz w:val="24"/>
          <w:highlight w:val="none"/>
        </w:rPr>
        <w:t>【招标编号：XHZFCG-2023-G-16】</w:t>
      </w:r>
      <w:r>
        <w:rPr>
          <w:rFonts w:hint="eastAsia" w:cs="宋体" w:asciiTheme="minorEastAsia" w:hAnsiTheme="minorEastAsia" w:eastAsiaTheme="minorEastAsia"/>
          <w:kern w:val="0"/>
          <w:sz w:val="24"/>
          <w:highlight w:val="none"/>
          <w:lang w:val="zh-CN"/>
        </w:rPr>
        <w:t>的中标供应商，将依法采取分包方式履行合同。</w:t>
      </w: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rPr>
        <w:t>与</w:t>
      </w:r>
      <w:r>
        <w:rPr>
          <w:rFonts w:hint="eastAsia" w:cs="宋体" w:asciiTheme="minorEastAsia" w:hAnsiTheme="minorEastAsia" w:eastAsiaTheme="minorEastAsia"/>
          <w:kern w:val="0"/>
          <w:sz w:val="24"/>
          <w:highlight w:val="none"/>
          <w:u w:val="single"/>
        </w:rPr>
        <w:t>（所有分包供应商名称）</w:t>
      </w:r>
      <w:r>
        <w:rPr>
          <w:rFonts w:hint="eastAsia" w:cs="宋体" w:asciiTheme="minorEastAsia" w:hAnsiTheme="minorEastAsia" w:eastAsiaTheme="minorEastAsia"/>
          <w:kern w:val="0"/>
          <w:sz w:val="24"/>
          <w:highlight w:val="none"/>
        </w:rPr>
        <w:t>达成分包意向协议</w:t>
      </w: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一、分包标的及数量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将</w:t>
      </w:r>
      <w:r>
        <w:rPr>
          <w:rFonts w:hint="eastAsia" w:cs="宋体" w:asciiTheme="minorEastAsia" w:hAnsiTheme="minorEastAsia" w:eastAsiaTheme="minorEastAsia"/>
          <w:highlight w:val="none"/>
          <w:u w:val="single"/>
        </w:rPr>
        <w:t xml:space="preserve">  </w:t>
      </w:r>
      <w:r>
        <w:rPr>
          <w:rFonts w:cs="宋体" w:asciiTheme="minorEastAsia" w:hAnsiTheme="minorEastAsia" w:eastAsiaTheme="minorEastAsia"/>
          <w:kern w:val="0"/>
          <w:sz w:val="24"/>
          <w:highlight w:val="none"/>
          <w:u w:val="single"/>
        </w:rPr>
        <w:t xml:space="preserve"> XX工作内容   </w:t>
      </w:r>
      <w:r>
        <w:rPr>
          <w:rFonts w:hint="eastAsia" w:cs="宋体" w:asciiTheme="minorEastAsia" w:hAnsiTheme="minorEastAsia" w:eastAsiaTheme="minorEastAsia"/>
          <w:sz w:val="24"/>
          <w:highlight w:val="none"/>
        </w:rPr>
        <w:t>分包给</w:t>
      </w:r>
      <w:r>
        <w:rPr>
          <w:rFonts w:hint="eastAsia" w:cs="宋体" w:asciiTheme="minorEastAsia" w:hAnsiTheme="minorEastAsia" w:eastAsiaTheme="minorEastAsia"/>
          <w:kern w:val="0"/>
          <w:sz w:val="24"/>
          <w:highlight w:val="none"/>
          <w:u w:val="single"/>
        </w:rPr>
        <w:t>（分包供应商1名称）</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kern w:val="0"/>
          <w:sz w:val="24"/>
          <w:highlight w:val="none"/>
          <w:u w:val="single"/>
        </w:rPr>
        <w:t>（分包供应商2名称），</w:t>
      </w:r>
      <w:r>
        <w:rPr>
          <w:rFonts w:hint="eastAsia" w:cs="宋体" w:asciiTheme="minorEastAsia" w:hAnsiTheme="minorEastAsia" w:eastAsiaTheme="minorEastAsia"/>
          <w:kern w:val="0"/>
          <w:sz w:val="24"/>
          <w:highlight w:val="none"/>
          <w:lang w:val="zh-CN"/>
        </w:rPr>
        <w:t>具备承</w:t>
      </w:r>
      <w:r>
        <w:rPr>
          <w:rFonts w:hint="eastAsia" w:cs="宋体" w:asciiTheme="minorEastAsia" w:hAnsiTheme="minorEastAsia" w:eastAsiaTheme="minorEastAsia"/>
          <w:kern w:val="0"/>
          <w:sz w:val="24"/>
          <w:highlight w:val="none"/>
        </w:rPr>
        <w:t>担</w:t>
      </w:r>
      <w:r>
        <w:rPr>
          <w:rFonts w:hint="eastAsia" w:cs="宋体" w:asciiTheme="minorEastAsia" w:hAnsiTheme="minorEastAsia" w:eastAsiaTheme="minorEastAsia"/>
          <w:kern w:val="0"/>
          <w:sz w:val="24"/>
          <w:highlight w:val="none"/>
          <w:u w:val="single"/>
          <w:lang w:val="zh-CN"/>
        </w:rPr>
        <w:t>XX工作内容</w:t>
      </w:r>
      <w:r>
        <w:rPr>
          <w:rFonts w:hint="eastAsia" w:cs="宋体" w:asciiTheme="minorEastAsia" w:hAnsiTheme="minorEastAsia" w:eastAsiaTheme="minorEastAsia"/>
          <w:kern w:val="0"/>
          <w:sz w:val="24"/>
          <w:highlight w:val="none"/>
          <w:lang w:val="zh-CN"/>
        </w:rPr>
        <w:t>相应资质条件且不得再次分包；</w:t>
      </w:r>
    </w:p>
    <w:p>
      <w:pPr>
        <w:pStyle w:val="5"/>
        <w:ind w:left="664" w:leftChars="316" w:firstLine="229" w:firstLineChars="95"/>
        <w:rPr>
          <w:rFonts w:cs="宋体" w:asciiTheme="minorEastAsia" w:hAnsiTheme="minorEastAsia" w:eastAsiaTheme="minorEastAsia"/>
          <w:kern w:val="0"/>
          <w:sz w:val="24"/>
          <w:szCs w:val="24"/>
          <w:highlight w:val="none"/>
        </w:rPr>
      </w:pPr>
      <w:r>
        <w:rPr>
          <w:rFonts w:hint="eastAsia" w:cs="宋体" w:asciiTheme="minorEastAsia" w:hAnsiTheme="minorEastAsia" w:eastAsiaTheme="minorEastAsia"/>
          <w:kern w:val="0"/>
          <w:sz w:val="24"/>
          <w:szCs w:val="24"/>
          <w:highlight w:val="none"/>
        </w:rPr>
        <w:t>……</w:t>
      </w:r>
    </w:p>
    <w:p>
      <w:pPr>
        <w:rPr>
          <w:rFonts w:asciiTheme="minorEastAsia" w:hAnsiTheme="minorEastAsia" w:eastAsiaTheme="minorEastAsia"/>
          <w:highlight w:val="none"/>
        </w:rPr>
      </w:pPr>
      <w:r>
        <w:rPr>
          <w:rFonts w:hint="eastAsia" w:asciiTheme="minorEastAsia" w:hAnsiTheme="minorEastAsia" w:eastAsiaTheme="minorEastAsia"/>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二、分包供应商中小企业合同份额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cs="宋体" w:asciiTheme="minorEastAsia" w:hAnsiTheme="minorEastAsia" w:eastAsiaTheme="minorEastAsia"/>
          <w:kern w:val="0"/>
          <w:sz w:val="24"/>
          <w:highlight w:val="none"/>
        </w:rPr>
        <w:t>1、</w:t>
      </w:r>
      <w:r>
        <w:rPr>
          <w:rFonts w:hint="eastAsia" w:cs="宋体" w:asciiTheme="minorEastAsia" w:hAnsiTheme="minorEastAsia" w:eastAsiaTheme="minorEastAsia"/>
          <w:kern w:val="0"/>
          <w:sz w:val="24"/>
          <w:highlight w:val="none"/>
          <w:u w:val="single"/>
        </w:rPr>
        <w:t>（分包供应商X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……）提供的服务全部由小微企业承接，</w:t>
      </w:r>
      <w:r>
        <w:rPr>
          <w:rFonts w:hint="eastAsia" w:cs="宋体" w:asciiTheme="minorEastAsia" w:hAnsiTheme="minorEastAsia" w:eastAsiaTheme="minorEastAsia"/>
          <w:kern w:val="0"/>
          <w:sz w:val="24"/>
          <w:highlight w:val="none"/>
        </w:rPr>
        <w:t>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highlight w:val="none"/>
        </w:rPr>
        <w:t>。</w:t>
      </w:r>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要求合同分包形式参加的项目或采购包，供应商按招标文件第一部分招标公告申请人的资格要求中规定的</w:t>
      </w:r>
      <w:r>
        <w:rPr>
          <w:rFonts w:hint="eastAsia" w:cs="宋体" w:asciiTheme="minorEastAsia" w:hAnsiTheme="minorEastAsia" w:eastAsiaTheme="minorEastAsia"/>
          <w:b/>
          <w:kern w:val="0"/>
          <w:sz w:val="24"/>
          <w:highlight w:val="none"/>
          <w:lang w:val="zh-CN"/>
        </w:rPr>
        <w:t>分包意向协议</w:t>
      </w:r>
      <w:r>
        <w:rPr>
          <w:rFonts w:hint="eastAsia" w:cs="宋体" w:asciiTheme="minorEastAsia" w:hAnsiTheme="minorEastAsia" w:eastAsiaTheme="minorEastAsia"/>
          <w:b/>
          <w:bCs/>
          <w:sz w:val="24"/>
          <w:highlight w:val="none"/>
        </w:rPr>
        <w:t>中中小企业、小微企业合同金额应当达到的比例要求填写。</w:t>
      </w:r>
      <w:r>
        <w:rPr>
          <w:rFonts w:hint="eastAsia" w:cs="宋体" w:asciiTheme="minorEastAsia" w:hAnsiTheme="minorEastAsia" w:eastAsiaTheme="minorEastAsia"/>
          <w:b/>
          <w:bCs/>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三、分包工作履行期限、地点、方式</w:t>
      </w:r>
    </w:p>
    <w:p>
      <w:pPr>
        <w:snapToGrid w:val="0"/>
        <w:spacing w:line="360" w:lineRule="auto"/>
        <w:ind w:firstLine="576"/>
        <w:rPr>
          <w:rFonts w:cs="宋体" w:asciiTheme="minorEastAsia" w:hAnsiTheme="minorEastAsia" w:eastAsiaTheme="minorEastAsia"/>
          <w:highlight w:val="none"/>
          <w:u w:val="single"/>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四、质量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五、价款或者报酬</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六、违约责任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七、争议解决的办法</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 xml:space="preserve">  。                                           投标人名称(电子签名)：</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分包供应商名称(电子签名/公章)：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pacing w:line="360" w:lineRule="auto"/>
        <w:jc w:val="left"/>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附件</w:t>
      </w:r>
      <w:r>
        <w:rPr>
          <w:rFonts w:cs="宋体" w:asciiTheme="minorEastAsia" w:hAnsiTheme="minorEastAsia" w:eastAsiaTheme="minorEastAsia"/>
          <w:b/>
          <w:sz w:val="36"/>
          <w:szCs w:val="20"/>
          <w:highlight w:val="none"/>
        </w:rPr>
        <w:t>7</w:t>
      </w:r>
      <w:r>
        <w:rPr>
          <w:rFonts w:hint="eastAsia" w:cs="宋体" w:asciiTheme="minorEastAsia" w:hAnsiTheme="minorEastAsia" w:eastAsiaTheme="minorEastAsia"/>
          <w:b/>
          <w:sz w:val="36"/>
          <w:szCs w:val="20"/>
          <w:highlight w:val="none"/>
        </w:rPr>
        <w:t>：中小企业声明函</w:t>
      </w:r>
    </w:p>
    <w:p>
      <w:pPr>
        <w:spacing w:line="360" w:lineRule="auto"/>
        <w:jc w:val="center"/>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sz w:val="32"/>
          <w:szCs w:val="32"/>
          <w:highlight w:val="none"/>
        </w:rPr>
        <w:t>中小企业声明函（服务）</w:t>
      </w:r>
    </w:p>
    <w:p>
      <w:pPr>
        <w:spacing w:line="360" w:lineRule="auto"/>
        <w:ind w:firstLine="360" w:firstLineChars="1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highlight w:val="none"/>
          <w:u w:val="single"/>
          <w:lang w:eastAsia="zh-CN"/>
        </w:rPr>
        <w:t>中共杭州市西湖区委政法委员会</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lang w:eastAsia="zh-CN"/>
        </w:rPr>
        <w:t>“民呼我为”西湖区一体化智治平台项目二期建设项目</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采购活动，服务全部由符合政策要求的中小企业承接。相关企业（含联合体中的中小企业、签订分包意向协议的中小企业）的具体情况如下：</w:t>
      </w:r>
    </w:p>
    <w:p>
      <w:pPr>
        <w:numPr>
          <w:ilvl w:val="0"/>
          <w:numId w:val="6"/>
        </w:numPr>
        <w:spacing w:line="360" w:lineRule="auto"/>
        <w:ind w:firstLine="480" w:firstLineChars="200"/>
        <w:jc w:val="left"/>
        <w:rPr>
          <w:rFonts w:hint="eastAsia" w:cs="宋体" w:asciiTheme="minorEastAsia" w:hAnsiTheme="minorEastAsia" w:eastAsiaTheme="minorEastAsia"/>
          <w:sz w:val="24"/>
          <w:highlight w:val="none"/>
        </w:rPr>
      </w:pPr>
      <w:r>
        <w:rPr>
          <w:rFonts w:hint="eastAsia" w:ascii="宋体" w:hAnsi="宋体" w:cs="宋体"/>
          <w:color w:val="auto"/>
          <w:sz w:val="24"/>
          <w:highlight w:val="none"/>
          <w:u w:val="single"/>
        </w:rPr>
        <w:t>（标的名称</w:t>
      </w:r>
      <w:r>
        <w:rPr>
          <w:rFonts w:hint="eastAsia" w:ascii="宋体" w:hAnsi="宋体" w:cs="宋体"/>
          <w:color w:val="auto"/>
          <w:sz w:val="24"/>
          <w:highlight w:val="none"/>
          <w:u w:val="single"/>
          <w:lang w:eastAsia="zh-CN"/>
        </w:rPr>
        <w:t>）</w:t>
      </w:r>
      <w:r>
        <w:rPr>
          <w:rFonts w:hint="default" w:ascii="宋体" w:hAnsi="宋体" w:cs="宋体"/>
          <w:color w:val="auto"/>
          <w:sz w:val="24"/>
          <w:highlight w:val="none"/>
          <w:u w:val="single"/>
          <w:lang w:val="en-US" w:eastAsia="zh-CN"/>
        </w:rPr>
        <w:t xml:space="preserve"> </w:t>
      </w:r>
      <w:r>
        <w:rPr>
          <w:rFonts w:hint="eastAsia" w:cs="宋体" w:asciiTheme="minorEastAsia" w:hAnsiTheme="minorEastAsia" w:eastAsiaTheme="minorEastAsia"/>
          <w:sz w:val="24"/>
          <w:highlight w:val="none"/>
        </w:rPr>
        <w:t>，属于</w:t>
      </w:r>
      <w:r>
        <w:rPr>
          <w:rFonts w:hint="eastAsia" w:ascii="宋体" w:hAnsi="宋体" w:cs="宋体"/>
          <w:color w:val="auto"/>
          <w:sz w:val="24"/>
          <w:highlight w:val="none"/>
          <w:u w:val="single"/>
        </w:rPr>
        <w:t>（采购文件中明确的所属行业）</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default" w:cs="宋体" w:asciiTheme="minorEastAsia" w:hAnsiTheme="minorEastAsia" w:eastAsiaTheme="minorEastAsia"/>
          <w:sz w:val="24"/>
          <w:highlight w:val="none"/>
          <w:lang w:val="en-US"/>
        </w:rPr>
        <w:t>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 xml:space="preserve"> </w:t>
      </w:r>
      <w:r>
        <w:rPr>
          <w:rFonts w:hint="eastAsia" w:ascii="宋体" w:hAnsi="宋体" w:cs="宋体"/>
          <w:color w:val="auto"/>
          <w:sz w:val="24"/>
          <w:highlight w:val="none"/>
          <w:u w:val="single"/>
        </w:rPr>
        <w:t>（标的名称）</w:t>
      </w:r>
      <w:r>
        <w:rPr>
          <w:rFonts w:hint="default" w:ascii="宋体" w:hAnsi="宋体" w:cs="宋体"/>
          <w:color w:val="auto"/>
          <w:sz w:val="24"/>
          <w:highlight w:val="none"/>
          <w:u w:val="single"/>
          <w:lang w:val="en-US"/>
        </w:rPr>
        <w:t xml:space="preserve"> </w:t>
      </w:r>
      <w:r>
        <w:rPr>
          <w:rFonts w:hint="eastAsia" w:cs="宋体" w:asciiTheme="minorEastAsia" w:hAnsiTheme="minorEastAsia" w:eastAsiaTheme="minorEastAsia"/>
          <w:sz w:val="24"/>
          <w:highlight w:val="none"/>
        </w:rPr>
        <w:t>，属于</w:t>
      </w:r>
      <w:r>
        <w:rPr>
          <w:rFonts w:hint="eastAsia" w:cs="宋体" w:asciiTheme="minorEastAsia" w:hAnsiTheme="minorEastAsia" w:eastAsiaTheme="minorEastAsia"/>
          <w:sz w:val="24"/>
          <w:highlight w:val="none"/>
          <w:u w:val="single"/>
        </w:rPr>
        <w:t xml:space="preserve"> </w:t>
      </w:r>
      <w:r>
        <w:rPr>
          <w:rFonts w:hint="eastAsia" w:ascii="宋体" w:hAnsi="宋体" w:cs="宋体"/>
          <w:color w:val="auto"/>
          <w:sz w:val="24"/>
          <w:highlight w:val="none"/>
          <w:u w:val="single"/>
        </w:rPr>
        <w:t>（采购文件中明确的所属行业）</w:t>
      </w:r>
      <w:r>
        <w:rPr>
          <w:rFonts w:hint="default" w:cs="宋体" w:asciiTheme="minorEastAsia" w:hAnsiTheme="minorEastAsia" w:eastAsiaTheme="minorEastAsia"/>
          <w:kern w:val="0"/>
          <w:sz w:val="24"/>
          <w:highlight w:val="none"/>
          <w:u w:val="single"/>
          <w:lang w:val="en-US"/>
        </w:rPr>
        <w:t xml:space="preserve"> </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pStyle w:val="5"/>
        <w:numPr>
          <w:ilvl w:val="0"/>
          <w:numId w:val="0"/>
        </w:numPr>
        <w:ind w:leftChars="0"/>
        <w:rPr>
          <w:rFonts w:hint="default"/>
          <w:b w:val="0"/>
          <w:bCs w:val="0"/>
          <w:sz w:val="24"/>
          <w:szCs w:val="24"/>
          <w:highlight w:val="none"/>
          <w:lang w:val="en-US"/>
        </w:rPr>
      </w:pPr>
      <w:r>
        <w:rPr>
          <w:rFonts w:hint="default"/>
          <w:b w:val="0"/>
          <w:bCs w:val="0"/>
          <w:sz w:val="24"/>
          <w:szCs w:val="24"/>
          <w:highlight w:val="none"/>
          <w:lang w:val="en-US"/>
        </w:rPr>
        <w:t>......</w:t>
      </w:r>
    </w:p>
    <w:p>
      <w:pPr>
        <w:rPr>
          <w:rFonts w:hint="default"/>
          <w:highlight w:val="none"/>
          <w:lang w:val="en-US"/>
        </w:rPr>
      </w:pP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投标人名称（电子签名）：</w:t>
      </w:r>
    </w:p>
    <w:p>
      <w:pPr>
        <w:spacing w:line="360" w:lineRule="auto"/>
        <w:ind w:right="1120" w:firstLine="4680" w:firstLineChars="19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spacing w:line="360" w:lineRule="auto"/>
        <w:ind w:firstLine="310" w:firstLineChars="147"/>
        <w:jc w:val="left"/>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注：</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Microsoft Sans Serif"/>
    <w:panose1 w:val="00000000000000000000"/>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Times New Roman Regular">
    <w:altName w:val="Times New Roman"/>
    <w:panose1 w:val="00000000000000000000"/>
    <w:charset w:val="00"/>
    <w:family w:val="auto"/>
    <w:pitch w:val="default"/>
    <w:sig w:usb0="00000000" w:usb1="00000000" w:usb2="00000001" w:usb3="00000000" w:csb0="400001BF" w:csb1="DFF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bookmarkStart w:id="476" w:name="_Toc164085800"/>
    <w:bookmarkStart w:id="477" w:name="_Toc91899912"/>
    <w:bookmarkStart w:id="478" w:name="_Toc36110187"/>
    <w:bookmarkStart w:id="479" w:name="_Toc131845147"/>
    <w:r>
      <w:rPr>
        <w:rFonts w:hint="eastAsia" w:ascii="仿宋_GB2312" w:eastAsia="仿宋_GB2312"/>
        <w:kern w:val="0"/>
        <w:szCs w:val="21"/>
      </w:rPr>
      <w:t xml:space="preserve"> 页</w:t>
    </w:r>
    <w:bookmarkEnd w:id="476"/>
    <w:bookmarkEnd w:id="477"/>
    <w:bookmarkEnd w:id="478"/>
    <w:bookmarkEnd w:id="47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rPr>
        <w:rFonts w:hint="eastAsia"/>
        <w:lang w:eastAsia="zh-CN"/>
      </w:rPr>
      <w:t>杭州市西湖区</w:t>
    </w:r>
    <w:r>
      <w:t>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rPr>
        <w:rFonts w:hint="eastAsia"/>
        <w:lang w:eastAsia="zh-CN"/>
      </w:rPr>
      <w:t>杭州市西湖区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eastAsia="zh-CN"/>
      </w:rPr>
      <w:t>杭州市</w:t>
    </w:r>
    <w:r>
      <w:rPr>
        <w:rFonts w:hint="eastAsia"/>
        <w:lang w:val="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w:t>
    </w:r>
    <w:r>
      <w:rPr>
        <w:rFonts w:hint="eastAsia"/>
        <w:lang w:eastAsia="zh-CN"/>
      </w:rPr>
      <w:t>杭州市西湖区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rPr>
        <w:rFonts w:hint="eastAsia"/>
        <w:lang w:eastAsia="zh-CN"/>
      </w:rPr>
      <w:t>杭州市西湖区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rPr>
        <w:rFonts w:hint="eastAsia"/>
        <w:lang w:eastAsia="zh-CN"/>
      </w:rPr>
      <w:t>杭州市西湖区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rPr>
        <w:rFonts w:hint="eastAsia"/>
        <w:lang w:eastAsia="zh-CN"/>
      </w:rPr>
      <w:t>杭州市西湖区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rPr>
        <w:rFonts w:hint="eastAsia"/>
        <w:lang w:eastAsia="zh-CN"/>
      </w:rPr>
      <w:t>杭州市西湖区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rPr>
        <w:rFonts w:hint="eastAsia"/>
        <w:lang w:eastAsia="zh-CN"/>
      </w:rPr>
      <w:t>杭州市西湖区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lang w:eastAsia="zh-CN"/>
      </w:rPr>
      <w:t>杭州市西湖区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04BDB"/>
    <w:multiLevelType w:val="singleLevel"/>
    <w:tmpl w:val="9A504BDB"/>
    <w:lvl w:ilvl="0" w:tentative="0">
      <w:start w:val="1"/>
      <w:numFmt w:val="decimal"/>
      <w:suff w:val="nothing"/>
      <w:lvlText w:val="%1）"/>
      <w:lvlJc w:val="left"/>
    </w:lvl>
  </w:abstractNum>
  <w:abstractNum w:abstractNumId="1">
    <w:nsid w:val="FF1C3F8A"/>
    <w:multiLevelType w:val="singleLevel"/>
    <w:tmpl w:val="FF1C3F8A"/>
    <w:lvl w:ilvl="0" w:tentative="0">
      <w:start w:val="1"/>
      <w:numFmt w:val="decimal"/>
      <w:lvlText w:val="%1)"/>
      <w:lvlJc w:val="left"/>
      <w:pPr>
        <w:ind w:left="425" w:hanging="425"/>
      </w:pPr>
      <w:rPr>
        <w:rFonts w:hint="default"/>
        <w:b w:val="0"/>
        <w:bCs w:val="0"/>
      </w:rPr>
    </w:lvl>
  </w:abstractNum>
  <w:abstractNum w:abstractNumId="2">
    <w:nsid w:val="0D27EAB7"/>
    <w:multiLevelType w:val="singleLevel"/>
    <w:tmpl w:val="0D27EAB7"/>
    <w:lvl w:ilvl="0" w:tentative="0">
      <w:start w:val="1"/>
      <w:numFmt w:val="decimal"/>
      <w:suff w:val="nothing"/>
      <w:lvlText w:val="（%1）"/>
      <w:lvlJc w:val="left"/>
    </w:lvl>
  </w:abstractNum>
  <w:abstractNum w:abstractNumId="3">
    <w:nsid w:val="292A329A"/>
    <w:multiLevelType w:val="singleLevel"/>
    <w:tmpl w:val="292A329A"/>
    <w:lvl w:ilvl="0" w:tentative="0">
      <w:start w:val="1"/>
      <w:numFmt w:val="decimal"/>
      <w:suff w:val="space"/>
      <w:lvlText w:val="%1."/>
      <w:lvlJc w:val="left"/>
    </w:lvl>
  </w:abstractNum>
  <w:abstractNum w:abstractNumId="4">
    <w:nsid w:val="484A2C00"/>
    <w:multiLevelType w:val="singleLevel"/>
    <w:tmpl w:val="484A2C00"/>
    <w:lvl w:ilvl="0" w:tentative="0">
      <w:start w:val="8"/>
      <w:numFmt w:val="decimal"/>
      <w:suff w:val="nothing"/>
      <w:lvlText w:val="%1）"/>
      <w:lvlJc w:val="left"/>
    </w:lvl>
  </w:abstractNum>
  <w:abstractNum w:abstractNumId="5">
    <w:nsid w:val="72138EE5"/>
    <w:multiLevelType w:val="singleLevel"/>
    <w:tmpl w:val="72138EE5"/>
    <w:lvl w:ilvl="0" w:tentative="0">
      <w:start w:val="1"/>
      <w:numFmt w:val="decimal"/>
      <w:suff w:val="nothing"/>
      <w:lvlText w:val="（%1）"/>
      <w:lvlJc w:val="left"/>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ODAyZjczNTllZTQ5NzNjYzVjZWI2YmEyMWU5Y2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A6"/>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38E"/>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A02"/>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325"/>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EB1"/>
    <w:rsid w:val="00147032"/>
    <w:rsid w:val="00147EA7"/>
    <w:rsid w:val="00150199"/>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3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69"/>
    <w:rsid w:val="001E0F77"/>
    <w:rsid w:val="001E17E3"/>
    <w:rsid w:val="001E2052"/>
    <w:rsid w:val="001E2492"/>
    <w:rsid w:val="001E257C"/>
    <w:rsid w:val="001E286C"/>
    <w:rsid w:val="001E2F34"/>
    <w:rsid w:val="001E35EE"/>
    <w:rsid w:val="001E4B2C"/>
    <w:rsid w:val="001E507F"/>
    <w:rsid w:val="001E56C2"/>
    <w:rsid w:val="001E59FB"/>
    <w:rsid w:val="001E6625"/>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7E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B29"/>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041F"/>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BC"/>
    <w:rsid w:val="002866EC"/>
    <w:rsid w:val="0028744E"/>
    <w:rsid w:val="002876D2"/>
    <w:rsid w:val="00287936"/>
    <w:rsid w:val="00287BB7"/>
    <w:rsid w:val="002903C5"/>
    <w:rsid w:val="0029041B"/>
    <w:rsid w:val="00290A99"/>
    <w:rsid w:val="00290EAF"/>
    <w:rsid w:val="0029159A"/>
    <w:rsid w:val="00291CF1"/>
    <w:rsid w:val="00292AA1"/>
    <w:rsid w:val="00293A93"/>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CE2"/>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BC"/>
    <w:rsid w:val="002E05F2"/>
    <w:rsid w:val="002E0E87"/>
    <w:rsid w:val="002E12FA"/>
    <w:rsid w:val="002E13CF"/>
    <w:rsid w:val="002E1498"/>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AC4"/>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3FA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37"/>
    <w:rsid w:val="003E51FF"/>
    <w:rsid w:val="003E5857"/>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A4D"/>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CE9"/>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4653"/>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58"/>
    <w:rsid w:val="00445874"/>
    <w:rsid w:val="00445C38"/>
    <w:rsid w:val="0044686B"/>
    <w:rsid w:val="004475F7"/>
    <w:rsid w:val="0045057B"/>
    <w:rsid w:val="0045069B"/>
    <w:rsid w:val="00450B22"/>
    <w:rsid w:val="00451709"/>
    <w:rsid w:val="004518FA"/>
    <w:rsid w:val="00451A02"/>
    <w:rsid w:val="0045277C"/>
    <w:rsid w:val="00453507"/>
    <w:rsid w:val="00453592"/>
    <w:rsid w:val="004542D6"/>
    <w:rsid w:val="004543AB"/>
    <w:rsid w:val="004545EC"/>
    <w:rsid w:val="00455746"/>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6AB"/>
    <w:rsid w:val="004A1AFA"/>
    <w:rsid w:val="004A1EA7"/>
    <w:rsid w:val="004A26F5"/>
    <w:rsid w:val="004A2EF8"/>
    <w:rsid w:val="004A3A21"/>
    <w:rsid w:val="004A3B28"/>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5C2"/>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BE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30"/>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269"/>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1BF"/>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674"/>
    <w:rsid w:val="005E1AB4"/>
    <w:rsid w:val="005E255B"/>
    <w:rsid w:val="005E2CF7"/>
    <w:rsid w:val="005E37FD"/>
    <w:rsid w:val="005E4543"/>
    <w:rsid w:val="005E4A1C"/>
    <w:rsid w:val="005E56C9"/>
    <w:rsid w:val="005E5CF7"/>
    <w:rsid w:val="005E5FF0"/>
    <w:rsid w:val="005E642A"/>
    <w:rsid w:val="005E65A7"/>
    <w:rsid w:val="005E6768"/>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3AD0"/>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C3E"/>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CF"/>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3FE"/>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2FE1"/>
    <w:rsid w:val="006E37C6"/>
    <w:rsid w:val="006E3CF3"/>
    <w:rsid w:val="006E41ED"/>
    <w:rsid w:val="006E4667"/>
    <w:rsid w:val="006E46B7"/>
    <w:rsid w:val="006E475A"/>
    <w:rsid w:val="006E486D"/>
    <w:rsid w:val="006E4880"/>
    <w:rsid w:val="006E48BB"/>
    <w:rsid w:val="006E6D4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2A7"/>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2FE"/>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380"/>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3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2FA6"/>
    <w:rsid w:val="0081362F"/>
    <w:rsid w:val="0081383A"/>
    <w:rsid w:val="0081497F"/>
    <w:rsid w:val="00814B90"/>
    <w:rsid w:val="00814FC7"/>
    <w:rsid w:val="0081525A"/>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8ED"/>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1F5A"/>
    <w:rsid w:val="0085237B"/>
    <w:rsid w:val="0085291C"/>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E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0B"/>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3B"/>
    <w:rsid w:val="009245CC"/>
    <w:rsid w:val="0092490A"/>
    <w:rsid w:val="00924E4B"/>
    <w:rsid w:val="00925A3E"/>
    <w:rsid w:val="009261DB"/>
    <w:rsid w:val="00926939"/>
    <w:rsid w:val="00926DAD"/>
    <w:rsid w:val="00926F4C"/>
    <w:rsid w:val="009272FD"/>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6B52"/>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99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050"/>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343"/>
    <w:rsid w:val="009F5670"/>
    <w:rsid w:val="009F56C0"/>
    <w:rsid w:val="009F5C76"/>
    <w:rsid w:val="00A000C5"/>
    <w:rsid w:val="00A007B4"/>
    <w:rsid w:val="00A00930"/>
    <w:rsid w:val="00A00CA0"/>
    <w:rsid w:val="00A00E00"/>
    <w:rsid w:val="00A01221"/>
    <w:rsid w:val="00A012A8"/>
    <w:rsid w:val="00A012F1"/>
    <w:rsid w:val="00A0159B"/>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67D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23E"/>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1D9"/>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00D"/>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4FE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028"/>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1871"/>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92E"/>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3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9BE"/>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9C5"/>
    <w:rsid w:val="00D31B07"/>
    <w:rsid w:val="00D31B9D"/>
    <w:rsid w:val="00D3272E"/>
    <w:rsid w:val="00D32D38"/>
    <w:rsid w:val="00D32FA0"/>
    <w:rsid w:val="00D33112"/>
    <w:rsid w:val="00D331CB"/>
    <w:rsid w:val="00D33C5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D33"/>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C4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15"/>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41A"/>
    <w:rsid w:val="00DF1BA8"/>
    <w:rsid w:val="00DF1F63"/>
    <w:rsid w:val="00DF28F2"/>
    <w:rsid w:val="00DF2BFF"/>
    <w:rsid w:val="00DF339B"/>
    <w:rsid w:val="00DF3798"/>
    <w:rsid w:val="00DF393E"/>
    <w:rsid w:val="00DF3AC9"/>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4D"/>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AEE"/>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6D28"/>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A6D"/>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340"/>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8DA"/>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97A"/>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55BFE"/>
    <w:rsid w:val="01EC2C57"/>
    <w:rsid w:val="025F0711"/>
    <w:rsid w:val="026B2E25"/>
    <w:rsid w:val="027D46B1"/>
    <w:rsid w:val="02824D4D"/>
    <w:rsid w:val="02DC4B10"/>
    <w:rsid w:val="02DD76CE"/>
    <w:rsid w:val="02F36323"/>
    <w:rsid w:val="02F5619C"/>
    <w:rsid w:val="0326446A"/>
    <w:rsid w:val="032D5555"/>
    <w:rsid w:val="036634D2"/>
    <w:rsid w:val="03DD35E4"/>
    <w:rsid w:val="04076900"/>
    <w:rsid w:val="041A5A3B"/>
    <w:rsid w:val="04222EE7"/>
    <w:rsid w:val="042311BA"/>
    <w:rsid w:val="042B157A"/>
    <w:rsid w:val="045E0623"/>
    <w:rsid w:val="048F763B"/>
    <w:rsid w:val="049F330E"/>
    <w:rsid w:val="04AA775C"/>
    <w:rsid w:val="04AF1889"/>
    <w:rsid w:val="04F66F48"/>
    <w:rsid w:val="05251E14"/>
    <w:rsid w:val="053026F6"/>
    <w:rsid w:val="05A16594"/>
    <w:rsid w:val="05A7762D"/>
    <w:rsid w:val="060E5941"/>
    <w:rsid w:val="06110FAF"/>
    <w:rsid w:val="06145ED4"/>
    <w:rsid w:val="061815C9"/>
    <w:rsid w:val="06493CA7"/>
    <w:rsid w:val="065A6178"/>
    <w:rsid w:val="066F1CF3"/>
    <w:rsid w:val="06930BB8"/>
    <w:rsid w:val="07245D42"/>
    <w:rsid w:val="07264C62"/>
    <w:rsid w:val="076C1A79"/>
    <w:rsid w:val="0779354C"/>
    <w:rsid w:val="07CD2D3F"/>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D7AD0"/>
    <w:rsid w:val="0A5B7E63"/>
    <w:rsid w:val="0AA374A5"/>
    <w:rsid w:val="0AAB7649"/>
    <w:rsid w:val="0ABC5606"/>
    <w:rsid w:val="0B30404E"/>
    <w:rsid w:val="0B4C6C14"/>
    <w:rsid w:val="0B547599"/>
    <w:rsid w:val="0B631A88"/>
    <w:rsid w:val="0B683D45"/>
    <w:rsid w:val="0B7F3F11"/>
    <w:rsid w:val="0B884417"/>
    <w:rsid w:val="0BCB0FB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917F2C"/>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7EA769B"/>
    <w:rsid w:val="1830729E"/>
    <w:rsid w:val="1870062C"/>
    <w:rsid w:val="18817102"/>
    <w:rsid w:val="18830A15"/>
    <w:rsid w:val="18852B28"/>
    <w:rsid w:val="188B5321"/>
    <w:rsid w:val="19932372"/>
    <w:rsid w:val="19A20DD5"/>
    <w:rsid w:val="19AE03F1"/>
    <w:rsid w:val="1A071A03"/>
    <w:rsid w:val="1A1F16AE"/>
    <w:rsid w:val="1A3B5C77"/>
    <w:rsid w:val="1A984BAD"/>
    <w:rsid w:val="1AB8220E"/>
    <w:rsid w:val="1AC83A62"/>
    <w:rsid w:val="1AE4166C"/>
    <w:rsid w:val="1AF06CFB"/>
    <w:rsid w:val="1AF11B8D"/>
    <w:rsid w:val="1B11359C"/>
    <w:rsid w:val="1B2A271F"/>
    <w:rsid w:val="1B530544"/>
    <w:rsid w:val="1B713184"/>
    <w:rsid w:val="1BA209CF"/>
    <w:rsid w:val="1BB4777D"/>
    <w:rsid w:val="1BD75AB8"/>
    <w:rsid w:val="1C0459C2"/>
    <w:rsid w:val="1C1B3B4A"/>
    <w:rsid w:val="1C2245B4"/>
    <w:rsid w:val="1C5336CB"/>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9B07CA"/>
    <w:rsid w:val="1EA703CC"/>
    <w:rsid w:val="1EB7330C"/>
    <w:rsid w:val="1F0A0FF3"/>
    <w:rsid w:val="1F32070F"/>
    <w:rsid w:val="1F4629DA"/>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730411"/>
    <w:rsid w:val="22BE6801"/>
    <w:rsid w:val="233500BF"/>
    <w:rsid w:val="23377FF7"/>
    <w:rsid w:val="236B425F"/>
    <w:rsid w:val="23836192"/>
    <w:rsid w:val="23901F29"/>
    <w:rsid w:val="239C0061"/>
    <w:rsid w:val="23B908A4"/>
    <w:rsid w:val="23E95BEF"/>
    <w:rsid w:val="23FD0064"/>
    <w:rsid w:val="24131E7D"/>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C3139C"/>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9558BC"/>
    <w:rsid w:val="2BA50BF7"/>
    <w:rsid w:val="2BBF00EC"/>
    <w:rsid w:val="2BC37CFD"/>
    <w:rsid w:val="2BD5237F"/>
    <w:rsid w:val="2BE536CE"/>
    <w:rsid w:val="2BE758D9"/>
    <w:rsid w:val="2C09049E"/>
    <w:rsid w:val="2C0A653C"/>
    <w:rsid w:val="2C191F85"/>
    <w:rsid w:val="2C1F33CD"/>
    <w:rsid w:val="2CE82D6F"/>
    <w:rsid w:val="2D343236"/>
    <w:rsid w:val="2DD15014"/>
    <w:rsid w:val="2DF72DE4"/>
    <w:rsid w:val="2E0220AF"/>
    <w:rsid w:val="2E4B082A"/>
    <w:rsid w:val="2E5D4E86"/>
    <w:rsid w:val="2E5D790B"/>
    <w:rsid w:val="2E9172AF"/>
    <w:rsid w:val="2E9A3C18"/>
    <w:rsid w:val="2EBB0FEE"/>
    <w:rsid w:val="2EC63002"/>
    <w:rsid w:val="2F06420C"/>
    <w:rsid w:val="2F0A6B38"/>
    <w:rsid w:val="2F946CCB"/>
    <w:rsid w:val="2FB37440"/>
    <w:rsid w:val="2FD25781"/>
    <w:rsid w:val="2FDC745C"/>
    <w:rsid w:val="2FFD7934"/>
    <w:rsid w:val="30244583"/>
    <w:rsid w:val="30733ACD"/>
    <w:rsid w:val="308C3862"/>
    <w:rsid w:val="309379D8"/>
    <w:rsid w:val="30A270F7"/>
    <w:rsid w:val="30DF1478"/>
    <w:rsid w:val="30EC586F"/>
    <w:rsid w:val="319C6071"/>
    <w:rsid w:val="31AC537E"/>
    <w:rsid w:val="31B84FE2"/>
    <w:rsid w:val="31E3679B"/>
    <w:rsid w:val="31E732FD"/>
    <w:rsid w:val="32517576"/>
    <w:rsid w:val="32BE5C2C"/>
    <w:rsid w:val="32FB6478"/>
    <w:rsid w:val="33263B3F"/>
    <w:rsid w:val="336963EB"/>
    <w:rsid w:val="33816EEB"/>
    <w:rsid w:val="33BD0E2C"/>
    <w:rsid w:val="33CA1BD7"/>
    <w:rsid w:val="33E571B5"/>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9225B7"/>
    <w:rsid w:val="37EE7094"/>
    <w:rsid w:val="38132832"/>
    <w:rsid w:val="38296C89"/>
    <w:rsid w:val="383002EB"/>
    <w:rsid w:val="38586797"/>
    <w:rsid w:val="38BC0149"/>
    <w:rsid w:val="38D87D1C"/>
    <w:rsid w:val="39636459"/>
    <w:rsid w:val="396B7F6C"/>
    <w:rsid w:val="39B417A9"/>
    <w:rsid w:val="39FC5695"/>
    <w:rsid w:val="3A006D8E"/>
    <w:rsid w:val="3A3651E5"/>
    <w:rsid w:val="3A744481"/>
    <w:rsid w:val="3A8C7BEF"/>
    <w:rsid w:val="3A906246"/>
    <w:rsid w:val="3B09128A"/>
    <w:rsid w:val="3B2349B7"/>
    <w:rsid w:val="3B616CFF"/>
    <w:rsid w:val="3B6259F6"/>
    <w:rsid w:val="3B8C414B"/>
    <w:rsid w:val="3B976654"/>
    <w:rsid w:val="3BC01EFC"/>
    <w:rsid w:val="3BCA786A"/>
    <w:rsid w:val="3BD31E2F"/>
    <w:rsid w:val="3BF15831"/>
    <w:rsid w:val="3C105946"/>
    <w:rsid w:val="3C471448"/>
    <w:rsid w:val="3C5F759A"/>
    <w:rsid w:val="3C6C525A"/>
    <w:rsid w:val="3C8A7746"/>
    <w:rsid w:val="3CAF5805"/>
    <w:rsid w:val="3CCE23CB"/>
    <w:rsid w:val="3CD17D17"/>
    <w:rsid w:val="3D05661E"/>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1591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814F07"/>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B6520"/>
    <w:rsid w:val="5397158E"/>
    <w:rsid w:val="54013861"/>
    <w:rsid w:val="54487265"/>
    <w:rsid w:val="544D6070"/>
    <w:rsid w:val="54605E1E"/>
    <w:rsid w:val="54653AAC"/>
    <w:rsid w:val="54B3506A"/>
    <w:rsid w:val="54CA0D16"/>
    <w:rsid w:val="54DD4057"/>
    <w:rsid w:val="54E7490F"/>
    <w:rsid w:val="550764A4"/>
    <w:rsid w:val="550B2BF6"/>
    <w:rsid w:val="55127347"/>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63693"/>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56D0B"/>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A14BF"/>
    <w:rsid w:val="624F3E49"/>
    <w:rsid w:val="62632286"/>
    <w:rsid w:val="62885958"/>
    <w:rsid w:val="62A44442"/>
    <w:rsid w:val="62F40B65"/>
    <w:rsid w:val="62FC2CFE"/>
    <w:rsid w:val="63024505"/>
    <w:rsid w:val="630B44AB"/>
    <w:rsid w:val="632C3A03"/>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563F5"/>
    <w:rsid w:val="66195831"/>
    <w:rsid w:val="662E75B1"/>
    <w:rsid w:val="66342C2E"/>
    <w:rsid w:val="663E784C"/>
    <w:rsid w:val="668B6A45"/>
    <w:rsid w:val="67284557"/>
    <w:rsid w:val="672F3F24"/>
    <w:rsid w:val="673E055F"/>
    <w:rsid w:val="67551CE3"/>
    <w:rsid w:val="67A22552"/>
    <w:rsid w:val="67B22DCC"/>
    <w:rsid w:val="67BE71AA"/>
    <w:rsid w:val="67D90273"/>
    <w:rsid w:val="67DE5875"/>
    <w:rsid w:val="67E55852"/>
    <w:rsid w:val="67EB1AB4"/>
    <w:rsid w:val="67FA1285"/>
    <w:rsid w:val="68551F4F"/>
    <w:rsid w:val="68755E70"/>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EE6645"/>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17E2E"/>
    <w:rsid w:val="76826699"/>
    <w:rsid w:val="76C87133"/>
    <w:rsid w:val="76CD08D5"/>
    <w:rsid w:val="76DB4B92"/>
    <w:rsid w:val="77052AA4"/>
    <w:rsid w:val="7705663A"/>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B31E2"/>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7C4819"/>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8"/>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319"/>
    <w:qFormat/>
    <w:uiPriority w:val="0"/>
    <w:pPr>
      <w:ind w:firstLine="420"/>
    </w:pPr>
    <w:rPr>
      <w:rFonts w:hAnsi="Calibri" w:cs="Times New Roman"/>
      <w:snapToGrid/>
      <w:szCs w:val="20"/>
    </w:rPr>
  </w:style>
  <w:style w:type="paragraph" w:styleId="7">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263"/>
    <w:qFormat/>
    <w:uiPriority w:val="0"/>
    <w:pPr>
      <w:spacing w:line="480" w:lineRule="exact"/>
      <w:ind w:firstLine="480" w:firstLineChars="200"/>
    </w:pPr>
    <w:rPr>
      <w:rFonts w:ascii="宋体" w:hAnsi="宋体"/>
      <w:sz w:val="24"/>
    </w:rPr>
  </w:style>
  <w:style w:type="paragraph" w:styleId="26">
    <w:name w:val="Body Text First Indent 2"/>
    <w:basedOn w:val="25"/>
    <w:next w:val="3"/>
    <w:link w:val="119"/>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0"/>
    <w:qFormat/>
    <w:uiPriority w:val="0"/>
    <w:pPr>
      <w:spacing w:after="120" w:line="480" w:lineRule="auto"/>
    </w:pPr>
  </w:style>
  <w:style w:type="paragraph" w:styleId="58">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4"/>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1"/>
    <w:basedOn w:val="2"/>
    <w:qFormat/>
    <w:uiPriority w:val="0"/>
    <w:pPr>
      <w:autoSpaceDE w:val="0"/>
      <w:autoSpaceDN w:val="0"/>
      <w:adjustRightInd w:val="0"/>
      <w:spacing w:after="0" w:line="360" w:lineRule="auto"/>
      <w:ind w:firstLine="420"/>
    </w:pPr>
    <w:rPr>
      <w:rFonts w:ascii="宋体" w:hAnsi="Calibri" w:eastAsia="宋体" w:cs="Times New Roman"/>
      <w:sz w:val="24"/>
      <w:lang w:val="zh-CN"/>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26"/>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60"/>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8"/>
    <w:qFormat/>
    <w:uiPriority w:val="0"/>
    <w:rPr>
      <w:rFonts w:ascii="黑体" w:hAnsi="Courier New" w:eastAsia="黑体"/>
    </w:rPr>
  </w:style>
  <w:style w:type="character" w:customStyle="1" w:styleId="300">
    <w:name w:val="正文文本 2 Char1"/>
    <w:link w:val="57"/>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1"/>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3"/>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99"/>
    <w:rPr>
      <w:kern w:val="2"/>
      <w:sz w:val="21"/>
      <w:szCs w:val="24"/>
    </w:rPr>
  </w:style>
  <w:style w:type="character" w:customStyle="1" w:styleId="343">
    <w:name w:val="签名 Char"/>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4"/>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CAA66-CAB7-478F-A9A2-724D7B7DBAE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42640</Words>
  <Characters>44588</Characters>
  <Lines>460</Lines>
  <Paragraphs>129</Paragraphs>
  <TotalTime>65</TotalTime>
  <ScaleCrop>false</ScaleCrop>
  <LinksUpToDate>false</LinksUpToDate>
  <CharactersWithSpaces>49515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2023-02-09T06:36:00Z</dcterms:created>
  <dc:creator>玥</dc:creator>
  <cp:lastModifiedBy>DELL</cp:lastModifiedBy>
  <cp:lastPrinted>2023-04-18T06:05:00Z</cp:lastPrinted>
  <dcterms:modified xsi:type="dcterms:W3CDTF">2023-05-18T07:02:30Z</dcterms:modified>
  <dc:title>杭州市市民卡扩大发卡工程</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39ECE4373D54487C903D83BACE9B218C</vt:lpwstr>
  </property>
</Properties>
</file>