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附件：</w:t>
      </w:r>
      <w:bookmarkStart w:id="0" w:name="_GoBack"/>
      <w:bookmarkEnd w:id="0"/>
    </w:p>
    <w:p>
      <w:pPr>
        <w:widowControl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tbl>
      <w:tblPr>
        <w:tblStyle w:val="2"/>
        <w:tblW w:w="90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3525"/>
        <w:gridCol w:w="1155"/>
        <w:gridCol w:w="1470"/>
        <w:gridCol w:w="2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09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2022年紫金港科技城2.0政策资金补助情况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本次核发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本次核准补贴额（万元）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巍联实业（浙江）有限公司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34.38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支持招大引强补助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杭州方氏织造有限公司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支持产业平台建设补助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浙江天新智能研究院有限公司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48.39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支持企业做优做强补助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杭州晨安科技股份有限公司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133.33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支持企业做优做强补助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杭州晶格科学仪器有限公司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87.13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支持企业做优做强补助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康纳新型材料（杭州）有限公司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133.33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支持企业做优做强补助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杭州图谱光电科技有限公司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133.33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支持企业做优做强补助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杭州丰禾石油科技有限公司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68.01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支持企业做优做强补助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浙江远图技术股份有限公司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133.33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支持企业做优做强补助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浙江杜成实业有限公司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支持企业做优做强补助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浙江梧斯源通信科技股份有限公司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12.65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支持企业做优做强补助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浙江亚通焊材有限公司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133.33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支持企业做优做强补助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壹生检康（杭州）生命科技有限公司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启动资金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30.00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支持高层次人才和团队创新创业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杭州华鲲云起信息技术有限公司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启动资金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30.00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支持高层次人才和团队创新创业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杭州长鸿环保科技公司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启动资金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20.00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支持高层次人才和团队创新创业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3.71 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/>
        <w:spacing w:line="600" w:lineRule="atLeast"/>
        <w:jc w:val="center"/>
        <w:rPr>
          <w:rFonts w:ascii="微软雅黑" w:hAnsi="微软雅黑" w:eastAsia="微软雅黑" w:cs="宋体"/>
          <w:b/>
          <w:bCs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ZDkzOTQyNjFmNDY2ZjVlNWE1ZmFmZDMzMGIwYTcifQ=="/>
  </w:docVars>
  <w:rsids>
    <w:rsidRoot w:val="561D38AA"/>
    <w:rsid w:val="561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2022-06-23T09:07:00Z</dcterms:created>
  <dc:creator>沈卓文</dc:creator>
  <cp:lastModifiedBy>沈卓文</cp:lastModifiedBy>
  <dcterms:modified xsi:type="dcterms:W3CDTF">2022-06-23T09:08:16Z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07D28E86C9B44C91B934D2D02E90CC23</vt:lpwstr>
  </property>
</Properties>
</file>