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color w:val="auto"/>
          <w:sz w:val="24"/>
        </w:rPr>
      </w:pPr>
    </w:p>
    <w:p>
      <w:pPr>
        <w:spacing w:line="360" w:lineRule="auto"/>
        <w:jc w:val="center"/>
        <w:rPr>
          <w:rFonts w:ascii="宋体" w:hAnsi="宋体" w:cs="宋体"/>
          <w:b/>
          <w:color w:val="auto"/>
          <w:sz w:val="24"/>
        </w:rPr>
      </w:pPr>
    </w:p>
    <w:p>
      <w:pPr>
        <w:adjustRightInd/>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adjustRightInd/>
        <w:spacing w:line="360" w:lineRule="auto"/>
        <w:jc w:val="center"/>
        <w:rPr>
          <w:rFonts w:ascii="宋体" w:hAnsi="宋体" w:cs="宋体"/>
          <w:b/>
          <w:color w:val="auto"/>
          <w:sz w:val="48"/>
          <w:szCs w:val="48"/>
        </w:rPr>
      </w:pPr>
    </w:p>
    <w:p>
      <w:pPr>
        <w:adjustRightInd/>
        <w:spacing w:line="360" w:lineRule="auto"/>
        <w:jc w:val="center"/>
        <w:rPr>
          <w:rFonts w:hint="eastAsia" w:ascii="宋体" w:hAnsi="宋体" w:cs="宋体"/>
          <w:b/>
          <w:bCs/>
          <w:sz w:val="48"/>
          <w:szCs w:val="48"/>
          <w:highlight w:val="none"/>
          <w:lang w:eastAsia="zh-CN"/>
        </w:rPr>
      </w:pPr>
      <w:r>
        <w:rPr>
          <w:rFonts w:hint="eastAsia" w:ascii="宋体" w:hAnsi="宋体" w:cs="宋体"/>
          <w:b/>
          <w:bCs/>
          <w:sz w:val="48"/>
          <w:szCs w:val="48"/>
          <w:highlight w:val="none"/>
          <w:lang w:eastAsia="zh-CN"/>
        </w:rPr>
        <w:t>杭州市西溪中学新校区网络设备采购项目</w:t>
      </w: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 xml:space="preserve">招标文件 </w:t>
      </w:r>
    </w:p>
    <w:p>
      <w:pPr>
        <w:adjustRightInd/>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（电子招投标）</w:t>
      </w:r>
    </w:p>
    <w:p>
      <w:pPr>
        <w:snapToGrid w:val="0"/>
        <w:spacing w:line="360" w:lineRule="auto"/>
        <w:jc w:val="center"/>
        <w:rPr>
          <w:rFonts w:ascii="宋体" w:hAnsi="宋体" w:cs="宋体"/>
          <w:color w:val="auto"/>
          <w:sz w:val="30"/>
          <w:szCs w:val="30"/>
        </w:rPr>
      </w:pPr>
      <w:r>
        <w:rPr>
          <w:rFonts w:hint="eastAsia" w:ascii="宋体" w:hAnsi="宋体" w:cs="宋体"/>
          <w:color w:val="auto"/>
          <w:sz w:val="30"/>
          <w:szCs w:val="30"/>
        </w:rPr>
        <w:t>编号:XHZFCG-2023-G-20</w:t>
      </w:r>
    </w:p>
    <w:p>
      <w:pPr>
        <w:adjustRightInd/>
        <w:spacing w:line="360" w:lineRule="auto"/>
        <w:rPr>
          <w:rFonts w:ascii="宋体" w:hAnsi="宋体" w:cs="宋体"/>
          <w:color w:val="auto"/>
          <w:sz w:val="28"/>
          <w:szCs w:val="20"/>
        </w:rPr>
      </w:pPr>
    </w:p>
    <w:p>
      <w:pPr>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w:t>
      </w:r>
    </w:p>
    <w:p>
      <w:pPr>
        <w:spacing w:line="360" w:lineRule="auto"/>
        <w:jc w:val="center"/>
        <w:rPr>
          <w:rFonts w:ascii="宋体" w:hAnsi="宋体" w:cs="宋体"/>
          <w:b/>
          <w:color w:val="auto"/>
          <w:sz w:val="44"/>
          <w:szCs w:val="44"/>
        </w:rPr>
      </w:pP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spacing w:line="360" w:lineRule="auto"/>
        <w:rPr>
          <w:rFonts w:ascii="宋体" w:hAnsi="宋体" w:cs="宋体"/>
          <w:color w:val="auto"/>
          <w:sz w:val="32"/>
          <w:szCs w:val="32"/>
        </w:rPr>
      </w:pPr>
    </w:p>
    <w:p>
      <w:pPr>
        <w:spacing w:line="360" w:lineRule="auto"/>
        <w:jc w:val="center"/>
        <w:rPr>
          <w:rFonts w:hint="eastAsia" w:ascii="宋体" w:hAnsi="宋体" w:cs="宋体"/>
          <w:color w:val="auto"/>
          <w:sz w:val="32"/>
          <w:szCs w:val="32"/>
          <w:highlight w:val="none"/>
          <w:lang w:val="en-US" w:eastAsia="zh-CN"/>
        </w:rPr>
      </w:pPr>
      <w:r>
        <w:rPr>
          <w:rFonts w:hint="eastAsia" w:ascii="宋体" w:hAnsi="宋体" w:cs="宋体"/>
          <w:color w:val="auto"/>
          <w:sz w:val="32"/>
          <w:szCs w:val="32"/>
          <w:highlight w:val="none"/>
          <w:lang w:eastAsia="zh-CN"/>
        </w:rPr>
        <w:t>杭州市西溪中学</w:t>
      </w:r>
    </w:p>
    <w:p>
      <w:pPr>
        <w:spacing w:line="360" w:lineRule="auto"/>
        <w:jc w:val="center"/>
        <w:rPr>
          <w:rFonts w:hint="eastAsia" w:ascii="宋体" w:hAnsi="宋体" w:eastAsia="宋体" w:cs="宋体"/>
          <w:bCs/>
          <w:color w:val="auto"/>
          <w:sz w:val="32"/>
          <w:szCs w:val="32"/>
          <w:lang w:eastAsia="zh-CN"/>
        </w:rPr>
      </w:pPr>
      <w:r>
        <w:rPr>
          <w:rFonts w:hint="eastAsia" w:ascii="宋体" w:hAnsi="宋体" w:cs="宋体"/>
          <w:bCs/>
          <w:color w:val="auto"/>
          <w:sz w:val="32"/>
          <w:szCs w:val="32"/>
          <w:lang w:eastAsia="zh-CN"/>
        </w:rPr>
        <w:t>杭州市西湖区政府采购中心</w:t>
      </w:r>
    </w:p>
    <w:p>
      <w:pPr>
        <w:snapToGrid w:val="0"/>
        <w:spacing w:line="360" w:lineRule="auto"/>
        <w:jc w:val="center"/>
        <w:rPr>
          <w:rFonts w:ascii="宋体" w:hAnsi="宋体" w:cs="宋体"/>
          <w:bCs/>
          <w:color w:val="auto"/>
          <w:sz w:val="32"/>
          <w:szCs w:val="32"/>
        </w:rPr>
      </w:pPr>
      <w:r>
        <w:rPr>
          <w:rFonts w:hint="eastAsia" w:ascii="宋体" w:hAnsi="宋体" w:cs="宋体"/>
          <w:bCs/>
          <w:color w:val="auto"/>
          <w:sz w:val="32"/>
          <w:szCs w:val="32"/>
        </w:rPr>
        <w:t>二〇二三年</w:t>
      </w:r>
      <w:r>
        <w:rPr>
          <w:rFonts w:hint="eastAsia" w:ascii="宋体" w:hAnsi="宋体" w:cs="宋体"/>
          <w:bCs/>
          <w:color w:val="auto"/>
          <w:sz w:val="32"/>
          <w:szCs w:val="32"/>
          <w:lang w:val="en-US" w:eastAsia="zh-CN"/>
        </w:rPr>
        <w:t>五</w:t>
      </w:r>
      <w:r>
        <w:rPr>
          <w:rFonts w:hint="eastAsia" w:ascii="宋体" w:hAnsi="宋体" w:cs="宋体"/>
          <w:bCs/>
          <w:color w:val="auto"/>
          <w:sz w:val="32"/>
          <w:szCs w:val="32"/>
        </w:rPr>
        <w:t>月</w:t>
      </w:r>
      <w:r>
        <w:rPr>
          <w:rFonts w:hint="eastAsia" w:ascii="宋体" w:hAnsi="宋体" w:cs="宋体"/>
          <w:bCs/>
          <w:color w:val="auto"/>
          <w:sz w:val="32"/>
          <w:szCs w:val="32"/>
          <w:lang w:val="en-US" w:eastAsia="zh-CN"/>
        </w:rPr>
        <w:t>二十四</w:t>
      </w:r>
      <w:r>
        <w:rPr>
          <w:rFonts w:hint="eastAsia" w:ascii="宋体" w:hAnsi="宋体" w:cs="宋体"/>
          <w:bCs/>
          <w:color w:val="auto"/>
          <w:sz w:val="32"/>
          <w:szCs w:val="32"/>
        </w:rPr>
        <w:t>日</w:t>
      </w:r>
    </w:p>
    <w:p>
      <w:pPr>
        <w:spacing w:line="360" w:lineRule="auto"/>
        <w:jc w:val="center"/>
        <w:rPr>
          <w:rFonts w:ascii="宋体" w:hAnsi="宋体" w:cs="宋体"/>
          <w:color w:val="auto"/>
          <w:sz w:val="24"/>
        </w:rPr>
      </w:pPr>
      <w:r>
        <w:rPr>
          <w:rFonts w:hint="eastAsia" w:ascii="宋体" w:hAnsi="宋体" w:cs="宋体"/>
          <w:color w:val="auto"/>
          <w:sz w:val="24"/>
        </w:rPr>
        <w:br w:type="page"/>
      </w:r>
      <w:bookmarkStart w:id="0" w:name="_Hlt67893495"/>
      <w:bookmarkEnd w:id="0"/>
    </w:p>
    <w:p>
      <w:pPr>
        <w:spacing w:line="360" w:lineRule="auto"/>
        <w:jc w:val="center"/>
        <w:rPr>
          <w:rFonts w:ascii="宋体" w:hAnsi="宋体" w:cs="宋体"/>
          <w:color w:val="auto"/>
          <w:sz w:val="24"/>
        </w:rPr>
      </w:pPr>
    </w:p>
    <w:p>
      <w:pPr>
        <w:spacing w:line="360" w:lineRule="auto"/>
        <w:jc w:val="center"/>
        <w:rPr>
          <w:rFonts w:ascii="宋体" w:hAnsi="宋体" w:cs="宋体"/>
          <w:b/>
          <w:color w:val="auto"/>
          <w:sz w:val="48"/>
          <w:szCs w:val="48"/>
        </w:rPr>
      </w:pPr>
      <w:r>
        <w:rPr>
          <w:rFonts w:hint="eastAsia" w:ascii="宋体" w:hAnsi="宋体" w:cs="宋体"/>
          <w:b/>
          <w:color w:val="auto"/>
          <w:sz w:val="48"/>
          <w:szCs w:val="48"/>
        </w:rPr>
        <w:t>目  录</w:t>
      </w:r>
    </w:p>
    <w:p>
      <w:pPr>
        <w:spacing w:line="360" w:lineRule="auto"/>
        <w:rPr>
          <w:rFonts w:ascii="宋体" w:hAnsi="宋体" w:cs="宋体"/>
          <w:color w:val="auto"/>
          <w:sz w:val="32"/>
          <w:szCs w:val="32"/>
        </w:rPr>
      </w:pPr>
    </w:p>
    <w:p>
      <w:pPr>
        <w:spacing w:line="360" w:lineRule="auto"/>
        <w:rPr>
          <w:rFonts w:ascii="宋体" w:hAnsi="宋体" w:cs="宋体"/>
          <w:color w:val="auto"/>
          <w:sz w:val="32"/>
          <w:szCs w:val="32"/>
        </w:rPr>
      </w:pP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第一部分      招标公告</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第二部分      投标人须知</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第三部分      采购需求</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第四部分      评标办法</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第五部分      拟签订的合同文本</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第六部分      应提交的有关格式范例</w:t>
      </w:r>
    </w:p>
    <w:p>
      <w:pPr>
        <w:spacing w:line="360" w:lineRule="auto"/>
        <w:ind w:firstLine="549" w:firstLineChars="229"/>
        <w:rPr>
          <w:rFonts w:ascii="宋体" w:hAnsi="宋体" w:cs="宋体"/>
          <w:color w:val="auto"/>
          <w:sz w:val="24"/>
        </w:rPr>
      </w:pPr>
      <w:bookmarkStart w:id="1" w:name="_Hlt91233176"/>
      <w:bookmarkEnd w:id="1"/>
      <w:bookmarkStart w:id="2" w:name="_Toc91899869"/>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rPr>
          <w:rFonts w:ascii="宋体" w:hAnsi="宋体" w:cs="宋体"/>
          <w:color w:val="auto"/>
          <w:sz w:val="24"/>
        </w:rPr>
      </w:pPr>
    </w:p>
    <w:p>
      <w:pPr>
        <w:adjustRightInd/>
        <w:spacing w:line="360" w:lineRule="auto"/>
        <w:jc w:val="center"/>
        <w:outlineLvl w:val="0"/>
        <w:rPr>
          <w:rFonts w:ascii="宋体" w:hAnsi="宋体" w:cs="宋体"/>
          <w:b/>
          <w:color w:val="auto"/>
          <w:sz w:val="36"/>
          <w:szCs w:val="20"/>
        </w:rPr>
      </w:pPr>
      <w:bookmarkStart w:id="3" w:name="第一部分"/>
      <w:r>
        <w:rPr>
          <w:rFonts w:hint="eastAsia" w:ascii="宋体" w:hAnsi="宋体" w:cs="宋体"/>
          <w:b/>
          <w:color w:val="auto"/>
          <w:sz w:val="36"/>
          <w:szCs w:val="36"/>
        </w:rPr>
        <w:br w:type="page"/>
      </w:r>
      <w:bookmarkEnd w:id="2"/>
      <w:bookmarkEnd w:id="3"/>
      <w:bookmarkStart w:id="4" w:name="_Hlt74707423"/>
      <w:bookmarkEnd w:id="4"/>
      <w:bookmarkStart w:id="5" w:name="_Hlt74729822"/>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宋体" w:hAnsi="宋体" w:cs="宋体"/>
          <w:b/>
          <w:color w:val="auto"/>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z w:val="24"/>
          <w:u w:val="single"/>
        </w:rPr>
      </w:pPr>
      <w:r>
        <w:rPr>
          <w:rFonts w:hint="eastAsia" w:cs="仿宋_GB2312" w:asciiTheme="minorEastAsia" w:hAnsiTheme="minorEastAsia" w:eastAsiaTheme="minorEastAsia"/>
          <w:color w:val="auto"/>
          <w:sz w:val="24"/>
          <w:u w:val="single"/>
          <w:lang w:eastAsia="zh-CN"/>
        </w:rPr>
        <w:t>杭州市西溪中学新校区网络设备采购项目</w:t>
      </w:r>
      <w:r>
        <w:rPr>
          <w:rFonts w:hint="eastAsia" w:asciiTheme="minorEastAsia" w:hAnsiTheme="minorEastAsia" w:eastAsiaTheme="minorEastAsia"/>
          <w:color w:val="auto"/>
          <w:sz w:val="24"/>
        </w:rPr>
        <w:t>招标项目的潜在投标人应在政采云平台（</w:t>
      </w:r>
      <w:r>
        <w:rPr>
          <w:color w:val="auto"/>
        </w:rPr>
        <w:fldChar w:fldCharType="begin"/>
      </w:r>
      <w:r>
        <w:rPr>
          <w:color w:val="auto"/>
        </w:rPr>
        <w:instrText xml:space="preserve"> HYPERLINK "https://www.zcygov.cn/）获取（下载）招标文件，并于2023年%20月%20日%20点%20分00秒" </w:instrText>
      </w:r>
      <w:r>
        <w:rPr>
          <w:color w:val="auto"/>
        </w:rPr>
        <w:fldChar w:fldCharType="separate"/>
      </w:r>
      <w:r>
        <w:rPr>
          <w:rStyle w:val="76"/>
          <w:rFonts w:cs="Times New Roman" w:asciiTheme="minorEastAsia" w:hAnsiTheme="minorEastAsia" w:eastAsiaTheme="minorEastAsia"/>
          <w:snapToGrid/>
          <w:color w:val="auto"/>
          <w:kern w:val="2"/>
          <w:sz w:val="24"/>
          <w:szCs w:val="24"/>
        </w:rPr>
        <w:t>https://www.zcygov.cn/）获取（下载）招标文件，并于</w:t>
      </w:r>
      <w:r>
        <w:rPr>
          <w:rStyle w:val="76"/>
          <w:rFonts w:hint="eastAsia" w:cs="Times New Roman" w:asciiTheme="minorEastAsia" w:hAnsiTheme="minorEastAsia" w:eastAsiaTheme="minorEastAsia"/>
          <w:snapToGrid/>
          <w:color w:val="auto"/>
          <w:kern w:val="2"/>
          <w:sz w:val="24"/>
          <w:szCs w:val="24"/>
          <w:u w:val="single"/>
        </w:rPr>
        <w:t>2023</w:t>
      </w:r>
      <w:r>
        <w:rPr>
          <w:rStyle w:val="76"/>
          <w:rFonts w:cs="Times New Roman" w:asciiTheme="minorEastAsia" w:hAnsiTheme="minorEastAsia" w:eastAsiaTheme="minorEastAsia"/>
          <w:snapToGrid/>
          <w:color w:val="auto"/>
          <w:kern w:val="2"/>
          <w:sz w:val="24"/>
          <w:szCs w:val="24"/>
          <w:u w:val="single"/>
        </w:rPr>
        <w:t>年</w:t>
      </w:r>
      <w:r>
        <w:rPr>
          <w:rStyle w:val="76"/>
          <w:rFonts w:hint="default" w:cs="Times New Roman" w:asciiTheme="minorEastAsia" w:hAnsiTheme="minorEastAsia" w:eastAsiaTheme="minorEastAsia"/>
          <w:snapToGrid/>
          <w:color w:val="auto"/>
          <w:kern w:val="2"/>
          <w:sz w:val="24"/>
          <w:szCs w:val="24"/>
          <w:u w:val="single"/>
          <w:lang w:val="en-US"/>
        </w:rPr>
        <w:t>6</w:t>
      </w:r>
      <w:r>
        <w:rPr>
          <w:rStyle w:val="76"/>
          <w:rFonts w:hint="eastAsia" w:cs="Times New Roman" w:asciiTheme="minorEastAsia" w:hAnsiTheme="minorEastAsia" w:eastAsiaTheme="minorEastAsia"/>
          <w:snapToGrid/>
          <w:color w:val="auto"/>
          <w:kern w:val="2"/>
          <w:sz w:val="24"/>
          <w:szCs w:val="24"/>
          <w:u w:val="single"/>
        </w:rPr>
        <w:t>月</w:t>
      </w:r>
      <w:r>
        <w:rPr>
          <w:rStyle w:val="76"/>
          <w:rFonts w:hint="default" w:cs="Times New Roman" w:asciiTheme="minorEastAsia" w:hAnsiTheme="minorEastAsia" w:eastAsiaTheme="minorEastAsia"/>
          <w:snapToGrid/>
          <w:color w:val="auto"/>
          <w:kern w:val="2"/>
          <w:sz w:val="24"/>
          <w:szCs w:val="24"/>
          <w:u w:val="single"/>
          <w:lang w:val="en-US"/>
        </w:rPr>
        <w:t>15</w:t>
      </w:r>
      <w:r>
        <w:rPr>
          <w:rStyle w:val="76"/>
          <w:rFonts w:hint="eastAsia" w:cs="Times New Roman" w:asciiTheme="minorEastAsia" w:hAnsiTheme="minorEastAsia" w:eastAsiaTheme="minorEastAsia"/>
          <w:snapToGrid/>
          <w:color w:val="auto"/>
          <w:kern w:val="2"/>
          <w:sz w:val="24"/>
          <w:szCs w:val="24"/>
          <w:u w:val="single"/>
        </w:rPr>
        <w:t>日</w:t>
      </w:r>
      <w:r>
        <w:rPr>
          <w:rStyle w:val="76"/>
          <w:rFonts w:hint="default" w:cs="Times New Roman" w:asciiTheme="minorEastAsia" w:hAnsiTheme="minorEastAsia" w:eastAsiaTheme="minorEastAsia"/>
          <w:snapToGrid/>
          <w:color w:val="auto"/>
          <w:kern w:val="2"/>
          <w:sz w:val="24"/>
          <w:szCs w:val="24"/>
          <w:u w:val="single"/>
          <w:lang w:val="en-US"/>
        </w:rPr>
        <w:t>9</w:t>
      </w:r>
      <w:r>
        <w:rPr>
          <w:rStyle w:val="76"/>
          <w:rFonts w:hint="eastAsia" w:cs="Times New Roman" w:asciiTheme="minorEastAsia" w:hAnsiTheme="minorEastAsia" w:eastAsiaTheme="minorEastAsia"/>
          <w:snapToGrid/>
          <w:color w:val="auto"/>
          <w:kern w:val="2"/>
          <w:sz w:val="24"/>
          <w:szCs w:val="24"/>
          <w:u w:val="single"/>
        </w:rPr>
        <w:t>点</w:t>
      </w:r>
      <w:r>
        <w:rPr>
          <w:rStyle w:val="76"/>
          <w:rFonts w:hint="default" w:cs="Times New Roman" w:asciiTheme="minorEastAsia" w:hAnsiTheme="minorEastAsia" w:eastAsiaTheme="minorEastAsia"/>
          <w:snapToGrid/>
          <w:color w:val="auto"/>
          <w:kern w:val="2"/>
          <w:sz w:val="24"/>
          <w:szCs w:val="24"/>
          <w:u w:val="single"/>
          <w:lang w:val="en-US"/>
        </w:rPr>
        <w:t>30</w:t>
      </w:r>
      <w:r>
        <w:rPr>
          <w:rStyle w:val="76"/>
          <w:rFonts w:hint="eastAsia" w:cs="Times New Roman" w:asciiTheme="minorEastAsia" w:hAnsiTheme="minorEastAsia" w:eastAsiaTheme="minorEastAsia"/>
          <w:snapToGrid/>
          <w:color w:val="auto"/>
          <w:kern w:val="2"/>
          <w:sz w:val="24"/>
          <w:szCs w:val="24"/>
          <w:u w:val="single"/>
        </w:rPr>
        <w:t>分</w:t>
      </w:r>
      <w:r>
        <w:rPr>
          <w:rStyle w:val="76"/>
          <w:rFonts w:hint="eastAsia" w:cs="Times New Roman" w:asciiTheme="minorEastAsia" w:hAnsiTheme="minorEastAsia" w:eastAsiaTheme="minorEastAsia"/>
          <w:bCs/>
          <w:snapToGrid/>
          <w:color w:val="auto"/>
          <w:kern w:val="2"/>
          <w:sz w:val="24"/>
          <w:szCs w:val="24"/>
          <w:u w:val="single"/>
        </w:rPr>
        <w:t>00秒</w:t>
      </w:r>
      <w:r>
        <w:rPr>
          <w:rStyle w:val="76"/>
          <w:rFonts w:hint="eastAsia" w:cs="Times New Roman" w:asciiTheme="minorEastAsia" w:hAnsiTheme="minorEastAsia" w:eastAsiaTheme="minorEastAsia"/>
          <w:bCs/>
          <w:snapToGrid/>
          <w:color w:val="auto"/>
          <w:kern w:val="2"/>
          <w:sz w:val="24"/>
          <w:szCs w:val="24"/>
          <w:u w:val="single"/>
        </w:rPr>
        <w:fldChar w:fldCharType="end"/>
      </w:r>
      <w:r>
        <w:rPr>
          <w:rFonts w:hint="eastAsia" w:asciiTheme="minorEastAsia" w:hAnsiTheme="minorEastAsia" w:eastAsiaTheme="minorEastAsia"/>
          <w:bCs/>
          <w:color w:val="auto"/>
          <w:sz w:val="24"/>
        </w:rPr>
        <w:t>（北京时间）前</w:t>
      </w:r>
      <w:r>
        <w:rPr>
          <w:rFonts w:hint="eastAsia" w:asciiTheme="minorEastAsia" w:hAnsiTheme="minorEastAsia" w:eastAsiaTheme="minorEastAsia"/>
          <w:color w:val="auto"/>
          <w:sz w:val="24"/>
        </w:rPr>
        <w:t>递交（上传）投标文件。</w:t>
      </w:r>
    </w:p>
    <w:p>
      <w:pPr>
        <w:spacing w:line="360" w:lineRule="auto"/>
        <w:rPr>
          <w:rFonts w:ascii="宋体" w:hAnsi="宋体" w:cs="宋体"/>
          <w:b/>
          <w:color w:val="auto"/>
          <w:sz w:val="24"/>
        </w:rPr>
      </w:pPr>
      <w:r>
        <w:rPr>
          <w:rFonts w:hint="eastAsia" w:ascii="宋体" w:hAnsi="宋体" w:cs="宋体"/>
          <w:b/>
          <w:color w:val="auto"/>
          <w:sz w:val="24"/>
        </w:rPr>
        <w:t xml:space="preserve">一、项目基本情况                                            </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项目编号：</w:t>
      </w:r>
      <w:r>
        <w:rPr>
          <w:rFonts w:hint="eastAsia" w:ascii="宋体" w:hAnsi="宋体" w:cs="宋体"/>
          <w:color w:val="auto"/>
          <w:sz w:val="24"/>
        </w:rPr>
        <w:t>XHZFCG-2023-G-20</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w:t>
      </w:r>
      <w:r>
        <w:rPr>
          <w:rFonts w:hint="eastAsia" w:ascii="宋体" w:hAnsi="宋体" w:cs="宋体"/>
          <w:b/>
          <w:color w:val="auto"/>
          <w:sz w:val="24"/>
        </w:rPr>
        <w:t xml:space="preserve"> 项目名称：</w:t>
      </w:r>
      <w:r>
        <w:rPr>
          <w:rFonts w:hint="eastAsia" w:ascii="宋体" w:hAnsi="宋体" w:cs="宋体"/>
          <w:color w:val="auto"/>
          <w:sz w:val="24"/>
          <w:lang w:eastAsia="zh-CN"/>
        </w:rPr>
        <w:t>杭州市西溪中学新校区网络设备采购项目</w:t>
      </w:r>
    </w:p>
    <w:p>
      <w:pPr>
        <w:spacing w:line="360" w:lineRule="auto"/>
        <w:rPr>
          <w:rFonts w:hint="default" w:ascii="宋体" w:hAnsi="宋体" w:cs="宋体"/>
          <w:color w:val="auto"/>
          <w:sz w:val="24"/>
          <w:lang w:val="en-US"/>
        </w:rPr>
      </w:pPr>
      <w:r>
        <w:rPr>
          <w:rFonts w:hint="eastAsia" w:ascii="宋体" w:hAnsi="宋体" w:cs="宋体"/>
          <w:color w:val="auto"/>
          <w:sz w:val="24"/>
        </w:rPr>
        <w:t xml:space="preserve">   </w:t>
      </w:r>
      <w:r>
        <w:rPr>
          <w:rFonts w:hint="eastAsia" w:ascii="宋体" w:hAnsi="宋体" w:cs="宋体"/>
          <w:b/>
          <w:color w:val="auto"/>
          <w:sz w:val="24"/>
        </w:rPr>
        <w:t xml:space="preserve"> 预算金额（元）：</w:t>
      </w:r>
      <w:r>
        <w:rPr>
          <w:rFonts w:hint="default" w:ascii="宋体" w:hAnsi="宋体" w:cs="宋体"/>
          <w:b w:val="0"/>
          <w:bCs/>
          <w:color w:val="auto"/>
          <w:sz w:val="24"/>
          <w:lang w:val="en-US"/>
        </w:rPr>
        <w:t>1320000.00</w:t>
      </w:r>
    </w:p>
    <w:p>
      <w:pPr>
        <w:spacing w:line="360" w:lineRule="auto"/>
        <w:ind w:firstLine="480"/>
        <w:rPr>
          <w:rFonts w:ascii="宋体" w:hAnsi="宋体" w:cs="宋体"/>
          <w:color w:val="auto"/>
          <w:sz w:val="24"/>
        </w:rPr>
      </w:pPr>
      <w:r>
        <w:rPr>
          <w:rFonts w:hint="eastAsia" w:ascii="宋体" w:hAnsi="宋体" w:cs="宋体"/>
          <w:b/>
          <w:color w:val="auto"/>
          <w:sz w:val="24"/>
        </w:rPr>
        <w:t>最高限价（元）：</w:t>
      </w:r>
      <w:r>
        <w:rPr>
          <w:rFonts w:hint="default" w:ascii="宋体" w:hAnsi="宋体" w:cs="宋体"/>
          <w:b w:val="0"/>
          <w:bCs/>
          <w:color w:val="auto"/>
          <w:sz w:val="24"/>
          <w:lang w:val="en-US"/>
        </w:rPr>
        <w:t>1320000.00</w:t>
      </w:r>
    </w:p>
    <w:p>
      <w:pPr>
        <w:pStyle w:val="7"/>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lang w:eastAsia="zh-CN"/>
        </w:rPr>
        <w:t>杭州市西溪中学新校区网络设备采购项目</w:t>
      </w:r>
      <w:r>
        <w:rPr>
          <w:rFonts w:hint="eastAsia" w:hAnsi="宋体" w:cs="宋体"/>
          <w:bCs/>
          <w:snapToGrid/>
          <w:color w:val="auto"/>
          <w:kern w:val="2"/>
          <w:sz w:val="24"/>
          <w:szCs w:val="24"/>
        </w:rPr>
        <w:t>主要内容：</w:t>
      </w:r>
      <w:r>
        <w:rPr>
          <w:rFonts w:hint="eastAsia" w:ascii="宋体" w:hAnsi="宋体" w:cs="宋体"/>
          <w:sz w:val="24"/>
        </w:rPr>
        <w:t>交换机（</w:t>
      </w:r>
      <w:r>
        <w:rPr>
          <w:rFonts w:hint="eastAsia" w:asciiTheme="minorEastAsia" w:hAnsiTheme="minorEastAsia" w:eastAsiaTheme="minorEastAsia"/>
          <w:kern w:val="0"/>
          <w:sz w:val="24"/>
        </w:rPr>
        <w:t>数据网核心交换机</w:t>
      </w:r>
      <w:r>
        <w:rPr>
          <w:rFonts w:asciiTheme="minorEastAsia" w:hAnsiTheme="minorEastAsia" w:eastAsiaTheme="minorEastAsia"/>
          <w:kern w:val="0"/>
          <w:sz w:val="24"/>
        </w:rPr>
        <w:t>1</w:t>
      </w:r>
      <w:r>
        <w:rPr>
          <w:rFonts w:hint="eastAsia" w:asciiTheme="minorEastAsia" w:hAnsiTheme="minorEastAsia" w:eastAsiaTheme="minorEastAsia"/>
          <w:kern w:val="0"/>
          <w:sz w:val="24"/>
        </w:rPr>
        <w:t>台、万兆下行汇聚交换机</w:t>
      </w:r>
      <w:r>
        <w:rPr>
          <w:rFonts w:asciiTheme="minorEastAsia" w:hAnsiTheme="minorEastAsia" w:eastAsiaTheme="minorEastAsia"/>
          <w:kern w:val="0"/>
          <w:sz w:val="24"/>
        </w:rPr>
        <w:t>4</w:t>
      </w:r>
      <w:r>
        <w:rPr>
          <w:rFonts w:hint="eastAsia" w:asciiTheme="minorEastAsia" w:hAnsiTheme="minorEastAsia" w:eastAsiaTheme="minorEastAsia"/>
          <w:kern w:val="0"/>
          <w:sz w:val="24"/>
        </w:rPr>
        <w:t>台、万兆上行2</w:t>
      </w:r>
      <w:r>
        <w:rPr>
          <w:rFonts w:asciiTheme="minorEastAsia" w:hAnsiTheme="minorEastAsia" w:eastAsiaTheme="minorEastAsia"/>
          <w:kern w:val="0"/>
          <w:sz w:val="24"/>
        </w:rPr>
        <w:t>4口</w:t>
      </w:r>
      <w:r>
        <w:rPr>
          <w:rFonts w:hint="eastAsia" w:asciiTheme="minorEastAsia" w:hAnsiTheme="minorEastAsia" w:eastAsiaTheme="minorEastAsia"/>
          <w:kern w:val="0"/>
          <w:sz w:val="24"/>
        </w:rPr>
        <w:t>接入交换机</w:t>
      </w:r>
      <w:r>
        <w:rPr>
          <w:rFonts w:asciiTheme="minorEastAsia" w:hAnsiTheme="minorEastAsia" w:eastAsiaTheme="minorEastAsia"/>
          <w:kern w:val="0"/>
          <w:sz w:val="24"/>
        </w:rPr>
        <w:t>12</w:t>
      </w:r>
      <w:r>
        <w:rPr>
          <w:rFonts w:hint="eastAsia" w:asciiTheme="minorEastAsia" w:hAnsiTheme="minorEastAsia" w:eastAsiaTheme="minorEastAsia"/>
          <w:kern w:val="0"/>
          <w:sz w:val="24"/>
        </w:rPr>
        <w:t>台、万兆上行24口无线POE交换机</w:t>
      </w:r>
      <w:r>
        <w:rPr>
          <w:rFonts w:asciiTheme="minorEastAsia" w:hAnsiTheme="minorEastAsia" w:eastAsiaTheme="minorEastAsia"/>
          <w:kern w:val="0"/>
          <w:sz w:val="24"/>
        </w:rPr>
        <w:t>10</w:t>
      </w:r>
      <w:r>
        <w:rPr>
          <w:rFonts w:hint="eastAsia" w:asciiTheme="minorEastAsia" w:hAnsiTheme="minorEastAsia" w:eastAsiaTheme="minorEastAsia"/>
          <w:kern w:val="0"/>
          <w:sz w:val="24"/>
        </w:rPr>
        <w:t>台、门禁24口交换机</w:t>
      </w:r>
      <w:r>
        <w:rPr>
          <w:rFonts w:asciiTheme="minorEastAsia" w:hAnsiTheme="minorEastAsia" w:eastAsiaTheme="minorEastAsia"/>
          <w:kern w:val="0"/>
          <w:sz w:val="24"/>
        </w:rPr>
        <w:t>2</w:t>
      </w:r>
      <w:r>
        <w:rPr>
          <w:rFonts w:hint="eastAsia" w:asciiTheme="minorEastAsia" w:hAnsiTheme="minorEastAsia" w:eastAsiaTheme="minorEastAsia"/>
          <w:kern w:val="0"/>
          <w:sz w:val="24"/>
        </w:rPr>
        <w:t>台、门禁8口交换机</w:t>
      </w:r>
      <w:r>
        <w:rPr>
          <w:rFonts w:asciiTheme="minorEastAsia" w:hAnsiTheme="minorEastAsia" w:eastAsiaTheme="minorEastAsia"/>
          <w:kern w:val="0"/>
          <w:sz w:val="24"/>
        </w:rPr>
        <w:t>2</w:t>
      </w:r>
      <w:r>
        <w:rPr>
          <w:rFonts w:hint="eastAsia" w:asciiTheme="minorEastAsia" w:hAnsiTheme="minorEastAsia" w:eastAsiaTheme="minorEastAsia"/>
          <w:kern w:val="0"/>
          <w:sz w:val="24"/>
        </w:rPr>
        <w:t>台</w:t>
      </w:r>
      <w:r>
        <w:rPr>
          <w:rFonts w:hint="eastAsia" w:ascii="宋体" w:hAnsi="宋体" w:cs="宋体"/>
          <w:sz w:val="24"/>
        </w:rPr>
        <w:t>）、</w:t>
      </w:r>
      <w:r>
        <w:rPr>
          <w:rFonts w:hint="eastAsia" w:asciiTheme="minorEastAsia" w:hAnsiTheme="minorEastAsia" w:eastAsiaTheme="minorEastAsia"/>
          <w:kern w:val="0"/>
          <w:sz w:val="24"/>
        </w:rPr>
        <w:t>放装</w:t>
      </w:r>
      <w:r>
        <w:rPr>
          <w:rFonts w:asciiTheme="minorEastAsia" w:hAnsiTheme="minorEastAsia" w:eastAsiaTheme="minorEastAsia"/>
          <w:kern w:val="0"/>
          <w:sz w:val="24"/>
        </w:rPr>
        <w:t>AP100</w:t>
      </w:r>
      <w:r>
        <w:rPr>
          <w:rFonts w:hint="eastAsia" w:asciiTheme="minorEastAsia" w:hAnsiTheme="minorEastAsia" w:eastAsiaTheme="minorEastAsia"/>
          <w:kern w:val="0"/>
          <w:sz w:val="24"/>
        </w:rPr>
        <w:t>台</w:t>
      </w:r>
      <w:r>
        <w:rPr>
          <w:rFonts w:hint="eastAsia" w:cs="Times New Roman" w:asciiTheme="minorEastAsia" w:hAnsiTheme="minorEastAsia" w:eastAsiaTheme="minorEastAsia"/>
          <w:kern w:val="0"/>
          <w:sz w:val="24"/>
          <w:lang w:eastAsia="zh-CN"/>
        </w:rPr>
        <w:t>、</w:t>
      </w:r>
      <w:r>
        <w:rPr>
          <w:rFonts w:hint="eastAsia" w:cs="Times New Roman" w:asciiTheme="minorEastAsia" w:hAnsiTheme="minorEastAsia" w:eastAsiaTheme="minorEastAsia"/>
          <w:kern w:val="0"/>
          <w:sz w:val="24"/>
          <w:lang w:val="en-US" w:eastAsia="zh-CN"/>
        </w:rPr>
        <w:t>上网行为管理1台、智能远程运维1台、安全运维设备1套、文档交换主机1台、文档管理系统1套、文档数据存储1台、终端安全管理系统1套、交换机管理图形化展示系统1套、日志管理分析系统1套、内网流量分析一体机1台、网络配置自动备份系统1套、信息化安全漏洞扫描平台1套</w:t>
      </w:r>
      <w:r>
        <w:rPr>
          <w:rFonts w:hint="eastAsia" w:ascii="宋体" w:hAnsi="宋体" w:cs="宋体"/>
          <w:sz w:val="24"/>
        </w:rPr>
        <w:t>等</w:t>
      </w:r>
      <w:r>
        <w:rPr>
          <w:rFonts w:hint="eastAsia" w:hAnsi="宋体" w:cs="宋体"/>
          <w:sz w:val="24"/>
          <w:lang w:eastAsia="zh-CN"/>
        </w:rPr>
        <w:t>；</w:t>
      </w:r>
      <w:r>
        <w:rPr>
          <w:rFonts w:hint="eastAsia" w:ascii="宋体" w:hAnsi="宋体" w:eastAsia="宋体" w:cs="宋体"/>
          <w:sz w:val="24"/>
          <w:szCs w:val="24"/>
          <w:highlight w:val="none"/>
        </w:rPr>
        <w:t>具体包括</w:t>
      </w:r>
      <w:r>
        <w:rPr>
          <w:rFonts w:hint="eastAsia" w:hAnsi="宋体" w:cs="宋体"/>
          <w:sz w:val="24"/>
          <w:szCs w:val="24"/>
          <w:highlight w:val="none"/>
          <w:lang w:eastAsia="zh-CN"/>
        </w:rPr>
        <w:t>供货安装</w:t>
      </w:r>
      <w:r>
        <w:rPr>
          <w:rFonts w:hint="eastAsia" w:ascii="宋体" w:hAnsi="宋体" w:eastAsia="宋体" w:cs="宋体"/>
          <w:sz w:val="24"/>
          <w:szCs w:val="24"/>
          <w:highlight w:val="none"/>
        </w:rPr>
        <w:t>、产品调试、试运行、验收与</w:t>
      </w:r>
      <w:r>
        <w:rPr>
          <w:rFonts w:hint="default" w:ascii="宋体" w:hAnsi="宋体" w:eastAsia="宋体" w:cs="宋体"/>
          <w:sz w:val="24"/>
          <w:szCs w:val="24"/>
          <w:highlight w:val="none"/>
        </w:rPr>
        <w:t>相关</w:t>
      </w:r>
      <w:r>
        <w:rPr>
          <w:rFonts w:hint="eastAsia" w:ascii="宋体" w:hAnsi="宋体" w:eastAsia="宋体" w:cs="宋体"/>
          <w:sz w:val="24"/>
          <w:szCs w:val="24"/>
          <w:highlight w:val="none"/>
        </w:rPr>
        <w:t>的操作培训及不少于3年（含）7×24小时免费设备保修和售后现场技术服务等内容</w:t>
      </w:r>
      <w:r>
        <w:rPr>
          <w:rFonts w:hint="eastAsia" w:hAnsi="宋体" w:cs="宋体"/>
          <w:bCs/>
          <w:snapToGrid/>
          <w:color w:val="auto"/>
          <w:kern w:val="2"/>
          <w:sz w:val="24"/>
          <w:szCs w:val="24"/>
        </w:rPr>
        <w:t>。</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28"/>
        <w:ind w:firstLine="482"/>
        <w:outlineLvl w:val="2"/>
        <w:rPr>
          <w:rFonts w:ascii="宋体" w:hAnsi="宋体" w:cs="宋体"/>
          <w:color w:val="auto"/>
        </w:rPr>
      </w:pPr>
      <w:r>
        <w:rPr>
          <w:rFonts w:hint="eastAsia" w:ascii="宋体" w:hAnsi="宋体" w:cs="宋体"/>
          <w:b/>
          <w:color w:val="auto"/>
        </w:rPr>
        <w:t>合同履约期限：</w:t>
      </w:r>
      <w:r>
        <w:rPr>
          <w:rFonts w:hint="eastAsia" w:ascii="宋体" w:hAnsi="宋体" w:cs="宋体"/>
          <w:b/>
          <w:highlight w:val="none"/>
        </w:rPr>
        <w:t>合同签订后</w:t>
      </w:r>
      <w:r>
        <w:rPr>
          <w:rFonts w:hint="default" w:ascii="宋体" w:hAnsi="宋体" w:cs="宋体"/>
          <w:b/>
          <w:highlight w:val="none"/>
          <w:lang w:val="en-US"/>
        </w:rPr>
        <w:t>30</w:t>
      </w:r>
      <w:r>
        <w:rPr>
          <w:rFonts w:hint="eastAsia" w:ascii="宋体" w:hAnsi="宋体" w:cs="宋体"/>
          <w:b/>
          <w:highlight w:val="none"/>
        </w:rPr>
        <w:t>天内完成全部建设内容</w:t>
      </w:r>
      <w:r>
        <w:rPr>
          <w:rFonts w:hint="eastAsia" w:ascii="宋体" w:hAnsi="宋体" w:cs="宋体"/>
          <w:b/>
          <w:highlight w:val="none"/>
          <w:lang w:eastAsia="zh-CN"/>
        </w:rPr>
        <w:t>，</w:t>
      </w:r>
      <w:r>
        <w:rPr>
          <w:rFonts w:hint="eastAsia"/>
          <w:b/>
          <w:bCs/>
          <w:color w:val="auto"/>
          <w:highlight w:val="none"/>
          <w:lang w:eastAsia="zh-CN"/>
        </w:rPr>
        <w:t>正常试运行1个月，培训并交付使用</w:t>
      </w:r>
      <w:r>
        <w:rPr>
          <w:rFonts w:hint="eastAsia" w:hAnsi="宋体" w:cs="宋体"/>
          <w:bCs/>
          <w:color w:val="auto"/>
          <w:szCs w:val="24"/>
        </w:rPr>
        <w:t>。</w:t>
      </w:r>
    </w:p>
    <w:p>
      <w:pPr>
        <w:pStyle w:val="7"/>
        <w:spacing w:line="360" w:lineRule="auto"/>
        <w:ind w:firstLine="480"/>
        <w:rPr>
          <w:rFonts w:hAnsi="宋体" w:cs="宋体"/>
          <w:color w:val="auto"/>
          <w:kern w:val="0"/>
          <w:sz w:val="24"/>
        </w:rPr>
      </w:pPr>
      <w:r>
        <w:rPr>
          <w:rFonts w:hint="eastAsia" w:hAnsi="宋体" w:cs="宋体"/>
          <w:b/>
          <w:color w:val="auto"/>
          <w:sz w:val="24"/>
        </w:rPr>
        <w:t>本项目接受联合体投标：</w:t>
      </w:r>
      <w:sdt>
        <w:sdtPr>
          <w:rPr>
            <w:rFonts w:hint="eastAsia" w:hAnsi="宋体" w:cs="宋体"/>
            <w:color w:val="auto"/>
            <w:kern w:val="0"/>
            <w:sz w:val="24"/>
          </w:rPr>
          <w:id w:val="2035453831"/>
          <w14:checkbox>
            <w14:checked w14:val="1"/>
            <w14:checkedState w14:val="00FE" w14:font="Wingdings"/>
            <w14:uncheckedState w14:val="2610" w14:font="MS Gothic"/>
          </w14:checkbox>
        </w:sdtPr>
        <w:sdtEndPr>
          <w:rPr>
            <w:rFonts w:hint="eastAsia" w:hAnsi="宋体" w:cs="宋体"/>
            <w:color w:val="auto"/>
            <w:kern w:val="0"/>
            <w:sz w:val="24"/>
          </w:rPr>
        </w:sdtEndPr>
        <w:sdtContent>
          <w:r>
            <w:rPr>
              <w:rFonts w:hint="eastAsia" w:hAnsi="宋体" w:cs="宋体"/>
              <w:color w:val="auto"/>
              <w:kern w:val="0"/>
              <w:sz w:val="24"/>
            </w:rPr>
            <w:sym w:font="Wingdings" w:char="F0FE"/>
          </w:r>
        </w:sdtContent>
      </w:sdt>
      <w:r>
        <w:rPr>
          <w:rFonts w:hint="eastAsia" w:hAnsi="宋体" w:cs="宋体"/>
          <w:b/>
          <w:color w:val="auto"/>
          <w:sz w:val="24"/>
        </w:rPr>
        <w:t>是</w:t>
      </w:r>
      <w:r>
        <w:rPr>
          <w:rFonts w:hint="eastAsia" w:hAnsi="宋体" w:cs="宋体"/>
          <w:b/>
          <w:snapToGrid/>
          <w:color w:val="auto"/>
          <w:kern w:val="2"/>
          <w:sz w:val="24"/>
        </w:rPr>
        <w:t>；</w:t>
      </w:r>
      <w:sdt>
        <w:sdtPr>
          <w:rPr>
            <w:rFonts w:hint="eastAsia" w:hAnsi="宋体" w:cs="宋体"/>
            <w:color w:val="auto"/>
            <w:kern w:val="0"/>
            <w:sz w:val="24"/>
          </w:rPr>
          <w:id w:val="-1765526721"/>
          <w14:checkbox>
            <w14:checked w14:val="0"/>
            <w14:checkedState w14:val="00FE" w14:font="Wingdings"/>
            <w14:uncheckedState w14:val="2610" w14:font="MS Gothic"/>
          </w14:checkbox>
        </w:sdtPr>
        <w:sdtEndPr>
          <w:rPr>
            <w:rFonts w:hint="eastAsia" w:hAnsi="宋体" w:cs="宋体"/>
            <w:color w:val="auto"/>
            <w:kern w:val="0"/>
            <w:sz w:val="24"/>
          </w:rPr>
        </w:sdtEndPr>
        <w:sdtContent>
          <w:r>
            <w:rPr>
              <w:rFonts w:hint="eastAsia" w:hAnsi="宋体" w:cs="宋体"/>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color w:val="auto"/>
          <w:sz w:val="24"/>
        </w:rPr>
      </w:pPr>
      <w:r>
        <w:rPr>
          <w:rFonts w:hint="eastAsia" w:ascii="宋体" w:hAnsi="宋体" w:cs="宋体"/>
          <w:b/>
          <w:color w:val="auto"/>
          <w:sz w:val="24"/>
        </w:rPr>
        <w:t>二、</w:t>
      </w:r>
      <w:bookmarkStart w:id="11" w:name="_Hlk101132948"/>
      <w:r>
        <w:rPr>
          <w:rFonts w:hint="eastAsia" w:ascii="宋体" w:hAnsi="宋体" w:cs="宋体"/>
          <w:b/>
          <w:color w:val="auto"/>
          <w:sz w:val="24"/>
        </w:rPr>
        <w:t>申请人的资格要求</w:t>
      </w:r>
      <w:bookmarkEnd w:id="11"/>
      <w:r>
        <w:rPr>
          <w:rFonts w:hint="eastAsia" w:ascii="宋体" w:hAnsi="宋体" w:cs="宋体"/>
          <w:b/>
          <w:color w:val="auto"/>
          <w:sz w:val="24"/>
        </w:rPr>
        <w:t>：</w:t>
      </w:r>
    </w:p>
    <w:p>
      <w:pPr>
        <w:spacing w:line="360" w:lineRule="auto"/>
        <w:ind w:firstLine="480"/>
        <w:rPr>
          <w:rFonts w:ascii="宋体" w:hAnsi="宋体" w:cs="宋体"/>
          <w:snapToGrid w:val="0"/>
          <w:color w:val="auto"/>
          <w:kern w:val="28"/>
          <w:sz w:val="24"/>
          <w:szCs w:val="20"/>
        </w:rPr>
      </w:pPr>
      <w:r>
        <w:rPr>
          <w:rFonts w:hint="eastAsia" w:ascii="宋体" w:hAnsi="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rPr>
      </w:pPr>
      <w:r>
        <w:rPr>
          <w:rFonts w:hint="eastAsia" w:ascii="宋体" w:hAnsi="宋体" w:cs="宋体"/>
          <w:snapToGrid w:val="0"/>
          <w:color w:val="auto"/>
          <w:kern w:val="28"/>
          <w:sz w:val="24"/>
          <w:szCs w:val="20"/>
        </w:rPr>
        <w:t xml:space="preserve">    </w:t>
      </w:r>
      <w:r>
        <w:rPr>
          <w:rFonts w:ascii="宋体" w:hAnsi="宋体" w:cs="宋体"/>
          <w:snapToGrid w:val="0"/>
          <w:color w:val="auto"/>
          <w:kern w:val="28"/>
          <w:sz w:val="24"/>
          <w:szCs w:val="20"/>
        </w:rPr>
        <w:t>2</w:t>
      </w:r>
      <w:r>
        <w:rPr>
          <w:rFonts w:hint="eastAsia" w:ascii="宋体" w:hAnsi="宋体" w:cs="宋体"/>
          <w:snapToGrid w:val="0"/>
          <w:color w:val="auto"/>
          <w:kern w:val="28"/>
          <w:sz w:val="24"/>
          <w:szCs w:val="20"/>
        </w:rPr>
        <w:t>.</w:t>
      </w:r>
      <w:r>
        <w:rPr>
          <w:rFonts w:hint="eastAsia"/>
          <w:color w:val="auto"/>
        </w:rPr>
        <w:t xml:space="preserve"> </w:t>
      </w:r>
      <w:r>
        <w:rPr>
          <w:rFonts w:hint="eastAsia" w:ascii="宋体" w:hAnsi="宋体" w:cs="宋体"/>
          <w:snapToGrid w:val="0"/>
          <w:color w:val="auto"/>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rPr>
      </w:pPr>
      <w:r>
        <w:rPr>
          <w:rFonts w:ascii="宋体" w:hAnsi="宋体" w:cs="宋体"/>
          <w:snapToGrid w:val="0"/>
          <w:color w:val="auto"/>
          <w:kern w:val="28"/>
          <w:sz w:val="24"/>
          <w:szCs w:val="20"/>
        </w:rPr>
        <w:t>3</w:t>
      </w:r>
      <w:r>
        <w:rPr>
          <w:rFonts w:hint="eastAsia" w:ascii="宋体" w:hAnsi="宋体" w:cs="宋体"/>
          <w:snapToGrid w:val="0"/>
          <w:color w:val="auto"/>
          <w:kern w:val="28"/>
          <w:sz w:val="24"/>
          <w:szCs w:val="20"/>
        </w:rPr>
        <w:t>.落实政府采购政策需满足的资格要求：</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28616923"/>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02470430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u w:val="single"/>
        </w:rPr>
      </w:pPr>
      <w:sdt>
        <w:sdtPr>
          <w:rPr>
            <w:rFonts w:hint="eastAsia" w:ascii="宋体" w:hAnsi="宋体" w:cs="宋体"/>
            <w:color w:val="auto"/>
            <w:kern w:val="0"/>
            <w:sz w:val="24"/>
          </w:rPr>
          <w:id w:val="-92473058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sz w:val="24"/>
        </w:rPr>
        <w:t>货物全部由符合政策要求的中小微企业制造，提供中小企业声明函；</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115260493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货物全部由符合政策要求的小微企业制造，提供中小企业声明函；</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bookmarkStart w:id="12" w:name="_Hlk101132524"/>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bookmarkEnd w:id="12"/>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50898254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p>
    <w:p>
      <w:pPr>
        <w:snapToGrid w:val="0"/>
        <w:spacing w:line="360" w:lineRule="auto"/>
        <w:ind w:firstLine="480" w:firstLineChars="200"/>
        <w:rPr>
          <w:rFonts w:ascii="宋体" w:hAnsi="宋体" w:cs="宋体"/>
          <w:color w:val="auto"/>
          <w:sz w:val="24"/>
          <w:highlight w:val="none"/>
          <w:u w:val="single"/>
        </w:rPr>
      </w:pPr>
      <w:sdt>
        <w:sdtPr>
          <w:rPr>
            <w:rFonts w:hint="eastAsia" w:ascii="宋体" w:hAnsi="宋体" w:cs="宋体"/>
            <w:color w:val="auto"/>
            <w:kern w:val="0"/>
            <w:sz w:val="24"/>
            <w:highlight w:val="none"/>
          </w:rPr>
          <w:id w:val="-160711229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rPr>
      </w:pPr>
      <w:r>
        <w:rPr>
          <w:rFonts w:hint="eastAsia" w:ascii="宋体" w:hAnsi="宋体" w:cs="宋体"/>
          <w:b/>
          <w:color w:val="auto"/>
          <w:sz w:val="24"/>
        </w:rPr>
        <w:t xml:space="preserve">三、获取招标文件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时间：</w:t>
      </w:r>
      <w:r>
        <w:rPr>
          <w:rFonts w:hint="eastAsia" w:ascii="宋体" w:hAnsi="宋体" w:cs="宋体"/>
          <w:color w:val="auto"/>
          <w:sz w:val="24"/>
        </w:rPr>
        <w:t>/至</w:t>
      </w:r>
      <w:r>
        <w:rPr>
          <w:rFonts w:hint="eastAsia" w:ascii="宋体" w:hAnsi="宋体" w:cs="宋体"/>
          <w:color w:val="auto"/>
          <w:sz w:val="24"/>
          <w:u w:val="single"/>
        </w:rPr>
        <w:t>2023年</w:t>
      </w:r>
      <w:r>
        <w:rPr>
          <w:rFonts w:hint="default" w:ascii="宋体" w:hAnsi="宋体" w:cs="宋体"/>
          <w:color w:val="auto"/>
          <w:sz w:val="24"/>
          <w:u w:val="single"/>
          <w:lang w:val="en-US"/>
        </w:rPr>
        <w:t>6</w:t>
      </w:r>
      <w:r>
        <w:rPr>
          <w:rFonts w:hint="eastAsia" w:ascii="宋体" w:hAnsi="宋体" w:cs="宋体"/>
          <w:color w:val="auto"/>
          <w:sz w:val="24"/>
          <w:u w:val="single"/>
        </w:rPr>
        <w:t>月</w:t>
      </w:r>
      <w:r>
        <w:rPr>
          <w:rFonts w:hint="default" w:ascii="宋体" w:hAnsi="宋体" w:cs="宋体"/>
          <w:color w:val="auto"/>
          <w:sz w:val="24"/>
          <w:u w:val="single"/>
          <w:lang w:val="en-US"/>
        </w:rPr>
        <w:t>15</w:t>
      </w:r>
      <w:r>
        <w:rPr>
          <w:rFonts w:hint="eastAsia" w:ascii="宋体" w:hAnsi="宋体" w:cs="宋体"/>
          <w:color w:val="auto"/>
          <w:sz w:val="24"/>
          <w:u w:val="single"/>
        </w:rPr>
        <w:t>日</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 xml:space="preserve"> 2023年</w:t>
      </w:r>
      <w:r>
        <w:rPr>
          <w:rFonts w:hint="default" w:ascii="宋体" w:hAnsi="宋体" w:cs="宋体"/>
          <w:color w:val="auto"/>
          <w:sz w:val="24"/>
          <w:u w:val="single"/>
          <w:lang w:val="en-US"/>
        </w:rPr>
        <w:t>6</w:t>
      </w:r>
      <w:r>
        <w:rPr>
          <w:rFonts w:hint="eastAsia" w:ascii="宋体" w:hAnsi="宋体" w:cs="宋体"/>
          <w:color w:val="auto"/>
          <w:sz w:val="24"/>
          <w:u w:val="single"/>
        </w:rPr>
        <w:t>月</w:t>
      </w:r>
      <w:r>
        <w:rPr>
          <w:rFonts w:hint="default" w:ascii="宋体" w:hAnsi="宋体" w:cs="宋体"/>
          <w:color w:val="auto"/>
          <w:sz w:val="24"/>
          <w:u w:val="single"/>
          <w:lang w:val="en-US"/>
        </w:rPr>
        <w:t>15</w:t>
      </w:r>
      <w:r>
        <w:rPr>
          <w:rFonts w:hint="eastAsia" w:ascii="宋体" w:hAnsi="宋体" w:cs="宋体"/>
          <w:color w:val="auto"/>
          <w:sz w:val="24"/>
          <w:u w:val="single"/>
        </w:rPr>
        <w:t>日</w:t>
      </w:r>
      <w:r>
        <w:rPr>
          <w:rFonts w:hint="default" w:ascii="宋体" w:hAnsi="宋体" w:cs="宋体"/>
          <w:color w:val="auto"/>
          <w:sz w:val="24"/>
          <w:u w:val="single"/>
          <w:lang w:val="en-US"/>
        </w:rPr>
        <w:t>9</w:t>
      </w:r>
      <w:r>
        <w:rPr>
          <w:rFonts w:hint="eastAsia" w:ascii="宋体" w:hAnsi="宋体" w:cs="宋体"/>
          <w:color w:val="auto"/>
          <w:sz w:val="24"/>
          <w:u w:val="single"/>
        </w:rPr>
        <w:t>点</w:t>
      </w:r>
      <w:r>
        <w:rPr>
          <w:rFonts w:hint="default" w:ascii="宋体" w:hAnsi="宋体" w:cs="宋体"/>
          <w:color w:val="auto"/>
          <w:sz w:val="24"/>
          <w:u w:val="single"/>
          <w:lang w:val="en-US"/>
        </w:rPr>
        <w:t>30</w:t>
      </w:r>
      <w:r>
        <w:rPr>
          <w:rFonts w:hint="eastAsia" w:ascii="宋体" w:hAnsi="宋体" w:cs="宋体"/>
          <w:color w:val="auto"/>
          <w:sz w:val="24"/>
          <w:u w:val="single"/>
        </w:rPr>
        <w:t>分00秒</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rPr>
        <w:t>2023年</w:t>
      </w:r>
      <w:r>
        <w:rPr>
          <w:rFonts w:hint="default" w:ascii="宋体" w:hAnsi="宋体" w:cs="宋体"/>
          <w:color w:val="auto"/>
          <w:sz w:val="24"/>
          <w:u w:val="single"/>
          <w:lang w:val="en-US"/>
        </w:rPr>
        <w:t>6</w:t>
      </w:r>
      <w:r>
        <w:rPr>
          <w:rFonts w:hint="eastAsia" w:ascii="宋体" w:hAnsi="宋体" w:cs="宋体"/>
          <w:color w:val="auto"/>
          <w:sz w:val="24"/>
          <w:u w:val="single"/>
        </w:rPr>
        <w:t>月</w:t>
      </w:r>
      <w:r>
        <w:rPr>
          <w:rFonts w:hint="default" w:ascii="宋体" w:hAnsi="宋体" w:cs="宋体"/>
          <w:color w:val="auto"/>
          <w:sz w:val="24"/>
          <w:u w:val="single"/>
          <w:lang w:val="en-US"/>
        </w:rPr>
        <w:t>15</w:t>
      </w:r>
      <w:r>
        <w:rPr>
          <w:rFonts w:hint="eastAsia" w:ascii="宋体" w:hAnsi="宋体" w:cs="宋体"/>
          <w:color w:val="auto"/>
          <w:sz w:val="24"/>
          <w:u w:val="single"/>
        </w:rPr>
        <w:t>日</w:t>
      </w:r>
      <w:r>
        <w:rPr>
          <w:rFonts w:hint="default" w:ascii="宋体" w:hAnsi="宋体" w:cs="宋体"/>
          <w:color w:val="auto"/>
          <w:sz w:val="24"/>
          <w:u w:val="single"/>
          <w:lang w:val="en-US"/>
        </w:rPr>
        <w:t>9</w:t>
      </w:r>
      <w:r>
        <w:rPr>
          <w:rFonts w:hint="eastAsia" w:ascii="宋体" w:hAnsi="宋体" w:cs="宋体"/>
          <w:color w:val="auto"/>
          <w:sz w:val="24"/>
          <w:u w:val="single"/>
        </w:rPr>
        <w:t>点</w:t>
      </w:r>
      <w:r>
        <w:rPr>
          <w:rFonts w:hint="default" w:ascii="宋体" w:hAnsi="宋体" w:cs="宋体"/>
          <w:color w:val="auto"/>
          <w:sz w:val="24"/>
          <w:u w:val="single"/>
          <w:lang w:val="en-US"/>
        </w:rPr>
        <w:t>30</w:t>
      </w:r>
      <w:r>
        <w:rPr>
          <w:rFonts w:hint="eastAsia" w:ascii="宋体" w:hAnsi="宋体" w:cs="宋体"/>
          <w:color w:val="auto"/>
          <w:sz w:val="24"/>
          <w:u w:val="single"/>
        </w:rPr>
        <w:t>分00秒</w:t>
      </w:r>
    </w:p>
    <w:p>
      <w:pPr>
        <w:spacing w:line="360" w:lineRule="auto"/>
        <w:ind w:firstLine="482" w:firstLineChars="200"/>
        <w:rPr>
          <w:rFonts w:ascii="宋体" w:hAnsi="宋体" w:cs="宋体"/>
          <w:color w:val="auto"/>
          <w:sz w:val="24"/>
        </w:rPr>
      </w:pPr>
      <w:r>
        <w:rPr>
          <w:rFonts w:hint="eastAsia" w:ascii="宋体" w:hAnsi="宋体" w:cs="宋体"/>
          <w:b/>
          <w:color w:val="auto"/>
          <w:sz w:val="24"/>
        </w:rPr>
        <w:t>开标地点（网址）：</w:t>
      </w:r>
      <w:r>
        <w:rPr>
          <w:rFonts w:hint="eastAsia" w:ascii="宋体" w:hAnsi="宋体" w:cs="宋体"/>
          <w:color w:val="auto"/>
          <w:sz w:val="24"/>
        </w:rPr>
        <w:t>政采云平台（https://www.zcygov.cn/）</w:t>
      </w:r>
    </w:p>
    <w:p>
      <w:pPr>
        <w:spacing w:line="360" w:lineRule="auto"/>
        <w:rPr>
          <w:rFonts w:ascii="宋体" w:hAnsi="宋体" w:cs="宋体"/>
          <w:color w:val="auto"/>
          <w:sz w:val="24"/>
        </w:rPr>
      </w:pPr>
      <w:r>
        <w:rPr>
          <w:rFonts w:hint="eastAsia" w:ascii="宋体" w:hAnsi="宋体" w:cs="宋体"/>
          <w:b/>
          <w:color w:val="auto"/>
          <w:sz w:val="24"/>
        </w:rPr>
        <w:t xml:space="preserve">五、公告期限 </w:t>
      </w:r>
    </w:p>
    <w:p>
      <w:pPr>
        <w:spacing w:line="360" w:lineRule="auto"/>
        <w:ind w:firstLine="480" w:firstLineChars="200"/>
        <w:rPr>
          <w:rFonts w:ascii="宋体" w:hAnsi="宋体" w:cs="宋体"/>
          <w:color w:val="auto"/>
          <w:sz w:val="24"/>
        </w:rPr>
      </w:pPr>
      <w:r>
        <w:rPr>
          <w:rFonts w:hint="eastAsia" w:ascii="宋体" w:hAnsi="宋体" w:cs="宋体"/>
          <w:color w:val="auto"/>
          <w:sz w:val="24"/>
        </w:rPr>
        <w:t>自本公告发布之日起5个工作日。</w:t>
      </w:r>
    </w:p>
    <w:p>
      <w:pPr>
        <w:spacing w:line="360" w:lineRule="auto"/>
        <w:rPr>
          <w:rFonts w:ascii="宋体" w:hAnsi="宋体" w:cs="宋体"/>
          <w:b/>
          <w:color w:val="auto"/>
          <w:sz w:val="24"/>
        </w:rPr>
      </w:pPr>
      <w:r>
        <w:rPr>
          <w:rFonts w:hint="eastAsia" w:ascii="宋体" w:hAnsi="宋体" w:cs="宋体"/>
          <w:b/>
          <w:color w:val="auto"/>
          <w:sz w:val="24"/>
        </w:rPr>
        <w:t>六、其他补充事宜</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1. </w:t>
      </w:r>
      <w:r>
        <w:rPr>
          <w:rFonts w:ascii="宋体" w:hAnsi="宋体" w:cs="宋体"/>
          <w:color w:val="auto"/>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rPr>
      </w:pPr>
      <w:r>
        <w:rPr>
          <w:rFonts w:hint="eastAsia" w:ascii="宋体" w:hAnsi="宋体" w:cs="宋体"/>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rPr>
      </w:pPr>
      <w:r>
        <w:rPr>
          <w:rFonts w:hint="eastAsia" w:ascii="宋体" w:hAnsi="宋体" w:cs="宋体"/>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rPr>
      </w:pPr>
      <w:r>
        <w:rPr>
          <w:rFonts w:hint="eastAsia" w:ascii="宋体" w:hAnsi="宋体" w:cs="宋体"/>
          <w:b/>
          <w:color w:val="auto"/>
          <w:sz w:val="24"/>
        </w:rPr>
        <w:t>七、对本次采购提出询问、质疑、投诉，请按以下方式联系</w:t>
      </w:r>
    </w:p>
    <w:p>
      <w:pPr>
        <w:spacing w:line="360" w:lineRule="auto"/>
        <w:rPr>
          <w:rFonts w:ascii="宋体" w:hAnsi="宋体" w:cs="宋体"/>
          <w:color w:val="auto"/>
          <w:sz w:val="24"/>
        </w:rPr>
      </w:pPr>
      <w:r>
        <w:rPr>
          <w:rFonts w:hint="eastAsia" w:ascii="宋体" w:hAnsi="宋体" w:cs="宋体"/>
          <w:color w:val="auto"/>
          <w:sz w:val="24"/>
        </w:rPr>
        <w:t xml:space="preserve">    1.采购人信息</w:t>
      </w:r>
    </w:p>
    <w:p>
      <w:pPr>
        <w:spacing w:line="360" w:lineRule="auto"/>
        <w:ind w:firstLine="480"/>
        <w:rPr>
          <w:rFonts w:hint="eastAsia" w:ascii="宋体" w:hAnsi="宋体" w:cs="宋体"/>
          <w:color w:val="auto"/>
          <w:sz w:val="24"/>
          <w:lang w:val="en-US" w:eastAsia="zh-CN"/>
        </w:rPr>
      </w:pPr>
      <w:r>
        <w:rPr>
          <w:rFonts w:hint="eastAsia" w:ascii="宋体" w:hAnsi="宋体" w:cs="宋体"/>
          <w:color w:val="auto"/>
          <w:sz w:val="24"/>
        </w:rPr>
        <w:t>名    称：</w:t>
      </w:r>
      <w:r>
        <w:rPr>
          <w:rFonts w:hint="eastAsia" w:ascii="宋体" w:hAnsi="宋体" w:cs="宋体"/>
          <w:color w:val="auto"/>
          <w:sz w:val="24"/>
          <w:lang w:val="en-US" w:eastAsia="zh-CN"/>
        </w:rPr>
        <w:t>杭州市西溪中学</w:t>
      </w:r>
    </w:p>
    <w:p>
      <w:pPr>
        <w:spacing w:line="360" w:lineRule="auto"/>
        <w:ind w:firstLine="480"/>
        <w:rPr>
          <w:rFonts w:ascii="宋体" w:hAnsi="宋体" w:cs="宋体"/>
          <w:color w:val="auto"/>
          <w:sz w:val="24"/>
        </w:rPr>
      </w:pPr>
      <w:r>
        <w:rPr>
          <w:rFonts w:hint="eastAsia" w:ascii="宋体" w:hAnsi="宋体" w:cs="宋体"/>
          <w:color w:val="auto"/>
          <w:sz w:val="24"/>
        </w:rPr>
        <w:t>地    址：</w:t>
      </w:r>
      <w:r>
        <w:rPr>
          <w:rFonts w:hint="default" w:ascii="宋体" w:hAnsi="宋体" w:cs="宋体"/>
          <w:color w:val="auto"/>
          <w:sz w:val="24"/>
          <w:lang w:val="en-US" w:eastAsia="zh-CN"/>
        </w:rPr>
        <w:t xml:space="preserve"> </w:t>
      </w:r>
      <w:r>
        <w:rPr>
          <w:rFonts w:hint="eastAsia" w:ascii="宋体" w:hAnsi="宋体" w:cs="宋体"/>
          <w:sz w:val="24"/>
        </w:rPr>
        <w:t>杭州市</w:t>
      </w:r>
      <w:r>
        <w:rPr>
          <w:rFonts w:ascii="宋体" w:hAnsi="宋体" w:cs="宋体"/>
          <w:sz w:val="24"/>
        </w:rPr>
        <w:t>西湖区文三西路668号</w:t>
      </w:r>
      <w:r>
        <w:rPr>
          <w:rFonts w:hint="eastAsia" w:ascii="宋体" w:hAnsi="宋体" w:cs="宋体"/>
          <w:color w:val="auto"/>
          <w:sz w:val="24"/>
        </w:rPr>
        <w:t xml:space="preserve">     </w:t>
      </w:r>
    </w:p>
    <w:p>
      <w:pPr>
        <w:spacing w:line="360" w:lineRule="auto"/>
        <w:ind w:firstLine="480"/>
        <w:rPr>
          <w:rFonts w:ascii="宋体" w:hAnsi="宋体" w:cs="宋体"/>
          <w:color w:val="auto"/>
          <w:sz w:val="24"/>
        </w:rPr>
      </w:pPr>
      <w:r>
        <w:rPr>
          <w:rFonts w:hint="eastAsia" w:ascii="宋体" w:hAnsi="宋体" w:cs="宋体"/>
          <w:color w:val="auto"/>
          <w:sz w:val="24"/>
        </w:rPr>
        <w:t>传    真： /</w:t>
      </w:r>
    </w:p>
    <w:p>
      <w:pPr>
        <w:spacing w:line="360" w:lineRule="auto"/>
        <w:ind w:firstLine="480"/>
        <w:rPr>
          <w:rFonts w:ascii="宋体" w:hAnsi="宋体" w:cs="宋体"/>
          <w:color w:val="auto"/>
          <w:sz w:val="24"/>
        </w:rPr>
      </w:pPr>
      <w:r>
        <w:rPr>
          <w:rFonts w:hint="eastAsia" w:ascii="宋体" w:hAnsi="宋体" w:cs="宋体"/>
          <w:color w:val="auto"/>
          <w:sz w:val="24"/>
        </w:rPr>
        <w:t>项目联系人（询问）：</w:t>
      </w:r>
      <w:r>
        <w:rPr>
          <w:rFonts w:hint="eastAsia" w:ascii="宋体" w:hAnsi="宋体" w:cs="宋体"/>
          <w:sz w:val="24"/>
        </w:rPr>
        <w:t>郑志亮</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项目联系方式（询问）：</w:t>
      </w:r>
      <w:r>
        <w:rPr>
          <w:rFonts w:hint="eastAsia" w:ascii="宋体" w:hAnsi="宋体" w:cs="宋体"/>
          <w:sz w:val="24"/>
        </w:rPr>
        <w:t xml:space="preserve"> 18989879022</w:t>
      </w:r>
    </w:p>
    <w:p>
      <w:pPr>
        <w:spacing w:line="360" w:lineRule="auto"/>
        <w:rPr>
          <w:rFonts w:ascii="宋体" w:hAnsi="宋体" w:cs="宋体"/>
          <w:color w:val="auto"/>
          <w:sz w:val="24"/>
        </w:rPr>
      </w:pPr>
      <w:r>
        <w:rPr>
          <w:rFonts w:hint="eastAsia" w:ascii="宋体" w:hAnsi="宋体" w:cs="宋体"/>
          <w:color w:val="auto"/>
          <w:sz w:val="24"/>
        </w:rPr>
        <w:t xml:space="preserve">    质疑联系人：</w:t>
      </w:r>
      <w:r>
        <w:rPr>
          <w:rFonts w:hint="eastAsia" w:ascii="宋体" w:hAnsi="宋体" w:cs="宋体"/>
          <w:sz w:val="24"/>
        </w:rPr>
        <w:t>徐新钢</w:t>
      </w:r>
    </w:p>
    <w:p>
      <w:pPr>
        <w:spacing w:line="360" w:lineRule="auto"/>
        <w:rPr>
          <w:rFonts w:hint="default" w:ascii="宋体" w:hAnsi="宋体" w:cs="宋体"/>
          <w:color w:val="auto"/>
          <w:sz w:val="24"/>
          <w:lang w:val="en-US"/>
        </w:rPr>
      </w:pPr>
      <w:r>
        <w:rPr>
          <w:rFonts w:hint="eastAsia" w:ascii="宋体" w:hAnsi="宋体" w:cs="宋体"/>
          <w:color w:val="auto"/>
          <w:sz w:val="24"/>
        </w:rPr>
        <w:t xml:space="preserve">    质疑联系方式：</w:t>
      </w:r>
      <w:r>
        <w:rPr>
          <w:rFonts w:hint="eastAsia" w:ascii="宋体" w:hAnsi="宋体" w:cs="宋体"/>
          <w:sz w:val="24"/>
        </w:rPr>
        <w:t>13588742758</w:t>
      </w:r>
    </w:p>
    <w:p>
      <w:pPr>
        <w:spacing w:line="360" w:lineRule="auto"/>
        <w:rPr>
          <w:rFonts w:ascii="宋体" w:hAnsi="宋体" w:cs="宋体"/>
          <w:color w:val="auto"/>
          <w:sz w:val="24"/>
        </w:rPr>
      </w:pPr>
      <w:r>
        <w:rPr>
          <w:rFonts w:hint="eastAsia" w:ascii="宋体" w:hAnsi="宋体" w:cs="宋体"/>
          <w:color w:val="auto"/>
          <w:sz w:val="24"/>
        </w:rPr>
        <w:t xml:space="preserve">    2.采购代理机构信息            </w:t>
      </w:r>
    </w:p>
    <w:p>
      <w:pPr>
        <w:spacing w:line="360" w:lineRule="auto"/>
        <w:ind w:firstLine="480"/>
        <w:rPr>
          <w:rFonts w:ascii="宋体" w:hAnsi="宋体" w:cs="宋体"/>
          <w:color w:val="auto"/>
          <w:sz w:val="24"/>
        </w:rPr>
      </w:pPr>
      <w:r>
        <w:rPr>
          <w:rFonts w:hint="eastAsia" w:ascii="宋体" w:hAnsi="宋体" w:cs="宋体"/>
          <w:color w:val="auto"/>
          <w:sz w:val="24"/>
        </w:rPr>
        <w:t>名    称：</w:t>
      </w:r>
      <w:r>
        <w:rPr>
          <w:rFonts w:hint="eastAsia" w:ascii="宋体" w:hAnsi="宋体" w:cs="宋体"/>
          <w:sz w:val="24"/>
          <w:highlight w:val="none"/>
          <w:lang w:eastAsia="zh-CN"/>
        </w:rPr>
        <w:t>杭州市西湖区政府采购中心</w:t>
      </w:r>
    </w:p>
    <w:p>
      <w:pPr>
        <w:spacing w:line="360" w:lineRule="auto"/>
        <w:ind w:firstLine="480"/>
        <w:rPr>
          <w:rFonts w:ascii="宋体" w:hAnsi="宋体" w:cs="宋体"/>
          <w:color w:val="auto"/>
          <w:sz w:val="24"/>
        </w:rPr>
      </w:pPr>
      <w:r>
        <w:rPr>
          <w:rFonts w:hint="eastAsia" w:ascii="宋体" w:hAnsi="宋体" w:cs="宋体"/>
          <w:color w:val="auto"/>
          <w:sz w:val="24"/>
        </w:rPr>
        <w:t>地    址：</w:t>
      </w:r>
      <w:r>
        <w:rPr>
          <w:rFonts w:hint="eastAsia" w:ascii="宋体" w:hAnsi="宋体" w:cs="宋体"/>
          <w:sz w:val="24"/>
          <w:highlight w:val="none"/>
          <w:lang w:eastAsia="zh-CN"/>
        </w:rPr>
        <w:t>杭州市西湖区文一西路858号</w:t>
      </w:r>
    </w:p>
    <w:p>
      <w:pPr>
        <w:spacing w:line="360" w:lineRule="auto"/>
        <w:rPr>
          <w:rFonts w:ascii="宋体" w:hAnsi="宋体" w:cs="宋体"/>
          <w:color w:val="auto"/>
          <w:sz w:val="24"/>
        </w:rPr>
      </w:pPr>
      <w:r>
        <w:rPr>
          <w:rFonts w:hint="eastAsia" w:ascii="宋体" w:hAnsi="宋体" w:cs="宋体"/>
          <w:color w:val="auto"/>
          <w:sz w:val="24"/>
        </w:rPr>
        <w:t xml:space="preserve">    传    真： /</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项目联系人（询问）： </w:t>
      </w:r>
      <w:r>
        <w:rPr>
          <w:rFonts w:hint="eastAsia" w:ascii="宋体" w:hAnsi="宋体" w:cs="宋体"/>
          <w:color w:val="auto"/>
          <w:sz w:val="24"/>
          <w:lang w:val="en-US" w:eastAsia="zh-CN"/>
        </w:rPr>
        <w:t>蒋晓峥</w:t>
      </w:r>
    </w:p>
    <w:p>
      <w:pPr>
        <w:spacing w:line="360" w:lineRule="auto"/>
        <w:rPr>
          <w:rFonts w:hint="default" w:ascii="宋体" w:hAnsi="宋体" w:cs="宋体"/>
          <w:color w:val="auto"/>
          <w:sz w:val="24"/>
          <w:lang w:val="en-US"/>
        </w:rPr>
      </w:pPr>
      <w:r>
        <w:rPr>
          <w:rFonts w:hint="eastAsia" w:ascii="宋体" w:hAnsi="宋体" w:cs="宋体"/>
          <w:color w:val="auto"/>
          <w:sz w:val="24"/>
        </w:rPr>
        <w:t xml:space="preserve">    项目联系方式（询问）：0571-</w:t>
      </w:r>
      <w:r>
        <w:rPr>
          <w:rFonts w:hint="default" w:ascii="宋体" w:hAnsi="宋体" w:cs="宋体"/>
          <w:color w:val="auto"/>
          <w:sz w:val="24"/>
          <w:lang w:val="en-US"/>
        </w:rPr>
        <w:t>89511448</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质疑联系人： </w:t>
      </w:r>
      <w:r>
        <w:rPr>
          <w:rFonts w:hint="eastAsia" w:ascii="宋体" w:hAnsi="宋体" w:cs="宋体"/>
          <w:color w:val="auto"/>
          <w:sz w:val="24"/>
          <w:lang w:eastAsia="zh-CN"/>
        </w:rPr>
        <w:t>缪新新</w:t>
      </w:r>
    </w:p>
    <w:p>
      <w:pPr>
        <w:spacing w:line="360" w:lineRule="auto"/>
        <w:rPr>
          <w:rFonts w:hint="default" w:ascii="宋体" w:hAnsi="宋体" w:cs="宋体"/>
          <w:color w:val="auto"/>
          <w:sz w:val="24"/>
          <w:lang w:val="en-US"/>
        </w:rPr>
      </w:pPr>
      <w:r>
        <w:rPr>
          <w:rFonts w:hint="eastAsia" w:ascii="宋体" w:hAnsi="宋体" w:cs="宋体"/>
          <w:color w:val="auto"/>
          <w:sz w:val="24"/>
        </w:rPr>
        <w:t xml:space="preserve">    质疑联系方式：0571-8</w:t>
      </w:r>
      <w:r>
        <w:rPr>
          <w:rFonts w:hint="default" w:ascii="宋体" w:hAnsi="宋体" w:cs="宋体"/>
          <w:color w:val="auto"/>
          <w:sz w:val="24"/>
          <w:lang w:val="en-US"/>
        </w:rPr>
        <w:t>9511561</w:t>
      </w:r>
    </w:p>
    <w:p>
      <w:pPr>
        <w:spacing w:line="360" w:lineRule="auto"/>
        <w:rPr>
          <w:rFonts w:ascii="宋体" w:hAnsi="宋体" w:cs="宋体"/>
          <w:color w:val="auto"/>
          <w:sz w:val="24"/>
        </w:rPr>
      </w:pPr>
      <w:r>
        <w:rPr>
          <w:rFonts w:hint="eastAsia" w:ascii="宋体" w:hAnsi="宋体" w:cs="宋体"/>
          <w:color w:val="auto"/>
          <w:sz w:val="24"/>
        </w:rPr>
        <w:t xml:space="preserve">    3.</w:t>
      </w:r>
      <w:r>
        <w:rPr>
          <w:rFonts w:hint="eastAsia"/>
          <w:color w:val="auto"/>
        </w:rPr>
        <w:t xml:space="preserve"> </w:t>
      </w:r>
      <w:r>
        <w:rPr>
          <w:rFonts w:hint="eastAsia" w:ascii="宋体" w:hAnsi="宋体" w:cs="宋体"/>
          <w:color w:val="auto"/>
          <w:sz w:val="24"/>
        </w:rPr>
        <w:t xml:space="preserve">同级政府采购监督管理部门            </w:t>
      </w:r>
    </w:p>
    <w:p>
      <w:pPr>
        <w:spacing w:line="360" w:lineRule="auto"/>
        <w:ind w:firstLine="480"/>
        <w:rPr>
          <w:rFonts w:hint="eastAsia" w:ascii="宋体" w:hAnsi="宋体" w:cs="宋体"/>
          <w:sz w:val="24"/>
          <w:highlight w:val="none"/>
          <w:lang w:eastAsia="zh-CN"/>
        </w:rPr>
      </w:pPr>
      <w:r>
        <w:rPr>
          <w:rFonts w:hint="eastAsia" w:ascii="宋体" w:hAnsi="宋体" w:cs="宋体"/>
          <w:color w:val="auto"/>
          <w:sz w:val="24"/>
        </w:rPr>
        <w:t>名    称：</w:t>
      </w:r>
      <w:r>
        <w:rPr>
          <w:rFonts w:hint="eastAsia" w:ascii="宋体" w:hAnsi="宋体" w:cs="宋体"/>
          <w:sz w:val="24"/>
          <w:highlight w:val="none"/>
          <w:lang w:eastAsia="zh-CN"/>
        </w:rPr>
        <w:t>杭州市西湖区政府采购监管科</w:t>
      </w:r>
    </w:p>
    <w:p>
      <w:pPr>
        <w:spacing w:line="360" w:lineRule="auto"/>
        <w:ind w:firstLine="480"/>
        <w:rPr>
          <w:rFonts w:ascii="宋体" w:hAnsi="宋体" w:cs="宋体"/>
          <w:color w:val="auto"/>
          <w:sz w:val="24"/>
        </w:rPr>
      </w:pPr>
      <w:r>
        <w:rPr>
          <w:rFonts w:hint="eastAsia" w:ascii="宋体" w:hAnsi="宋体" w:cs="宋体"/>
          <w:color w:val="auto"/>
          <w:sz w:val="24"/>
        </w:rPr>
        <w:t>地    址：</w:t>
      </w:r>
      <w:r>
        <w:rPr>
          <w:rFonts w:hint="eastAsia" w:ascii="宋体" w:hAnsi="宋体" w:cs="宋体"/>
          <w:sz w:val="24"/>
          <w:highlight w:val="none"/>
          <w:lang w:eastAsia="zh-CN"/>
        </w:rPr>
        <w:t>杭州市文三西路18号1104室</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传    真： /</w:t>
      </w:r>
    </w:p>
    <w:p>
      <w:pPr>
        <w:spacing w:line="360" w:lineRule="auto"/>
        <w:rPr>
          <w:rFonts w:ascii="宋体" w:hAnsi="宋体" w:cs="宋体"/>
          <w:color w:val="auto"/>
          <w:sz w:val="24"/>
        </w:rPr>
      </w:pPr>
      <w:r>
        <w:rPr>
          <w:rFonts w:hint="eastAsia" w:ascii="宋体" w:hAnsi="宋体" w:cs="宋体"/>
          <w:color w:val="auto"/>
          <w:sz w:val="24"/>
        </w:rPr>
        <w:t xml:space="preserve">    联系人 ：</w:t>
      </w:r>
      <w:r>
        <w:rPr>
          <w:rFonts w:hint="eastAsia" w:ascii="宋体" w:hAnsi="宋体" w:cs="宋体"/>
          <w:sz w:val="24"/>
          <w:highlight w:val="none"/>
          <w:lang w:eastAsia="zh-CN"/>
        </w:rPr>
        <w:t>韩继伟</w:t>
      </w:r>
    </w:p>
    <w:p>
      <w:pPr>
        <w:spacing w:line="360" w:lineRule="auto"/>
        <w:rPr>
          <w:rFonts w:ascii="宋体" w:hAnsi="宋体" w:cs="宋体"/>
          <w:color w:val="auto"/>
          <w:sz w:val="24"/>
        </w:rPr>
      </w:pPr>
      <w:r>
        <w:rPr>
          <w:rFonts w:hint="eastAsia" w:ascii="宋体" w:hAnsi="宋体" w:cs="宋体"/>
          <w:color w:val="auto"/>
          <w:sz w:val="24"/>
        </w:rPr>
        <w:t xml:space="preserve">    监督投诉电话：电话：0571-8</w:t>
      </w:r>
      <w:r>
        <w:rPr>
          <w:rFonts w:hint="default" w:ascii="宋体" w:hAnsi="宋体" w:cs="宋体"/>
          <w:color w:val="auto"/>
          <w:sz w:val="24"/>
          <w:lang w:val="en-US"/>
        </w:rPr>
        <w:t>9511307</w:t>
      </w:r>
      <w:r>
        <w:rPr>
          <w:rFonts w:hint="eastAsia" w:ascii="宋体" w:hAnsi="宋体" w:cs="宋体"/>
          <w:color w:val="auto"/>
          <w:sz w:val="24"/>
        </w:rPr>
        <w:t xml:space="preserve">    </w:t>
      </w:r>
    </w:p>
    <w:p>
      <w:pPr>
        <w:spacing w:line="360" w:lineRule="auto"/>
        <w:ind w:firstLine="480" w:firstLineChars="200"/>
        <w:rPr>
          <w:rFonts w:ascii="宋体" w:hAnsi="宋体" w:cs="宋体"/>
          <w:color w:val="auto"/>
          <w:sz w:val="24"/>
        </w:rPr>
      </w:pPr>
      <w:r>
        <w:rPr>
          <w:rFonts w:hint="eastAsia" w:ascii="宋体" w:hAnsi="宋体" w:cs="宋体"/>
          <w:color w:val="auto"/>
          <w:sz w:val="24"/>
        </w:rPr>
        <w:t>若对项目采购电子交易系统操作有疑问，可登录政采云（https://www.zcygov.cn/），点击右侧咨询小采，获取采小蜜智能服务管家帮助，或拨打政采云服务热线</w:t>
      </w:r>
      <w:r>
        <w:rPr>
          <w:rFonts w:hint="eastAsia" w:ascii="微软雅黑" w:hAnsi="微软雅黑" w:eastAsia="微软雅黑"/>
          <w:color w:val="auto"/>
          <w:szCs w:val="21"/>
          <w:shd w:val="clear" w:color="auto" w:fill="FFFFFF"/>
        </w:rPr>
        <w:t>95763</w:t>
      </w:r>
      <w:r>
        <w:rPr>
          <w:rFonts w:hint="eastAsia" w:ascii="宋体" w:hAnsi="宋体" w:cs="宋体"/>
          <w:color w:val="auto"/>
          <w:sz w:val="24"/>
        </w:rPr>
        <w:t>获取热线服务帮助。</w:t>
      </w:r>
    </w:p>
    <w:p>
      <w:pPr>
        <w:spacing w:line="360" w:lineRule="auto"/>
        <w:ind w:firstLine="480" w:firstLineChars="200"/>
        <w:rPr>
          <w:rFonts w:ascii="宋体" w:hAnsi="宋体" w:cs="宋体"/>
          <w:color w:val="auto"/>
          <w:sz w:val="24"/>
        </w:rPr>
      </w:pPr>
      <w:r>
        <w:rPr>
          <w:rFonts w:hint="eastAsia" w:ascii="宋体" w:hAnsi="宋体" w:cs="宋体"/>
          <w:color w:val="auto"/>
          <w:sz w:val="24"/>
        </w:rPr>
        <w:t>CA问题联系电话（人工）：汇信CA 400-888-4636；天谷CA 400-087-8198。</w:t>
      </w:r>
    </w:p>
    <w:p>
      <w:pPr>
        <w:pStyle w:val="33"/>
        <w:spacing w:line="360" w:lineRule="auto"/>
        <w:rPr>
          <w:rFonts w:hAnsi="宋体" w:cs="宋体"/>
          <w:b/>
          <w:color w:val="auto"/>
          <w:sz w:val="36"/>
          <w:szCs w:val="20"/>
        </w:rPr>
      </w:pPr>
      <w:r>
        <w:rPr>
          <w:rFonts w:hint="eastAsia" w:hAnsi="宋体" w:cs="宋体"/>
          <w:color w:val="auto"/>
          <w:sz w:val="24"/>
        </w:rPr>
        <w:t xml:space="preserve">                        </w:t>
      </w:r>
      <w:r>
        <w:rPr>
          <w:rFonts w:hAnsi="宋体" w:cs="宋体"/>
          <w:b/>
          <w:color w:val="auto"/>
          <w:sz w:val="36"/>
          <w:szCs w:val="20"/>
        </w:rPr>
        <w:t xml:space="preserve"> </w:t>
      </w:r>
    </w:p>
    <w:p>
      <w:pPr>
        <w:pStyle w:val="5"/>
        <w:rPr>
          <w:rFonts w:ascii="宋体"/>
          <w:snapToGrid w:val="0"/>
          <w:color w:val="auto"/>
        </w:rPr>
      </w:pPr>
      <w:r>
        <w:rPr>
          <w:color w:val="auto"/>
        </w:rPr>
        <w:br w:type="page"/>
      </w:r>
    </w:p>
    <w:p>
      <w:pPr>
        <w:adjustRightInd/>
        <w:spacing w:line="360" w:lineRule="auto"/>
        <w:jc w:val="center"/>
        <w:outlineLvl w:val="0"/>
        <w:rPr>
          <w:rFonts w:ascii="宋体" w:hAnsi="宋体" w:cs="宋体"/>
          <w:b/>
          <w:color w:val="auto"/>
          <w:sz w:val="36"/>
          <w:szCs w:val="20"/>
        </w:rPr>
      </w:pPr>
      <w:r>
        <w:rPr>
          <w:rFonts w:hint="eastAsia" w:ascii="宋体" w:hAnsi="宋体" w:cs="宋体"/>
          <w:b/>
          <w:color w:val="auto"/>
          <w:sz w:val="36"/>
          <w:szCs w:val="20"/>
        </w:rPr>
        <w:t>第二部分</w:t>
      </w:r>
      <w:bookmarkEnd w:id="8"/>
      <w:r>
        <w:rPr>
          <w:rFonts w:hint="eastAsia" w:ascii="宋体" w:hAnsi="宋体" w:cs="宋体"/>
          <w:b/>
          <w:color w:val="auto"/>
          <w:sz w:val="36"/>
          <w:szCs w:val="20"/>
        </w:rPr>
        <w:t xml:space="preserve"> 投标人须知</w:t>
      </w:r>
      <w:bookmarkEnd w:id="9"/>
    </w:p>
    <w:p>
      <w:pPr>
        <w:adjustRightInd/>
        <w:spacing w:line="360" w:lineRule="auto"/>
        <w:ind w:firstLine="3845" w:firstLineChars="1197"/>
        <w:outlineLvl w:val="0"/>
        <w:rPr>
          <w:rFonts w:ascii="宋体" w:hAnsi="宋体" w:cs="宋体"/>
          <w:b/>
          <w:color w:val="auto"/>
          <w:sz w:val="32"/>
          <w:szCs w:val="20"/>
        </w:rPr>
      </w:pPr>
      <w:r>
        <w:rPr>
          <w:rFonts w:hint="eastAsia" w:ascii="宋体" w:hAnsi="宋体" w:cs="宋体"/>
          <w:b/>
          <w:color w:val="auto"/>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货物类，</w:t>
            </w:r>
          </w:p>
          <w:p>
            <w:pPr>
              <w:spacing w:line="360" w:lineRule="auto"/>
              <w:rPr>
                <w:rFonts w:ascii="宋体" w:hAnsi="宋体" w:cs="宋体"/>
                <w:color w:val="auto"/>
                <w:sz w:val="24"/>
              </w:rPr>
            </w:pPr>
            <w:r>
              <w:rPr>
                <w:rFonts w:hint="eastAsia" w:ascii="宋体" w:hAnsi="宋体" w:cs="宋体"/>
                <w:color w:val="auto"/>
                <w:sz w:val="24"/>
              </w:rPr>
              <w:t>单一产品或</w:t>
            </w:r>
            <w:r>
              <w:rPr>
                <w:rFonts w:hint="eastAsia" w:ascii="宋体" w:hAnsi="宋体" w:cs="宋体"/>
                <w:color w:val="auto"/>
                <w:kern w:val="0"/>
                <w:sz w:val="24"/>
              </w:rPr>
              <w:t>核心产品为：</w:t>
            </w:r>
            <w:r>
              <w:rPr>
                <w:rFonts w:hint="eastAsia" w:ascii="宋体" w:hAnsi="宋体" w:cs="宋体"/>
                <w:strike w:val="0"/>
                <w:dstrike w:val="0"/>
                <w:color w:val="auto"/>
                <w:sz w:val="24"/>
                <w:u w:val="single"/>
              </w:rPr>
              <w:t xml:space="preserve"> </w:t>
            </w:r>
            <w:r>
              <w:rPr>
                <w:rFonts w:ascii="宋体" w:hAnsi="宋体" w:cs="宋体"/>
                <w:strike w:val="0"/>
                <w:dstrike w:val="0"/>
                <w:sz w:val="24"/>
                <w:u w:val="single"/>
              </w:rPr>
              <w:t>数据网核心交换机</w:t>
            </w:r>
            <w:r>
              <w:rPr>
                <w:rFonts w:hint="eastAsia" w:ascii="宋体" w:hAnsi="宋体" w:cs="宋体"/>
                <w:strike w:val="0"/>
                <w:dstrike w:val="0"/>
                <w:color w:val="auto"/>
                <w:sz w:val="24"/>
                <w:u w:val="single"/>
              </w:rPr>
              <w:t xml:space="preserve"> </w:t>
            </w:r>
            <w:r>
              <w:rPr>
                <w:rFonts w:hint="eastAsia" w:ascii="宋体" w:hAnsi="宋体" w:cs="宋体"/>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rPr>
            </w:pPr>
            <w:r>
              <w:rPr>
                <w:rFonts w:hint="eastAsia" w:ascii="宋体" w:hAnsi="宋体" w:cs="宋体"/>
                <w:color w:val="auto"/>
                <w:kern w:val="0"/>
                <w:sz w:val="24"/>
              </w:rPr>
              <w:t>（1）标的：</w:t>
            </w:r>
            <w:r>
              <w:rPr>
                <w:rFonts w:hint="eastAsia" w:ascii="宋体" w:hAnsi="宋体" w:cs="宋体"/>
                <w:color w:val="auto"/>
                <w:kern w:val="0"/>
                <w:sz w:val="24"/>
                <w:u w:val="single"/>
              </w:rPr>
              <w:t xml:space="preserve"> </w:t>
            </w:r>
            <w:r>
              <w:rPr>
                <w:rFonts w:hint="eastAsia" w:ascii="宋体" w:hAnsi="宋体" w:cs="宋体"/>
                <w:sz w:val="24"/>
                <w:u w:val="single"/>
              </w:rPr>
              <w:t>计算机网络设备</w:t>
            </w:r>
            <w:r>
              <w:rPr>
                <w:rFonts w:hint="eastAsia" w:ascii="宋体" w:hAnsi="宋体" w:cs="宋体"/>
                <w:color w:val="auto"/>
                <w:kern w:val="0"/>
                <w:sz w:val="24"/>
                <w:u w:val="single"/>
              </w:rPr>
              <w:t xml:space="preserve"> </w:t>
            </w:r>
            <w:r>
              <w:rPr>
                <w:rFonts w:hint="eastAsia" w:ascii="宋体" w:hAnsi="宋体" w:cs="宋体"/>
                <w:color w:val="auto"/>
                <w:kern w:val="0"/>
                <w:sz w:val="24"/>
              </w:rPr>
              <w:t>，属于</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eastAsia="zh-CN"/>
              </w:rPr>
              <w:t>工业</w:t>
            </w:r>
            <w:r>
              <w:rPr>
                <w:rFonts w:hint="eastAsia" w:ascii="宋体" w:hAnsi="宋体" w:cs="宋体"/>
                <w:color w:val="auto"/>
                <w:kern w:val="0"/>
                <w:sz w:val="24"/>
                <w:u w:val="single"/>
              </w:rPr>
              <w:t xml:space="preserve"> </w:t>
            </w:r>
            <w:r>
              <w:rPr>
                <w:rFonts w:hint="eastAsia" w:ascii="宋体" w:hAnsi="宋体" w:cs="宋体"/>
                <w:color w:val="auto"/>
                <w:kern w:val="0"/>
                <w:sz w:val="24"/>
              </w:rPr>
              <w:t>行业；</w:t>
            </w:r>
          </w:p>
          <w:p>
            <w:pPr>
              <w:pStyle w:val="5"/>
              <w:rPr>
                <w:rFonts w:ascii="宋体" w:hAnsi="宋体" w:eastAsia="宋体" w:cs="宋体"/>
                <w:color w:val="auto"/>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rPr>
            </w:pPr>
            <w:sdt>
              <w:sdtPr>
                <w:rPr>
                  <w:rFonts w:hint="eastAsia" w:ascii="宋体" w:hAnsi="宋体" w:cs="宋体"/>
                  <w:color w:val="auto"/>
                  <w:kern w:val="0"/>
                  <w:sz w:val="24"/>
                </w:rPr>
                <w:id w:val="-182842570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本项目不允许采购进口产品。</w:t>
            </w:r>
          </w:p>
          <w:p>
            <w:pPr>
              <w:spacing w:line="360" w:lineRule="auto"/>
              <w:rPr>
                <w:rFonts w:ascii="宋体" w:hAnsi="宋体" w:cs="宋体"/>
                <w:color w:val="auto"/>
              </w:rPr>
            </w:pPr>
            <w:sdt>
              <w:sdtPr>
                <w:rPr>
                  <w:rFonts w:hint="eastAsia" w:ascii="宋体" w:hAnsi="宋体" w:cs="宋体"/>
                  <w:color w:val="auto"/>
                  <w:kern w:val="0"/>
                  <w:sz w:val="24"/>
                </w:rPr>
                <w:id w:val="-5285282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Mincho" w:hAnsi="MS Mincho" w:eastAsia="MS Mincho" w:cs="MS Mincho"/>
                    <w:color w:val="auto"/>
                    <w:kern w:val="0"/>
                    <w:sz w:val="24"/>
                  </w:rPr>
                  <w:t>☐</w:t>
                </w:r>
              </w:sdtContent>
            </w:sdt>
            <w:r>
              <w:rPr>
                <w:rFonts w:hint="eastAsia" w:ascii="宋体" w:hAnsi="宋体" w:cs="宋体"/>
                <w:color w:val="auto"/>
                <w:kern w:val="0"/>
                <w:sz w:val="24"/>
              </w:rPr>
              <w:t>可以就</w:t>
            </w:r>
            <w:r>
              <w:rPr>
                <w:rFonts w:hint="eastAsia" w:ascii="宋体" w:hAnsi="宋体" w:cs="宋体"/>
                <w:color w:val="auto"/>
                <w:sz w:val="24"/>
                <w:u w:val="single"/>
              </w:rPr>
              <w:t xml:space="preserve">    </w:t>
            </w:r>
            <w:r>
              <w:rPr>
                <w:rFonts w:hint="eastAsia" w:ascii="宋体" w:hAnsi="宋体" w:cs="宋体"/>
                <w:color w:val="auto"/>
                <w:kern w:val="0"/>
                <w:sz w:val="24"/>
              </w:rPr>
              <w:t>采购进口产品。</w:t>
            </w:r>
            <w:r>
              <w:rPr>
                <w:rFonts w:hint="eastAsia" w:ascii="宋体" w:hAnsi="宋体" w:cs="宋体"/>
                <w:color w:val="auto"/>
                <w:kern w:val="0"/>
                <w:sz w:val="24"/>
                <w:highlight w:val="none"/>
              </w:rPr>
              <w:t>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auto"/>
                <w:sz w:val="24"/>
              </w:rPr>
            </w:pPr>
            <w:sdt>
              <w:sdtPr>
                <w:rPr>
                  <w:rFonts w:hint="eastAsia" w:ascii="宋体" w:hAnsi="宋体" w:cs="宋体"/>
                  <w:color w:val="auto"/>
                  <w:kern w:val="0"/>
                  <w:sz w:val="24"/>
                </w:rPr>
                <w:id w:val="-147728692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cs="宋体"/>
                <w:color w:val="auto"/>
                <w:sz w:val="24"/>
                <w:u w:val="single"/>
              </w:rPr>
              <w:t xml:space="preserve"> </w:t>
            </w:r>
            <w:r>
              <w:rPr>
                <w:rFonts w:hint="default" w:ascii="宋体" w:hAnsi="宋体" w:cs="宋体"/>
                <w:color w:val="auto"/>
                <w:sz w:val="24"/>
                <w:u w:val="single"/>
                <w:lang w:val="en-US" w:eastAsia="zh-CN"/>
              </w:rPr>
              <w:t xml:space="preserve">  </w:t>
            </w:r>
            <w:r>
              <w:rPr>
                <w:rFonts w:hint="eastAsia" w:ascii="宋体" w:hAnsi="宋体" w:cs="宋体"/>
                <w:color w:val="auto"/>
                <w:sz w:val="24"/>
                <w:u w:val="single"/>
                <w:lang w:val="en-US" w:eastAsia="zh-CN"/>
              </w:rPr>
              <w:t>设备安装</w:t>
            </w:r>
            <w:r>
              <w:rPr>
                <w:rFonts w:hint="default"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工作分包。</w:t>
            </w:r>
          </w:p>
          <w:p>
            <w:pPr>
              <w:spacing w:line="360" w:lineRule="auto"/>
              <w:rPr>
                <w:rFonts w:ascii="宋体" w:hAnsi="宋体" w:cs="宋体"/>
                <w:color w:val="auto"/>
                <w:sz w:val="24"/>
              </w:rPr>
            </w:pPr>
            <w:sdt>
              <w:sdtPr>
                <w:rPr>
                  <w:rFonts w:hint="eastAsia" w:ascii="宋体" w:hAnsi="宋体" w:cs="宋体"/>
                  <w:color w:val="auto"/>
                  <w:kern w:val="0"/>
                  <w:sz w:val="24"/>
                </w:rPr>
                <w:id w:val="-127633135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cs="宋体"/>
                    <w:color w:val="auto"/>
                    <w:kern w:val="0"/>
                    <w:sz w:val="24"/>
                  </w:rPr>
                  <w:t>☐</w:t>
                </w:r>
              </w:sdtContent>
            </w:sdt>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21296641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sz w:val="24"/>
                <w:szCs w:val="20"/>
              </w:rPr>
            </w:pPr>
            <w:sdt>
              <w:sdtPr>
                <w:rPr>
                  <w:rFonts w:hint="eastAsia" w:ascii="宋体" w:hAnsi="宋体" w:cs="宋体"/>
                  <w:color w:val="auto"/>
                  <w:kern w:val="0"/>
                  <w:sz w:val="24"/>
                </w:rPr>
                <w:id w:val="-99980297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r>
              <w:rPr>
                <w:rFonts w:hint="eastAsia" w:ascii="宋体" w:hAnsi="宋体" w:cs="宋体"/>
                <w:color w:val="auto"/>
                <w:sz w:val="24"/>
              </w:rPr>
              <w:t>时间：</w:t>
            </w:r>
            <w:r>
              <w:rPr>
                <w:rFonts w:hint="eastAsia" w:ascii="宋体" w:hAnsi="宋体" w:cs="宋体"/>
                <w:color w:val="auto"/>
                <w:sz w:val="24"/>
                <w:u w:val="single"/>
              </w:rPr>
              <w:t xml:space="preserve">      </w:t>
            </w:r>
            <w:r>
              <w:rPr>
                <w:rFonts w:hint="eastAsia" w:ascii="宋体" w:hAnsi="宋体" w:cs="宋体"/>
                <w:color w:val="auto"/>
                <w:sz w:val="24"/>
              </w:rPr>
              <w:t>,地点：</w:t>
            </w:r>
            <w:r>
              <w:rPr>
                <w:rFonts w:hint="eastAsia" w:ascii="宋体" w:hAnsi="宋体" w:cs="宋体"/>
                <w:color w:val="auto"/>
                <w:sz w:val="24"/>
                <w:u w:val="single"/>
              </w:rPr>
              <w:t xml:space="preserve">      </w:t>
            </w:r>
            <w:r>
              <w:rPr>
                <w:rFonts w:hint="eastAsia" w:ascii="宋体" w:hAnsi="宋体" w:cs="宋体"/>
                <w:color w:val="auto"/>
                <w:sz w:val="24"/>
              </w:rPr>
              <w:t>，联系人：</w:t>
            </w:r>
            <w:r>
              <w:rPr>
                <w:rFonts w:hint="eastAsia" w:ascii="宋体" w:hAnsi="宋体" w:cs="宋体"/>
                <w:color w:val="auto"/>
                <w:sz w:val="24"/>
                <w:u w:val="single"/>
              </w:rPr>
              <w:t xml:space="preserve">      </w:t>
            </w:r>
            <w:r>
              <w:rPr>
                <w:rFonts w:hint="eastAsia" w:ascii="宋体" w:hAnsi="宋体" w:cs="宋体"/>
                <w:color w:val="auto"/>
                <w:sz w:val="24"/>
              </w:rPr>
              <w:t>，联系方式：</w:t>
            </w:r>
            <w:r>
              <w:rPr>
                <w:rFonts w:hint="eastAsia" w:ascii="宋体" w:hAnsi="宋体" w:cs="宋体"/>
                <w:color w:val="auto"/>
                <w:sz w:val="24"/>
                <w:u w:val="single"/>
              </w:rPr>
              <w:t xml:space="preserve">      </w:t>
            </w:r>
            <w:r>
              <w:rPr>
                <w:rFonts w:hint="eastAsia" w:ascii="宋体" w:hAnsi="宋体" w:cs="宋体"/>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63994648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不要求提供。</w:t>
            </w:r>
          </w:p>
          <w:p>
            <w:pPr>
              <w:spacing w:line="360" w:lineRule="auto"/>
              <w:rPr>
                <w:rFonts w:ascii="宋体" w:hAnsi="宋体" w:cs="宋体"/>
                <w:color w:val="auto"/>
                <w:kern w:val="0"/>
                <w:sz w:val="24"/>
              </w:rPr>
            </w:pPr>
            <w:sdt>
              <w:sdtPr>
                <w:rPr>
                  <w:rFonts w:hint="eastAsia" w:ascii="宋体" w:hAnsi="宋体" w:cs="宋体"/>
                  <w:color w:val="auto"/>
                  <w:kern w:val="0"/>
                  <w:sz w:val="24"/>
                </w:rPr>
                <w:id w:val="102683198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B要求提供</w:t>
            </w:r>
            <w:r>
              <w:rPr>
                <w:rFonts w:hint="eastAsia" w:ascii="宋体" w:hAnsi="宋体" w:cs="宋体"/>
                <w:color w:val="auto"/>
                <w:kern w:val="0"/>
                <w:sz w:val="24"/>
                <w:highlight w:val="none"/>
              </w:rPr>
              <w:t>（未提供样品或提供样品不满足采购需求实质性条件的供应商，投标无效）：</w:t>
            </w:r>
          </w:p>
          <w:p>
            <w:pPr>
              <w:spacing w:line="360" w:lineRule="auto"/>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snapToGrid w:val="0"/>
                <w:color w:val="auto"/>
                <w:kern w:val="28"/>
                <w:sz w:val="24"/>
              </w:rPr>
              <w:t>样品：</w:t>
            </w:r>
            <w:r>
              <w:rPr>
                <w:rFonts w:hint="eastAsia" w:ascii="宋体" w:hAnsi="宋体" w:cs="宋体"/>
                <w:color w:val="auto"/>
                <w:sz w:val="24"/>
                <w:u w:val="single"/>
              </w:rPr>
              <w:t xml:space="preserve">    </w:t>
            </w:r>
            <w:r>
              <w:rPr>
                <w:rFonts w:hint="eastAsia" w:ascii="宋体" w:hAnsi="宋体" w:cs="宋体"/>
                <w:color w:val="auto"/>
                <w:kern w:val="0"/>
                <w:sz w:val="24"/>
              </w:rPr>
              <w:t>；</w:t>
            </w:r>
            <w:r>
              <w:rPr>
                <w:rFonts w:ascii="宋体" w:hAnsi="宋体" w:cs="宋体"/>
                <w:color w:val="auto"/>
                <w:kern w:val="0"/>
                <w:sz w:val="24"/>
              </w:rPr>
              <w:t xml:space="preserve"> </w:t>
            </w:r>
          </w:p>
          <w:p>
            <w:pPr>
              <w:spacing w:line="360" w:lineRule="auto"/>
              <w:rPr>
                <w:rFonts w:ascii="宋体" w:hAnsi="宋体" w:cs="宋体"/>
                <w:color w:val="auto"/>
                <w:kern w:val="0"/>
                <w:sz w:val="24"/>
              </w:rPr>
            </w:pPr>
            <w:r>
              <w:rPr>
                <w:rFonts w:hint="eastAsia" w:ascii="宋体" w:hAnsi="宋体" w:cs="宋体"/>
                <w:color w:val="auto"/>
                <w:kern w:val="0"/>
                <w:sz w:val="24"/>
              </w:rPr>
              <w:t>（2）</w:t>
            </w:r>
            <w:r>
              <w:rPr>
                <w:rFonts w:hint="eastAsia" w:ascii="宋体" w:hAnsi="宋体" w:cs="宋体"/>
                <w:snapToGrid w:val="0"/>
                <w:color w:val="auto"/>
                <w:kern w:val="28"/>
                <w:sz w:val="24"/>
              </w:rPr>
              <w:t>样品制作的标准和要求：</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（3）样品的评审方法以及评审标准：</w:t>
            </w:r>
          </w:p>
          <w:p>
            <w:pPr>
              <w:spacing w:line="360" w:lineRule="auto"/>
              <w:ind w:firstLine="240" w:firstLineChars="100"/>
              <w:rPr>
                <w:rFonts w:ascii="宋体" w:hAnsi="宋体" w:cs="宋体"/>
                <w:color w:val="auto"/>
                <w:sz w:val="24"/>
              </w:rPr>
            </w:pPr>
            <w:sdt>
              <w:sdtPr>
                <w:rPr>
                  <w:rFonts w:hint="eastAsia" w:ascii="宋体" w:hAnsi="宋体" w:cs="宋体"/>
                  <w:color w:val="auto"/>
                  <w:kern w:val="0"/>
                  <w:sz w:val="24"/>
                </w:rPr>
                <w:id w:val="-1350092240"/>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样品分未超过价格分的50%；</w:t>
            </w:r>
          </w:p>
          <w:p>
            <w:pPr>
              <w:spacing w:line="360" w:lineRule="auto"/>
              <w:ind w:firstLine="240" w:firstLineChars="100"/>
              <w:rPr>
                <w:rFonts w:ascii="宋体" w:hAnsi="宋体" w:cs="宋体"/>
                <w:color w:val="auto"/>
                <w:kern w:val="0"/>
                <w:sz w:val="24"/>
              </w:rPr>
            </w:pPr>
            <w:sdt>
              <w:sdtPr>
                <w:rPr>
                  <w:rFonts w:hint="eastAsia" w:ascii="宋体" w:hAnsi="宋体" w:cs="宋体"/>
                  <w:color w:val="auto"/>
                  <w:kern w:val="0"/>
                  <w:sz w:val="24"/>
                </w:rPr>
                <w:id w:val="-148554041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样品分超过价格分的50%，理由</w:t>
            </w:r>
            <w:r>
              <w:rPr>
                <w:rFonts w:hint="eastAsia" w:ascii="宋体" w:hAnsi="宋体" w:cs="宋体"/>
                <w:color w:val="auto"/>
                <w:sz w:val="24"/>
                <w:u w:val="single"/>
              </w:rPr>
              <w:t xml:space="preserve"> </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spacing w:line="360" w:lineRule="auto"/>
              <w:ind w:firstLine="240" w:firstLineChars="100"/>
              <w:rPr>
                <w:rFonts w:ascii="宋体" w:hAnsi="宋体" w:cs="宋体"/>
                <w:color w:val="auto"/>
                <w:kern w:val="0"/>
                <w:sz w:val="24"/>
              </w:rPr>
            </w:pPr>
            <w:r>
              <w:rPr>
                <w:rFonts w:hint="eastAsia" w:ascii="宋体" w:hAnsi="宋体" w:cs="宋体"/>
                <w:snapToGrid w:val="0"/>
                <w:color w:val="auto"/>
                <w:kern w:val="28"/>
                <w:sz w:val="24"/>
              </w:rPr>
              <w:t>详见招标文件第四部分</w:t>
            </w:r>
            <w:r>
              <w:rPr>
                <w:rFonts w:hint="eastAsia" w:ascii="宋体" w:hAnsi="宋体" w:cs="宋体"/>
                <w:color w:val="auto"/>
                <w:sz w:val="24"/>
                <w:u w:val="single"/>
              </w:rPr>
              <w:t>评标办分法</w:t>
            </w:r>
            <w:r>
              <w:rPr>
                <w:rFonts w:hint="eastAsia" w:ascii="宋体" w:hAnsi="宋体" w:cs="宋体"/>
                <w:color w:val="auto"/>
                <w:kern w:val="0"/>
                <w:sz w:val="24"/>
              </w:rPr>
              <w:t xml:space="preserve">。 </w:t>
            </w:r>
          </w:p>
          <w:p>
            <w:pPr>
              <w:spacing w:line="360" w:lineRule="auto"/>
              <w:rPr>
                <w:rFonts w:ascii="宋体" w:hAnsi="宋体" w:cs="宋体"/>
                <w:color w:val="auto"/>
                <w:kern w:val="0"/>
                <w:sz w:val="24"/>
              </w:rPr>
            </w:pPr>
            <w:r>
              <w:rPr>
                <w:rFonts w:hint="eastAsia" w:ascii="宋体" w:hAnsi="宋体" w:cs="宋体"/>
                <w:color w:val="auto"/>
                <w:kern w:val="0"/>
                <w:sz w:val="24"/>
              </w:rPr>
              <w:t>（4）是否需要随样品提交检测报告：</w:t>
            </w:r>
            <w:sdt>
              <w:sdtPr>
                <w:rPr>
                  <w:rFonts w:hint="eastAsia" w:ascii="宋体" w:hAnsi="宋体" w:cs="宋体"/>
                  <w:color w:val="auto"/>
                  <w:kern w:val="0"/>
                  <w:sz w:val="24"/>
                </w:rPr>
                <w:id w:val="1303421454"/>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否；</w:t>
            </w:r>
            <w:sdt>
              <w:sdtPr>
                <w:rPr>
                  <w:rFonts w:hint="eastAsia" w:ascii="宋体" w:hAnsi="宋体" w:cs="宋体"/>
                  <w:color w:val="auto"/>
                  <w:kern w:val="0"/>
                  <w:sz w:val="24"/>
                </w:rPr>
                <w:id w:val="162172843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是，检测机构的要求</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；检测内容</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sz w:val="24"/>
              </w:rPr>
            </w:pPr>
            <w:r>
              <w:rPr>
                <w:rFonts w:hint="eastAsia" w:ascii="宋体" w:hAnsi="宋体" w:cs="宋体"/>
                <w:color w:val="auto"/>
                <w:sz w:val="24"/>
              </w:rPr>
              <w:t>（5）提供样品的时间：</w:t>
            </w:r>
            <w:r>
              <w:rPr>
                <w:rFonts w:hint="eastAsia" w:ascii="宋体" w:hAnsi="宋体" w:cs="宋体"/>
                <w:color w:val="auto"/>
                <w:sz w:val="24"/>
                <w:u w:val="single"/>
              </w:rPr>
              <w:t xml:space="preserve">    </w:t>
            </w:r>
            <w:r>
              <w:rPr>
                <w:rFonts w:hint="eastAsia" w:ascii="宋体" w:hAnsi="宋体" w:cs="宋体"/>
                <w:color w:val="auto"/>
                <w:kern w:val="0"/>
                <w:sz w:val="24"/>
              </w:rPr>
              <w:t>；地点：</w:t>
            </w:r>
            <w:r>
              <w:rPr>
                <w:rFonts w:hint="eastAsia" w:ascii="宋体" w:hAnsi="宋体" w:cs="宋体"/>
                <w:color w:val="auto"/>
                <w:sz w:val="24"/>
                <w:u w:val="single"/>
              </w:rPr>
              <w:t xml:space="preserve">    </w:t>
            </w:r>
            <w:r>
              <w:rPr>
                <w:rFonts w:hint="eastAsia" w:ascii="宋体" w:hAnsi="宋体" w:cs="宋体"/>
                <w:color w:val="auto"/>
                <w:kern w:val="0"/>
                <w:sz w:val="24"/>
              </w:rPr>
              <w:t>；联系人</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28"/>
                <w:sz w:val="24"/>
              </w:rPr>
              <w:t>联系电话：</w:t>
            </w:r>
            <w:r>
              <w:rPr>
                <w:rFonts w:hint="eastAsia" w:ascii="宋体" w:hAnsi="宋体" w:cs="宋体"/>
                <w:color w:val="auto"/>
                <w:sz w:val="24"/>
                <w:u w:val="single"/>
              </w:rPr>
              <w:t xml:space="preserve">    </w:t>
            </w:r>
            <w:r>
              <w:rPr>
                <w:rFonts w:hint="eastAsia" w:ascii="宋体" w:hAnsi="宋体" w:cs="宋体"/>
                <w:color w:val="auto"/>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rPr>
            </w:pPr>
            <w:r>
              <w:rPr>
                <w:rFonts w:hint="eastAsia" w:ascii="宋体" w:hAnsi="宋体" w:cs="宋体"/>
                <w:color w:val="auto"/>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color w:val="auto"/>
                <w:sz w:val="24"/>
              </w:rPr>
            </w:pPr>
            <w:r>
              <w:rPr>
                <w:rFonts w:hint="eastAsia" w:ascii="宋体" w:hAnsi="宋体" w:cs="宋体"/>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rPr>
            </w:pPr>
            <w:r>
              <w:rPr>
                <w:rFonts w:hint="eastAsia" w:ascii="宋体" w:hAnsi="宋体" w:cs="宋体"/>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85934854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kern w:val="0"/>
                <w:sz w:val="24"/>
              </w:rPr>
            </w:pPr>
            <w:sdt>
              <w:sdtPr>
                <w:rPr>
                  <w:rFonts w:hint="eastAsia" w:ascii="宋体" w:hAnsi="宋体" w:cs="宋体"/>
                  <w:color w:val="auto"/>
                  <w:kern w:val="0"/>
                  <w:sz w:val="24"/>
                </w:rPr>
                <w:id w:val="1174071719"/>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p>
          <w:p>
            <w:pPr>
              <w:snapToGrid w:val="0"/>
              <w:spacing w:line="360" w:lineRule="auto"/>
              <w:rPr>
                <w:rFonts w:ascii="宋体" w:hAnsi="宋体" w:cs="宋体"/>
                <w:color w:val="auto"/>
                <w:kern w:val="0"/>
                <w:sz w:val="24"/>
              </w:rPr>
            </w:pPr>
            <w:r>
              <w:rPr>
                <w:rFonts w:hint="eastAsia" w:ascii="宋体" w:hAnsi="宋体" w:cs="宋体"/>
                <w:color w:val="auto"/>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宋体"/>
                <w:color w:val="auto"/>
                <w:kern w:val="0"/>
                <w:sz w:val="24"/>
              </w:rPr>
            </w:pPr>
            <w:r>
              <w:rPr>
                <w:rFonts w:hint="eastAsia" w:ascii="宋体" w:hAnsi="宋体" w:cs="宋体"/>
                <w:color w:val="auto"/>
                <w:kern w:val="0"/>
                <w:sz w:val="24"/>
              </w:rPr>
              <w:t>（2）方案讲解演示方式：</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eastAsia="zh-CN"/>
              </w:rPr>
              <w:t>通过</w:t>
            </w:r>
            <w:r>
              <w:rPr>
                <w:rFonts w:hint="eastAsia" w:ascii="宋体" w:hAnsi="宋体" w:cs="宋体"/>
                <w:kern w:val="0"/>
                <w:sz w:val="24"/>
                <w:highlight w:val="none"/>
              </w:rPr>
              <w:t>政采云平台</w:t>
            </w:r>
            <w:r>
              <w:rPr>
                <w:rFonts w:hint="eastAsia" w:ascii="宋体" w:hAnsi="宋体" w:cs="宋体"/>
                <w:kern w:val="0"/>
                <w:sz w:val="24"/>
                <w:highlight w:val="none"/>
                <w:lang w:eastAsia="zh-CN"/>
              </w:rPr>
              <w:t>进行</w:t>
            </w:r>
            <w:r>
              <w:rPr>
                <w:rFonts w:hint="eastAsia" w:ascii="宋体" w:hAnsi="宋体" w:cs="宋体"/>
                <w:kern w:val="0"/>
                <w:sz w:val="24"/>
                <w:highlight w:val="none"/>
              </w:rPr>
              <w:t>在线讲解演示</w:t>
            </w:r>
            <w:r>
              <w:rPr>
                <w:rFonts w:hint="eastAsia" w:ascii="宋体" w:hAnsi="宋体" w:cs="宋体"/>
                <w:b/>
                <w:bCs/>
                <w:kern w:val="0"/>
                <w:sz w:val="24"/>
                <w:highlight w:val="none"/>
                <w:lang w:eastAsia="zh-CN"/>
              </w:rPr>
              <w:t>或</w:t>
            </w:r>
            <w:r>
              <w:rPr>
                <w:rFonts w:hint="eastAsia" w:ascii="宋体" w:hAnsi="宋体" w:cs="宋体"/>
                <w:kern w:val="0"/>
                <w:sz w:val="24"/>
                <w:highlight w:val="none"/>
                <w:lang w:eastAsia="zh-CN"/>
              </w:rPr>
              <w:t>播放已录制好的演示视频</w:t>
            </w:r>
            <w:r>
              <w:rPr>
                <w:rFonts w:hint="eastAsia" w:ascii="宋体" w:hAnsi="宋体" w:cs="宋体"/>
                <w:kern w:val="0"/>
                <w:sz w:val="24"/>
                <w:highlight w:val="none"/>
              </w:rPr>
              <w:t>。政采云平台在线讲解需投标人根据政采云平台操作要求做好准备工作</w:t>
            </w:r>
            <w:r>
              <w:rPr>
                <w:rFonts w:hint="eastAsia" w:ascii="宋体" w:hAnsi="宋体" w:cs="宋体"/>
                <w:b/>
                <w:bCs/>
                <w:kern w:val="0"/>
                <w:sz w:val="24"/>
                <w:highlight w:val="none"/>
              </w:rPr>
              <w:t>（①提供在线讲解演示，建议使用笔记本和有线/无线蓝牙耳机②播放视频，</w:t>
            </w:r>
            <w:r>
              <w:rPr>
                <w:rFonts w:hint="eastAsia" w:ascii="宋体" w:hAnsi="宋体" w:cs="宋体"/>
                <w:b/>
                <w:bCs/>
                <w:kern w:val="0"/>
                <w:sz w:val="24"/>
                <w:highlight w:val="none"/>
                <w:lang w:eastAsia="zh-CN"/>
              </w:rPr>
              <w:t>为避免视频卡顿等情况发生，</w:t>
            </w:r>
            <w:r>
              <w:rPr>
                <w:rFonts w:hint="eastAsia" w:ascii="宋体" w:hAnsi="宋体" w:cs="宋体"/>
                <w:b/>
                <w:bCs/>
                <w:kern w:val="0"/>
                <w:sz w:val="24"/>
                <w:highlight w:val="none"/>
              </w:rPr>
              <w:t>视频分辨率要求为1280*720）</w:t>
            </w:r>
            <w:r>
              <w:rPr>
                <w:rFonts w:hint="eastAsia" w:ascii="宋体" w:hAnsi="宋体" w:cs="宋体"/>
                <w:kern w:val="0"/>
                <w:sz w:val="24"/>
                <w:highlight w:val="none"/>
                <w:lang w:eastAsia="zh-CN"/>
              </w:rPr>
              <w:t>，请</w:t>
            </w:r>
            <w:r>
              <w:rPr>
                <w:rFonts w:hint="eastAsia" w:ascii="宋体" w:hAnsi="宋体" w:cs="宋体"/>
                <w:kern w:val="0"/>
                <w:sz w:val="24"/>
                <w:highlight w:val="none"/>
              </w:rPr>
              <w:t>提前完善软硬件配置环境。</w:t>
            </w:r>
          </w:p>
          <w:p>
            <w:pPr>
              <w:snapToGrid w:val="0"/>
              <w:spacing w:line="360" w:lineRule="auto"/>
              <w:rPr>
                <w:rFonts w:ascii="宋体" w:hAnsi="宋体" w:cs="宋体"/>
                <w:b/>
                <w:color w:val="auto"/>
                <w:kern w:val="0"/>
                <w:sz w:val="24"/>
                <w:lang w:val="zh-CN"/>
              </w:rPr>
            </w:pPr>
            <w:r>
              <w:rPr>
                <w:rFonts w:hint="eastAsia" w:ascii="宋体" w:hAnsi="宋体" w:cs="宋体"/>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（1）资格证明文件：见招标文件第二部分11.1。</w:t>
            </w:r>
          </w:p>
          <w:p>
            <w:pPr>
              <w:spacing w:line="360" w:lineRule="auto"/>
              <w:rPr>
                <w:rFonts w:ascii="宋体" w:hAnsi="宋体" w:cs="宋体"/>
                <w:snapToGrid w:val="0"/>
                <w:color w:val="auto"/>
                <w:kern w:val="0"/>
                <w:szCs w:val="21"/>
              </w:rPr>
            </w:pPr>
            <w:r>
              <w:rPr>
                <w:rFonts w:hint="eastAsia" w:ascii="宋体" w:hAnsi="宋体" w:cs="宋体"/>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color w:val="auto"/>
              </w:rPr>
            </w:pPr>
            <w:r>
              <w:rPr>
                <w:rFonts w:hint="eastAsia" w:ascii="宋体" w:hAnsi="宋体" w:cs="宋体"/>
                <w:color w:val="auto"/>
                <w:kern w:val="0"/>
                <w:sz w:val="24"/>
                <w:lang w:val="zh-CN"/>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lang w:val="zh-CN"/>
              </w:rPr>
            </w:pPr>
            <w:r>
              <w:rPr>
                <w:rFonts w:hint="eastAsia" w:ascii="宋体" w:hAnsi="宋体" w:cs="宋体"/>
                <w:color w:val="auto"/>
                <w:kern w:val="0"/>
                <w:sz w:val="24"/>
                <w:lang w:val="zh-CN"/>
              </w:rPr>
              <w:t>有关本项目实施所需的所有费用（含税费）均计入报价。</w:t>
            </w:r>
            <w:r>
              <w:rPr>
                <w:rFonts w:hint="eastAsia" w:ascii="宋体" w:hAnsi="宋体" w:cs="宋体"/>
                <w:b/>
                <w:bCs/>
                <w:color w:val="auto"/>
                <w:sz w:val="24"/>
                <w:highlight w:val="none"/>
              </w:rPr>
              <w:t>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lang w:val="zh-CN"/>
              </w:rPr>
            </w:pPr>
            <w:r>
              <w:rPr>
                <w:rFonts w:hint="eastAsia" w:ascii="宋体" w:hAnsi="宋体" w:cs="宋体"/>
                <w:b/>
                <w:color w:val="auto"/>
                <w:kern w:val="0"/>
                <w:sz w:val="24"/>
                <w:lang w:val="zh-CN"/>
              </w:rPr>
              <w:t>投标报价出现下列情形的，投标无效：</w:t>
            </w:r>
          </w:p>
          <w:p>
            <w:pPr>
              <w:snapToGrid w:val="0"/>
              <w:spacing w:line="360" w:lineRule="auto"/>
              <w:ind w:firstLine="241" w:firstLineChars="100"/>
              <w:jc w:val="left"/>
              <w:rPr>
                <w:rFonts w:ascii="宋体" w:hAnsi="宋体" w:cs="宋体"/>
                <w:b/>
                <w:color w:val="auto"/>
                <w:kern w:val="0"/>
                <w:sz w:val="24"/>
                <w:lang w:val="zh-CN"/>
              </w:rPr>
            </w:pPr>
            <w:r>
              <w:rPr>
                <w:rFonts w:hint="eastAsia" w:ascii="宋体" w:hAnsi="宋体" w:cs="宋体"/>
                <w:b/>
                <w:color w:val="auto"/>
                <w:kern w:val="0"/>
                <w:sz w:val="24"/>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lang w:val="zh-CN"/>
              </w:rPr>
            </w:pPr>
            <w:r>
              <w:rPr>
                <w:rFonts w:hint="eastAsia" w:ascii="宋体" w:hAnsi="宋体" w:cs="宋体"/>
                <w:b/>
                <w:color w:val="auto"/>
                <w:kern w:val="0"/>
                <w:sz w:val="24"/>
                <w:lang w:val="zh-CN"/>
              </w:rPr>
              <w:t>投标报价超过招标文件中规定的预算金额或者最高限价的;</w:t>
            </w:r>
          </w:p>
          <w:p>
            <w:pPr>
              <w:spacing w:line="360" w:lineRule="auto"/>
              <w:ind w:firstLine="241" w:firstLineChars="100"/>
              <w:rPr>
                <w:rFonts w:ascii="宋体" w:hAnsi="宋体" w:cs="宋体"/>
                <w:b/>
                <w:color w:val="auto"/>
                <w:sz w:val="24"/>
              </w:rPr>
            </w:pPr>
            <w:r>
              <w:rPr>
                <w:rFonts w:hint="eastAsia" w:ascii="宋体" w:hAnsi="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rPr>
              <w:t>;</w:t>
            </w:r>
          </w:p>
          <w:p>
            <w:pPr>
              <w:spacing w:line="360" w:lineRule="auto"/>
              <w:ind w:firstLine="241" w:firstLineChars="100"/>
              <w:rPr>
                <w:rFonts w:ascii="宋体" w:hAnsi="宋体" w:cs="宋体"/>
                <w:color w:val="auto"/>
                <w:sz w:val="24"/>
              </w:rPr>
            </w:pPr>
            <w:r>
              <w:rPr>
                <w:rFonts w:hint="eastAsia" w:ascii="宋体" w:hAnsi="宋体" w:cs="宋体"/>
                <w:b/>
                <w:color w:val="auto"/>
                <w:kern w:val="0"/>
                <w:sz w:val="24"/>
              </w:rPr>
              <w:t>投标人对根据修正原则修正后的报价不确认的</w:t>
            </w:r>
            <w:r>
              <w:rPr>
                <w:rFonts w:hint="eastAsia" w:ascii="宋体" w:hAnsi="宋体"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85"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rPr>
            </w:pPr>
            <w:r>
              <w:rPr>
                <w:rFonts w:hint="eastAsia" w:ascii="宋体" w:hAnsi="宋体" w:cs="宋体"/>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color w:val="auto"/>
                <w:kern w:val="28"/>
                <w:sz w:val="24"/>
              </w:rPr>
            </w:pPr>
            <w:r>
              <w:rPr>
                <w:rFonts w:hint="eastAsia" w:hAnsi="宋体" w:cs="宋体"/>
                <w:color w:val="auto"/>
                <w:kern w:val="28"/>
                <w:sz w:val="24"/>
                <w:szCs w:val="24"/>
              </w:rPr>
              <w:t>备份投标文件送达地点：</w:t>
            </w:r>
            <w:r>
              <w:rPr>
                <w:rFonts w:hint="eastAsia" w:hAnsi="宋体" w:cs="宋体"/>
                <w:sz w:val="24"/>
                <w:highlight w:val="none"/>
                <w:u w:val="single"/>
              </w:rPr>
              <w:t>杭州市西湖区文一西路858号（</w:t>
            </w:r>
            <w:r>
              <w:rPr>
                <w:rFonts w:hint="eastAsia" w:hAnsi="宋体" w:cs="宋体"/>
                <w:sz w:val="24"/>
                <w:highlight w:val="none"/>
                <w:u w:val="single"/>
                <w:lang w:eastAsia="zh-CN"/>
              </w:rPr>
              <w:t>杭州市西湖区政府采购中心</w:t>
            </w:r>
            <w:r>
              <w:rPr>
                <w:rFonts w:hint="eastAsia" w:hAnsi="宋体" w:cs="宋体"/>
                <w:sz w:val="24"/>
                <w:highlight w:val="none"/>
                <w:u w:val="single"/>
              </w:rPr>
              <w:t>西湖分中心东三楼</w:t>
            </w:r>
            <w:r>
              <w:rPr>
                <w:rFonts w:hint="eastAsia" w:hAnsi="宋体" w:cs="宋体"/>
                <w:sz w:val="24"/>
                <w:highlight w:val="none"/>
                <w:u w:val="single"/>
                <w:lang w:val="en-US" w:eastAsia="zh-CN"/>
              </w:rPr>
              <w:t>329办公室）</w:t>
            </w:r>
            <w:r>
              <w:rPr>
                <w:rFonts w:hint="eastAsia" w:hAnsi="宋体" w:cs="宋体"/>
                <w:color w:val="auto"/>
                <w:sz w:val="24"/>
                <w:u w:val="single"/>
              </w:rPr>
              <w:t xml:space="preserve"> </w:t>
            </w:r>
            <w:r>
              <w:rPr>
                <w:rFonts w:hint="eastAsia" w:hAnsi="宋体" w:cs="宋体"/>
                <w:color w:val="auto"/>
                <w:kern w:val="28"/>
                <w:sz w:val="24"/>
                <w:szCs w:val="24"/>
              </w:rPr>
              <w:t>；备份投标文件签收人员联系电话：</w:t>
            </w:r>
            <w:r>
              <w:rPr>
                <w:rFonts w:hint="eastAsia" w:hAnsi="宋体" w:cs="宋体"/>
                <w:color w:val="auto"/>
                <w:sz w:val="24"/>
                <w:u w:val="single"/>
              </w:rPr>
              <w:t xml:space="preserve">  </w:t>
            </w:r>
            <w:r>
              <w:rPr>
                <w:rFonts w:hint="eastAsia" w:cs="宋体" w:asciiTheme="minorEastAsia" w:hAnsiTheme="minorEastAsia" w:eastAsiaTheme="minorEastAsia"/>
                <w:sz w:val="24"/>
                <w:highlight w:val="none"/>
                <w:u w:val="single"/>
              </w:rPr>
              <w:t>0571-8</w:t>
            </w:r>
            <w:r>
              <w:rPr>
                <w:rFonts w:hint="default" w:cs="宋体" w:asciiTheme="minorEastAsia" w:hAnsiTheme="minorEastAsia" w:eastAsiaTheme="minorEastAsia"/>
                <w:sz w:val="24"/>
                <w:highlight w:val="none"/>
                <w:u w:val="single"/>
                <w:lang w:val="en-US"/>
              </w:rPr>
              <w:t>9511448</w:t>
            </w:r>
            <w:r>
              <w:rPr>
                <w:rFonts w:hint="eastAsia" w:hAnsi="宋体" w:cs="宋体"/>
                <w:color w:val="auto"/>
                <w:sz w:val="24"/>
                <w:szCs w:val="24"/>
              </w:rPr>
              <w:t>。</w:t>
            </w:r>
            <w:r>
              <w:rPr>
                <w:rFonts w:hint="eastAsia" w:hAnsi="宋体" w:cs="宋体"/>
                <w:b/>
                <w:color w:val="auto"/>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cs="仿宋_GB2312" w:asciiTheme="minorEastAsia" w:hAnsiTheme="minorEastAsia" w:eastAsiaTheme="minorEastAsia"/>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r>
              <w:rPr>
                <w:rFonts w:hint="eastAsia" w:ascii="宋体" w:hAnsi="宋体" w:cs="宋体"/>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1052570136"/>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cs="Arial" w:asciiTheme="minorEastAsia" w:hAnsiTheme="minorEastAsia" w:eastAsiaTheme="minorEastAsia"/>
                    <w:color w:val="auto"/>
                    <w:kern w:val="0"/>
                    <w:sz w:val="24"/>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1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Arial" w:asciiTheme="minorEastAsia" w:hAnsiTheme="minorEastAsia" w:eastAsiaTheme="minorEastAsia"/>
                <w:color w:val="auto"/>
                <w:kern w:val="0"/>
                <w:sz w:val="24"/>
              </w:rPr>
            </w:pPr>
            <w:r>
              <w:rPr>
                <w:rFonts w:hint="eastAsia" w:cs="Arial" w:asciiTheme="minorEastAsia" w:hAnsiTheme="minorEastAsia" w:eastAsiaTheme="minorEastAsia"/>
                <w:color w:val="auto"/>
                <w:kern w:val="0"/>
                <w:sz w:val="24"/>
                <w:highlight w:val="none"/>
              </w:rPr>
              <w:t>评审因素对应的要求视为采购需求的一部分。</w:t>
            </w:r>
          </w:p>
        </w:tc>
      </w:tr>
    </w:tbl>
    <w:p>
      <w:pPr>
        <w:snapToGrid w:val="0"/>
        <w:spacing w:line="360" w:lineRule="auto"/>
        <w:jc w:val="center"/>
        <w:rPr>
          <w:rFonts w:ascii="宋体" w:hAnsi="宋体" w:cs="宋体"/>
          <w:b/>
          <w:color w:val="auto"/>
          <w:sz w:val="32"/>
          <w:szCs w:val="20"/>
        </w:rPr>
      </w:pPr>
    </w:p>
    <w:bookmarkEnd w:id="10"/>
    <w:p>
      <w:pPr>
        <w:adjustRightInd/>
        <w:spacing w:line="360" w:lineRule="auto"/>
        <w:ind w:firstLine="3845" w:firstLineChars="1197"/>
        <w:outlineLvl w:val="0"/>
        <w:rPr>
          <w:rFonts w:ascii="宋体" w:hAnsi="宋体" w:cs="宋体"/>
          <w:b/>
          <w:color w:val="auto"/>
          <w:sz w:val="32"/>
          <w:szCs w:val="20"/>
        </w:rPr>
      </w:pPr>
      <w:bookmarkStart w:id="13" w:name="_Toc164416483"/>
      <w:bookmarkStart w:id="14" w:name="第三部分"/>
      <w:r>
        <w:rPr>
          <w:rFonts w:hint="eastAsia" w:ascii="宋体" w:hAnsi="宋体" w:cs="宋体"/>
          <w:b/>
          <w:color w:val="auto"/>
          <w:sz w:val="32"/>
          <w:szCs w:val="20"/>
        </w:rPr>
        <w:t>一、总则</w:t>
      </w:r>
    </w:p>
    <w:p>
      <w:pPr>
        <w:snapToGrid w:val="0"/>
        <w:spacing w:line="360" w:lineRule="auto"/>
        <w:ind w:firstLine="361" w:firstLineChars="150"/>
        <w:jc w:val="left"/>
        <w:outlineLvl w:val="1"/>
        <w:rPr>
          <w:rFonts w:ascii="宋体" w:hAnsi="宋体" w:cs="宋体"/>
          <w:b/>
          <w:color w:val="auto"/>
          <w:sz w:val="24"/>
        </w:rPr>
      </w:pPr>
      <w:r>
        <w:rPr>
          <w:rFonts w:hint="eastAsia" w:ascii="宋体" w:hAnsi="宋体" w:cs="宋体"/>
          <w:b/>
          <w:color w:val="auto"/>
          <w:sz w:val="24"/>
        </w:rPr>
        <w:t>1. 适用范围</w:t>
      </w:r>
    </w:p>
    <w:p>
      <w:pPr>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rPr>
      </w:pPr>
      <w:r>
        <w:rPr>
          <w:rFonts w:hint="eastAsia" w:ascii="宋体" w:hAnsi="宋体" w:cs="宋体"/>
          <w:b/>
          <w:color w:val="auto"/>
          <w:sz w:val="24"/>
        </w:rPr>
        <w:t xml:space="preserve">   2.定义</w:t>
      </w:r>
    </w:p>
    <w:p>
      <w:pPr>
        <w:spacing w:line="360" w:lineRule="auto"/>
        <w:ind w:firstLine="480" w:firstLineChars="200"/>
        <w:rPr>
          <w:rFonts w:ascii="宋体" w:hAnsi="宋体" w:cs="宋体"/>
          <w:color w:val="auto"/>
          <w:sz w:val="24"/>
        </w:rPr>
      </w:pPr>
      <w:r>
        <w:rPr>
          <w:rFonts w:hint="eastAsia" w:ascii="宋体" w:hAnsi="宋体" w:cs="宋体"/>
          <w:color w:val="auto"/>
          <w:sz w:val="24"/>
        </w:rPr>
        <w:t>2.1 “采购人”系指招标公告中载明的本项目的采购人。</w:t>
      </w:r>
    </w:p>
    <w:p>
      <w:pPr>
        <w:spacing w:line="360" w:lineRule="auto"/>
        <w:ind w:firstLine="480" w:firstLineChars="200"/>
        <w:rPr>
          <w:rFonts w:ascii="宋体" w:hAnsi="宋体" w:cs="宋体"/>
          <w:color w:val="auto"/>
          <w:sz w:val="24"/>
        </w:rPr>
      </w:pPr>
      <w:r>
        <w:rPr>
          <w:rFonts w:hint="eastAsia" w:ascii="宋体" w:hAnsi="宋体" w:cs="宋体"/>
          <w:color w:val="auto"/>
          <w:sz w:val="24"/>
        </w:rPr>
        <w:t>2.2 “采购机构”系指招标公告中载明的本项目的采购机构。</w:t>
      </w:r>
    </w:p>
    <w:p>
      <w:pPr>
        <w:spacing w:line="360" w:lineRule="auto"/>
        <w:ind w:firstLine="480" w:firstLineChars="200"/>
        <w:rPr>
          <w:rFonts w:ascii="宋体" w:hAnsi="宋体" w:cs="宋体"/>
          <w:color w:val="auto"/>
          <w:sz w:val="24"/>
        </w:rPr>
      </w:pPr>
      <w:r>
        <w:rPr>
          <w:rFonts w:hint="eastAsia" w:ascii="宋体" w:hAnsi="宋体" w:cs="宋体"/>
          <w:color w:val="auto"/>
          <w:sz w:val="24"/>
        </w:rPr>
        <w:t>2.3 “投标人”系指是指响应招标、参加投标竞争的法人、其他组织或者自然人。</w:t>
      </w:r>
    </w:p>
    <w:p>
      <w:pPr>
        <w:spacing w:line="360" w:lineRule="auto"/>
        <w:ind w:firstLine="480" w:firstLineChars="200"/>
        <w:rPr>
          <w:rFonts w:ascii="宋体" w:hAnsi="宋体" w:cs="宋体"/>
          <w:color w:val="auto"/>
          <w:sz w:val="24"/>
        </w:rPr>
      </w:pPr>
      <w:r>
        <w:rPr>
          <w:rFonts w:hint="eastAsia" w:ascii="宋体" w:hAnsi="宋体" w:cs="宋体"/>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rPr>
      </w:pPr>
      <w:r>
        <w:rPr>
          <w:rFonts w:hint="eastAsia" w:ascii="宋体" w:hAnsi="宋体" w:cs="宋体"/>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rPr>
      </w:pPr>
      <w:r>
        <w:rPr>
          <w:rFonts w:hint="eastAsia" w:ascii="宋体" w:hAnsi="宋体" w:cs="宋体"/>
          <w:color w:val="auto"/>
          <w:sz w:val="24"/>
        </w:rPr>
        <w:t>2.6“电子交易平台”是指本项目政府采购活动所依托的政府采购云平台（https://www.zcygov.cn/）。</w:t>
      </w:r>
    </w:p>
    <w:p>
      <w:pPr>
        <w:spacing w:line="360" w:lineRule="auto"/>
        <w:ind w:firstLine="480" w:firstLineChars="200"/>
        <w:rPr>
          <w:rFonts w:ascii="宋体" w:hAnsi="宋体" w:cs="宋体"/>
          <w:color w:val="auto"/>
          <w:sz w:val="24"/>
        </w:rPr>
      </w:pPr>
      <w:r>
        <w:rPr>
          <w:rFonts w:hint="eastAsia" w:ascii="宋体" w:hAnsi="宋体" w:cs="宋体"/>
          <w:color w:val="auto"/>
          <w:sz w:val="24"/>
        </w:rPr>
        <w:t>2.7 “▲” 系指实质性要求条款，“</w:t>
      </w:r>
      <w:sdt>
        <w:sdtPr>
          <w:rPr>
            <w:rFonts w:hint="eastAsia" w:ascii="宋体" w:hAnsi="宋体" w:cs="宋体"/>
            <w:color w:val="auto"/>
            <w:kern w:val="0"/>
            <w:sz w:val="24"/>
          </w:rPr>
          <w:id w:val="51297023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 系指适用本项目的要求，“</w:t>
      </w:r>
      <w:sdt>
        <w:sdtPr>
          <w:rPr>
            <w:rFonts w:hint="eastAsia" w:ascii="宋体" w:hAnsi="宋体" w:cs="宋体"/>
            <w:color w:val="auto"/>
            <w:kern w:val="0"/>
            <w:sz w:val="24"/>
          </w:rPr>
          <w:id w:val="40488885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 系指不适用本项目的要求。</w:t>
      </w:r>
    </w:p>
    <w:p>
      <w:pPr>
        <w:spacing w:line="360" w:lineRule="auto"/>
        <w:ind w:firstLine="241" w:firstLineChars="100"/>
        <w:rPr>
          <w:rFonts w:ascii="宋体" w:hAnsi="宋体" w:cs="宋体"/>
          <w:b/>
          <w:color w:val="auto"/>
          <w:sz w:val="24"/>
        </w:rPr>
      </w:pPr>
      <w:r>
        <w:rPr>
          <w:rFonts w:hint="eastAsia" w:ascii="宋体" w:hAnsi="宋体" w:cs="宋体"/>
          <w:b/>
          <w:color w:val="auto"/>
          <w:sz w:val="24"/>
        </w:rPr>
        <w:t>3.</w:t>
      </w:r>
      <w:r>
        <w:rPr>
          <w:rFonts w:hint="eastAsia" w:ascii="宋体" w:hAnsi="宋体" w:cs="宋体"/>
          <w:color w:val="auto"/>
        </w:rPr>
        <w:t xml:space="preserve"> </w:t>
      </w:r>
      <w:r>
        <w:rPr>
          <w:rFonts w:hint="eastAsia" w:ascii="宋体" w:hAnsi="宋体" w:cs="宋体"/>
          <w:b/>
          <w:color w:val="auto"/>
          <w:sz w:val="24"/>
        </w:rPr>
        <w:t>采购项目需要落实的政府采购政策</w:t>
      </w:r>
    </w:p>
    <w:p>
      <w:pPr>
        <w:spacing w:line="360" w:lineRule="auto"/>
        <w:ind w:firstLine="240" w:firstLineChars="100"/>
        <w:rPr>
          <w:rFonts w:ascii="宋体" w:hAnsi="宋体" w:cs="宋体"/>
          <w:color w:val="auto"/>
          <w:sz w:val="24"/>
        </w:rPr>
      </w:pPr>
      <w:r>
        <w:rPr>
          <w:rFonts w:hint="eastAsia" w:ascii="宋体" w:hAnsi="宋体" w:cs="宋体"/>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color w:val="auto"/>
          <w:kern w:val="0"/>
          <w:sz w:val="24"/>
        </w:rPr>
        <w:t>优先采购向我国企业转让技术、与我国企业签订消化吸收再创新方案的供应商的进口产品</w:t>
      </w:r>
      <w:r>
        <w:rPr>
          <w:rFonts w:hint="eastAsia" w:ascii="宋体" w:hAnsi="宋体" w:cs="宋体"/>
          <w:color w:val="auto"/>
          <w:sz w:val="24"/>
        </w:rPr>
        <w:t>。</w:t>
      </w:r>
    </w:p>
    <w:p>
      <w:pPr>
        <w:spacing w:line="360" w:lineRule="auto"/>
        <w:ind w:firstLine="240" w:firstLineChars="100"/>
        <w:rPr>
          <w:rFonts w:ascii="宋体" w:hAnsi="宋体" w:cs="宋体"/>
          <w:color w:val="auto"/>
          <w:sz w:val="24"/>
        </w:rPr>
      </w:pPr>
      <w:r>
        <w:rPr>
          <w:rFonts w:hint="eastAsia" w:ascii="宋体" w:hAnsi="宋体" w:cs="宋体"/>
          <w:color w:val="auto"/>
          <w:sz w:val="24"/>
        </w:rPr>
        <w:t>3.2 支持绿色发展</w:t>
      </w:r>
    </w:p>
    <w:p>
      <w:pPr>
        <w:spacing w:line="360" w:lineRule="auto"/>
        <w:ind w:firstLine="480" w:firstLineChars="200"/>
        <w:rPr>
          <w:rFonts w:ascii="宋体" w:hAnsi="宋体" w:cs="宋体"/>
          <w:b/>
          <w:color w:val="auto"/>
          <w:sz w:val="24"/>
        </w:rPr>
      </w:pPr>
      <w:r>
        <w:rPr>
          <w:rFonts w:hint="eastAsia" w:ascii="宋体" w:hAnsi="宋体" w:cs="宋体"/>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rPr>
      </w:pPr>
      <w:r>
        <w:rPr>
          <w:rFonts w:hint="eastAsia" w:ascii="宋体" w:hAnsi="宋体" w:cs="宋体"/>
          <w:color w:val="auto"/>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auto"/>
          <w:sz w:val="24"/>
        </w:rPr>
      </w:pPr>
      <w:r>
        <w:rPr>
          <w:rFonts w:hint="eastAsia" w:ascii="宋体" w:hAnsi="宋体" w:cs="宋体"/>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color w:val="auto"/>
          <w:sz w:val="24"/>
        </w:rPr>
        <w:t>优先采购绿色包装产品、绿色物流配送服务以及循环利用产品</w:t>
      </w:r>
      <w:bookmarkEnd w:id="15"/>
      <w:r>
        <w:rPr>
          <w:rFonts w:hint="eastAsia" w:ascii="宋体" w:hAnsi="宋体" w:cs="宋体"/>
          <w:color w:val="auto"/>
          <w:sz w:val="24"/>
        </w:rPr>
        <w:t>。</w:t>
      </w:r>
    </w:p>
    <w:p>
      <w:pPr>
        <w:spacing w:line="360" w:lineRule="auto"/>
        <w:ind w:firstLine="240" w:firstLineChars="100"/>
        <w:rPr>
          <w:rFonts w:ascii="宋体" w:hAnsi="宋体" w:cs="宋体"/>
          <w:color w:val="auto"/>
          <w:sz w:val="24"/>
        </w:rPr>
      </w:pPr>
      <w:r>
        <w:rPr>
          <w:rFonts w:hint="eastAsia" w:ascii="宋体" w:hAnsi="宋体" w:cs="宋体"/>
          <w:color w:val="auto"/>
          <w:sz w:val="24"/>
        </w:rPr>
        <w:t>3.3支持中小企业发展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rPr>
      </w:pPr>
      <w:r>
        <w:rPr>
          <w:rFonts w:hint="eastAsia" w:ascii="宋体" w:hAnsi="宋体" w:cs="宋体"/>
          <w:color w:val="auto"/>
          <w:sz w:val="24"/>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rPr>
      </w:pPr>
      <w:r>
        <w:rPr>
          <w:rFonts w:ascii="宋体" w:hAnsi="宋体" w:cs="宋体"/>
          <w:bCs/>
          <w:color w:val="auto"/>
          <w:sz w:val="24"/>
        </w:rPr>
        <w:t>3.3.2</w:t>
      </w:r>
      <w:r>
        <w:rPr>
          <w:rFonts w:hint="eastAsia" w:ascii="宋体" w:hAnsi="宋体" w:cs="宋体"/>
          <w:color w:val="auto"/>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3.3.3对于未预留份额专门面向中小企业的政府采购货物项目，以及预留份额政府采购货物项目中的非预留部分标项，对小型和微型企业的投标报价给予</w:t>
      </w:r>
      <w:r>
        <w:rPr>
          <w:rFonts w:ascii="宋体" w:hAnsi="宋体" w:cs="宋体"/>
          <w:color w:val="auto"/>
          <w:sz w:val="24"/>
        </w:rPr>
        <w:t>20</w:t>
      </w:r>
      <w:r>
        <w:rPr>
          <w:rFonts w:hint="eastAsia" w:ascii="宋体" w:hAnsi="宋体" w:cs="宋体"/>
          <w:color w:val="auto"/>
          <w:sz w:val="24"/>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color w:val="auto"/>
          <w:sz w:val="24"/>
        </w:rPr>
        <w:t>联合协议或者分包意向协议约定小微企业的合同份额占到合同总金额30%以上的</w:t>
      </w:r>
      <w:bookmarkEnd w:id="16"/>
      <w:r>
        <w:rPr>
          <w:rFonts w:hint="eastAsia" w:ascii="宋体" w:hAnsi="宋体" w:cs="宋体"/>
          <w:color w:val="auto"/>
          <w:sz w:val="24"/>
        </w:rPr>
        <w:t>，对联合体或者大中型企业的报价给予</w:t>
      </w:r>
      <w:r>
        <w:rPr>
          <w:rFonts w:ascii="宋体" w:hAnsi="宋体" w:cs="宋体"/>
          <w:color w:val="auto"/>
          <w:sz w:val="24"/>
        </w:rPr>
        <w:t>6</w:t>
      </w:r>
      <w:r>
        <w:rPr>
          <w:rFonts w:hint="eastAsia" w:ascii="宋体" w:hAnsi="宋体" w:cs="宋体"/>
          <w:color w:val="auto"/>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rPr>
      </w:pPr>
      <w:r>
        <w:rPr>
          <w:rFonts w:hint="eastAsia" w:ascii="宋体" w:hAnsi="宋体" w:cs="宋体"/>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rPr>
      </w:pPr>
      <w:r>
        <w:rPr>
          <w:rFonts w:hint="eastAsia" w:ascii="宋体" w:hAnsi="宋体" w:cs="宋体"/>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rPr>
      </w:pPr>
      <w:r>
        <w:rPr>
          <w:rFonts w:hint="eastAsia" w:ascii="宋体" w:hAnsi="宋体" w:cs="宋体"/>
          <w:color w:val="auto"/>
          <w:sz w:val="24"/>
        </w:rPr>
        <w:t>3.4</w:t>
      </w:r>
      <w:r>
        <w:rPr>
          <w:rFonts w:hint="eastAsia" w:ascii="宋体" w:hAnsi="宋体" w:cs="宋体"/>
          <w:bCs/>
          <w:color w:val="auto"/>
          <w:sz w:val="24"/>
        </w:rPr>
        <w:t>支持创新发展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3.4.1 采购人优先采购被认定为首台套产品和“制造精品”的自主创新产品。</w:t>
      </w:r>
    </w:p>
    <w:p>
      <w:pPr>
        <w:spacing w:line="360" w:lineRule="auto"/>
        <w:ind w:firstLine="480" w:firstLineChars="200"/>
        <w:rPr>
          <w:rFonts w:ascii="宋体" w:hAnsi="宋体" w:cs="宋体"/>
          <w:color w:val="auto"/>
          <w:sz w:val="24"/>
        </w:rPr>
      </w:pPr>
      <w:r>
        <w:rPr>
          <w:rFonts w:hint="eastAsia" w:ascii="宋体" w:hAnsi="宋体" w:cs="宋体"/>
          <w:color w:val="auto"/>
          <w:sz w:val="24"/>
        </w:rPr>
        <w:t>3.4.2首台套产品被纳入《首台套产品推广应用指导目录》之日起</w:t>
      </w:r>
      <w:r>
        <w:rPr>
          <w:rFonts w:ascii="宋体" w:hAnsi="宋体" w:cs="宋体"/>
          <w:color w:val="auto"/>
          <w:sz w:val="24"/>
        </w:rPr>
        <w:t>3</w:t>
      </w:r>
      <w:r>
        <w:rPr>
          <w:rFonts w:hint="eastAsia" w:ascii="宋体" w:hAnsi="宋体" w:cs="宋体"/>
          <w:color w:val="auto"/>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color w:val="auto"/>
          <w:sz w:val="24"/>
        </w:rPr>
      </w:pPr>
      <w:r>
        <w:rPr>
          <w:rFonts w:hint="eastAsia" w:ascii="宋体" w:hAnsi="宋体" w:cs="宋体"/>
          <w:color w:val="auto"/>
          <w:sz w:val="24"/>
        </w:rPr>
        <w:t>3.5平等对待内外资企业和符合条件的破产重整企业</w:t>
      </w:r>
    </w:p>
    <w:p>
      <w:pPr>
        <w:spacing w:line="360" w:lineRule="auto"/>
        <w:ind w:firstLine="480" w:firstLineChars="200"/>
        <w:rPr>
          <w:b/>
          <w:color w:val="auto"/>
        </w:rPr>
      </w:pPr>
      <w:r>
        <w:rPr>
          <w:rFonts w:hint="eastAsia" w:ascii="宋体" w:hAnsi="宋体" w:cs="宋体"/>
          <w:color w:val="auto"/>
          <w:sz w:val="24"/>
        </w:rPr>
        <w:t>平等对待内外资企业和符合条件的破产重整企业，切实保障企业公平竞争，平等维护企业的合法利益。</w:t>
      </w:r>
      <w:r>
        <w:rPr>
          <w:rFonts w:hint="eastAsia" w:ascii="宋体" w:hAnsi="宋体" w:cs="宋体"/>
          <w:color w:val="auto"/>
          <w:sz w:val="24"/>
        </w:rPr>
        <w:cr/>
      </w:r>
      <w:r>
        <w:rPr>
          <w:rFonts w:hint="eastAsia"/>
          <w:b/>
          <w:color w:val="auto"/>
        </w:rPr>
        <w:t>4. 询问、质疑、投诉</w:t>
      </w:r>
    </w:p>
    <w:p>
      <w:pPr>
        <w:pStyle w:val="886"/>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360" w:lineRule="auto"/>
        <w:ind w:firstLine="403"/>
        <w:contextualSpacing/>
        <w:textAlignment w:val="auto"/>
        <w:rPr>
          <w:color w:val="auto"/>
          <w:lang w:val="zh-CN"/>
        </w:rPr>
      </w:pPr>
      <w:r>
        <w:rPr>
          <w:rFonts w:hint="eastAsia"/>
          <w:color w:val="auto"/>
          <w:lang w:val="zh-CN"/>
        </w:rPr>
        <w:t>4.1在线询问、质疑、投诉</w:t>
      </w:r>
    </w:p>
    <w:p>
      <w:pPr>
        <w:pStyle w:val="886"/>
        <w:shd w:val="clear" w:color="auto" w:fill="FFFFFF"/>
        <w:snapToGrid w:val="0"/>
        <w:spacing w:after="240" w:afterAutospacing="0" w:line="360" w:lineRule="auto"/>
        <w:ind w:firstLine="400"/>
        <w:contextualSpacing/>
        <w:rPr>
          <w:color w:val="auto"/>
          <w:lang w:val="zh-CN"/>
        </w:rPr>
      </w:pPr>
      <w:r>
        <w:rPr>
          <w:rFonts w:hint="eastAsia"/>
          <w:color w:val="auto"/>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4.2供应商询问</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4.3供应商质疑</w:t>
      </w:r>
    </w:p>
    <w:p>
      <w:pPr>
        <w:pStyle w:val="33"/>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Ansi="宋体" w:cs="宋体"/>
          <w:color w:val="auto"/>
          <w:sz w:val="24"/>
        </w:rPr>
      </w:pPr>
      <w:r>
        <w:rPr>
          <w:rFonts w:hint="eastAsia" w:hAnsi="宋体" w:cs="宋体"/>
          <w:color w:val="auto"/>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4.3.3</w:t>
      </w:r>
      <w:r>
        <w:rPr>
          <w:rFonts w:hint="eastAsia" w:hAnsi="宋体" w:cs="宋体"/>
          <w:color w:val="auto"/>
          <w:sz w:val="24"/>
        </w:rPr>
        <w:t>供应商提出质疑应当提交质疑函和必要的证明材料。质疑函应当包括下列内容：</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4.3.3.1供应商的姓名或者名称、地址、邮编、联系人及联系电话；</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4.3.3.2质疑项目的名称、编号；</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4.3.3.3具体、明确的质疑事项和与质疑事项相关的请求；</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4.3.3.4事实依据；</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4.3.3.5必要的法律依据；</w:t>
      </w:r>
    </w:p>
    <w:p>
      <w:pPr>
        <w:pStyle w:val="33"/>
        <w:spacing w:line="360" w:lineRule="auto"/>
        <w:ind w:firstLine="960" w:firstLineChars="400"/>
        <w:rPr>
          <w:rFonts w:hAnsi="宋体" w:cs="宋体"/>
          <w:color w:val="auto"/>
          <w:kern w:val="0"/>
          <w:sz w:val="24"/>
          <w:lang w:val="zh-CN"/>
        </w:rPr>
      </w:pPr>
      <w:r>
        <w:rPr>
          <w:rFonts w:hint="eastAsia" w:hAnsi="宋体" w:cs="宋体"/>
          <w:color w:val="auto"/>
          <w:kern w:val="0"/>
          <w:sz w:val="24"/>
          <w:lang w:val="zh-CN"/>
        </w:rPr>
        <w:t>4.3.3.6提出质疑的日期。</w:t>
      </w:r>
    </w:p>
    <w:p>
      <w:pPr>
        <w:pStyle w:val="886"/>
        <w:shd w:val="clear" w:color="auto" w:fill="FFFFFF"/>
        <w:snapToGrid w:val="0"/>
        <w:spacing w:after="240" w:afterAutospacing="0" w:line="360" w:lineRule="auto"/>
        <w:ind w:firstLine="400"/>
        <w:contextualSpacing/>
        <w:rPr>
          <w:color w:val="auto"/>
        </w:rPr>
      </w:pPr>
      <w:r>
        <w:rPr>
          <w:rFonts w:hint="eastAsia"/>
          <w:color w:val="auto"/>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color w:val="auto"/>
        </w:rPr>
      </w:pPr>
      <w:r>
        <w:rPr>
          <w:rFonts w:hint="eastAsia"/>
          <w:color w:val="auto"/>
        </w:rPr>
        <w:t>质疑函范本及制作说明详见附件2。</w:t>
      </w:r>
    </w:p>
    <w:p>
      <w:pPr>
        <w:pStyle w:val="886"/>
        <w:shd w:val="clear" w:color="auto" w:fill="FFFFFF"/>
        <w:snapToGrid w:val="0"/>
        <w:spacing w:after="240" w:afterAutospacing="0" w:line="360" w:lineRule="auto"/>
        <w:ind w:firstLine="400"/>
        <w:contextualSpacing/>
        <w:rPr>
          <w:color w:val="auto"/>
        </w:rPr>
      </w:pPr>
      <w:r>
        <w:rPr>
          <w:rFonts w:hint="eastAsia"/>
          <w:color w:val="auto"/>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color w:val="auto"/>
          <w:lang w:val="zh-CN"/>
        </w:rPr>
      </w:pPr>
      <w:r>
        <w:rPr>
          <w:rFonts w:hint="eastAsia"/>
          <w:color w:val="auto"/>
          <w:lang w:val="zh-CN"/>
        </w:rPr>
        <w:t>4.4供应商投诉</w:t>
      </w:r>
    </w:p>
    <w:p>
      <w:pPr>
        <w:pStyle w:val="886"/>
        <w:shd w:val="clear" w:color="auto" w:fill="FFFFFF"/>
        <w:snapToGrid w:val="0"/>
        <w:spacing w:after="240" w:afterAutospacing="0" w:line="360" w:lineRule="auto"/>
        <w:ind w:firstLine="400"/>
        <w:contextualSpacing/>
        <w:rPr>
          <w:color w:val="auto"/>
        </w:rPr>
      </w:pPr>
      <w:r>
        <w:rPr>
          <w:rFonts w:hint="eastAsia"/>
          <w:color w:val="auto"/>
        </w:rPr>
        <w:t>4.4.1质疑供应商对采购人、采购机构的答复不满意或者采购人、采购机构未在规定的时间内作出答复的，可以在答复期满后十五个工作日内向同级政府采购监督管理部门提出投诉。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color w:val="auto"/>
        </w:rPr>
      </w:pPr>
      <w:r>
        <w:rPr>
          <w:rFonts w:hint="eastAsia"/>
          <w:color w:val="auto"/>
        </w:rPr>
        <w:t>4.4.</w:t>
      </w:r>
      <w:r>
        <w:rPr>
          <w:rFonts w:hint="eastAsia"/>
          <w:color w:val="auto"/>
          <w:lang w:val="zh-CN"/>
        </w:rPr>
        <w:t>2</w:t>
      </w:r>
      <w:r>
        <w:rPr>
          <w:rFonts w:hint="eastAsia"/>
          <w:color w:val="auto"/>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color w:val="auto"/>
        </w:rPr>
      </w:pPr>
      <w:r>
        <w:rPr>
          <w:rFonts w:hint="eastAsia"/>
          <w:color w:val="auto"/>
        </w:rPr>
        <w:t>4.4.3供应商投诉应当有明确的请求和必要的证明材料。</w:t>
      </w:r>
    </w:p>
    <w:p>
      <w:pPr>
        <w:pStyle w:val="886"/>
        <w:shd w:val="clear" w:color="auto" w:fill="FFFFFF"/>
        <w:snapToGrid w:val="0"/>
        <w:spacing w:after="240" w:afterAutospacing="0" w:line="360" w:lineRule="auto"/>
        <w:ind w:firstLine="400"/>
        <w:contextualSpacing/>
        <w:rPr>
          <w:color w:val="auto"/>
        </w:rPr>
      </w:pPr>
      <w:r>
        <w:rPr>
          <w:rFonts w:hint="eastAsia"/>
          <w:color w:val="auto"/>
        </w:rPr>
        <w:t>4.4.4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color w:val="auto"/>
        </w:rPr>
      </w:pPr>
      <w:r>
        <w:rPr>
          <w:rFonts w:hint="eastAsia"/>
          <w:color w:val="auto"/>
        </w:rPr>
        <w:t>4.4.5</w:t>
      </w:r>
      <w:r>
        <w:rPr>
          <w:rFonts w:hint="eastAsia"/>
          <w:color w:val="auto"/>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rPr>
          <w:color w:val="auto"/>
        </w:rPr>
      </w:pPr>
      <w:r>
        <w:rPr>
          <w:rFonts w:hint="eastAsia"/>
          <w:color w:val="auto"/>
        </w:rPr>
        <w:t>投诉书范本及制作说明详见附件3。</w:t>
      </w:r>
    </w:p>
    <w:p>
      <w:pPr>
        <w:pStyle w:val="128"/>
        <w:snapToGrid w:val="0"/>
        <w:spacing w:before="0"/>
        <w:ind w:firstLine="360"/>
        <w:rPr>
          <w:rFonts w:ascii="宋体" w:hAnsi="宋体" w:cs="宋体"/>
          <w:color w:val="auto"/>
          <w:sz w:val="18"/>
          <w:szCs w:val="18"/>
        </w:rPr>
      </w:pPr>
    </w:p>
    <w:p>
      <w:pPr>
        <w:adjustRightInd/>
        <w:spacing w:line="360" w:lineRule="auto"/>
        <w:jc w:val="center"/>
        <w:outlineLvl w:val="0"/>
        <w:rPr>
          <w:rFonts w:ascii="宋体" w:hAnsi="宋体" w:cs="宋体"/>
          <w:b/>
          <w:color w:val="auto"/>
          <w:sz w:val="32"/>
          <w:szCs w:val="20"/>
        </w:rPr>
      </w:pPr>
      <w:r>
        <w:rPr>
          <w:rFonts w:hint="eastAsia" w:ascii="宋体" w:hAnsi="宋体" w:cs="宋体"/>
          <w:b/>
          <w:color w:val="auto"/>
          <w:sz w:val="32"/>
          <w:szCs w:val="20"/>
        </w:rPr>
        <w:t xml:space="preserve">      二、招标文件的构成、澄清、修改</w:t>
      </w:r>
    </w:p>
    <w:p>
      <w:pPr>
        <w:pStyle w:val="33"/>
        <w:spacing w:line="360" w:lineRule="auto"/>
        <w:rPr>
          <w:rFonts w:hAnsi="宋体" w:cs="宋体"/>
          <w:b/>
          <w:color w:val="auto"/>
          <w:sz w:val="24"/>
          <w:szCs w:val="24"/>
        </w:rPr>
      </w:pPr>
      <w:r>
        <w:rPr>
          <w:rFonts w:hint="eastAsia" w:hAnsi="宋体" w:cs="宋体"/>
          <w:b/>
          <w:color w:val="auto"/>
          <w:sz w:val="24"/>
          <w:szCs w:val="24"/>
        </w:rPr>
        <w:t>5．招标文件的构成</w:t>
      </w:r>
    </w:p>
    <w:p>
      <w:pPr>
        <w:pStyle w:val="33"/>
        <w:spacing w:line="360" w:lineRule="auto"/>
        <w:ind w:firstLine="480" w:firstLineChars="200"/>
        <w:rPr>
          <w:rFonts w:hAnsi="宋体" w:cs="宋体"/>
          <w:color w:val="auto"/>
          <w:sz w:val="24"/>
          <w:szCs w:val="24"/>
        </w:rPr>
      </w:pPr>
      <w:r>
        <w:rPr>
          <w:rFonts w:hint="eastAsia" w:hAnsi="宋体" w:cs="宋体"/>
          <w:color w:val="auto"/>
          <w:sz w:val="24"/>
          <w:szCs w:val="24"/>
        </w:rPr>
        <w:t>5.1 招标文件包括下列文件及附件：</w:t>
      </w:r>
    </w:p>
    <w:p>
      <w:pPr>
        <w:pStyle w:val="33"/>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5.1.1招标公告；</w:t>
      </w:r>
    </w:p>
    <w:p>
      <w:pPr>
        <w:pStyle w:val="33"/>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5.1.2投标人须知；</w:t>
      </w:r>
    </w:p>
    <w:p>
      <w:pPr>
        <w:pStyle w:val="33"/>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5.1.3采购需求；</w:t>
      </w:r>
    </w:p>
    <w:p>
      <w:pPr>
        <w:pStyle w:val="33"/>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5.1.4评标办法；</w:t>
      </w:r>
    </w:p>
    <w:p>
      <w:pPr>
        <w:pStyle w:val="33"/>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5.1.5拟签订的合同文本；</w:t>
      </w:r>
    </w:p>
    <w:p>
      <w:pPr>
        <w:pStyle w:val="33"/>
        <w:tabs>
          <w:tab w:val="left" w:pos="840"/>
        </w:tabs>
        <w:spacing w:line="360" w:lineRule="auto"/>
        <w:ind w:firstLine="960" w:firstLineChars="400"/>
        <w:rPr>
          <w:rFonts w:hAnsi="宋体" w:cs="宋体"/>
          <w:color w:val="auto"/>
          <w:sz w:val="24"/>
          <w:szCs w:val="24"/>
        </w:rPr>
      </w:pPr>
      <w:r>
        <w:rPr>
          <w:rFonts w:hint="eastAsia" w:hAnsi="宋体" w:cs="宋体"/>
          <w:color w:val="auto"/>
          <w:sz w:val="24"/>
        </w:rPr>
        <w:t>5.1.6</w:t>
      </w:r>
      <w:r>
        <w:rPr>
          <w:rFonts w:hint="eastAsia" w:hAnsi="宋体" w:cs="宋体"/>
          <w:color w:val="auto"/>
          <w:sz w:val="24"/>
          <w:szCs w:val="24"/>
        </w:rPr>
        <w:t>应提交的有关格式范例。</w:t>
      </w:r>
    </w:p>
    <w:p>
      <w:pPr>
        <w:spacing w:line="360" w:lineRule="auto"/>
        <w:ind w:firstLine="480" w:firstLineChars="200"/>
        <w:rPr>
          <w:rFonts w:ascii="宋体" w:hAnsi="宋体" w:cs="宋体"/>
          <w:color w:val="auto"/>
          <w:sz w:val="24"/>
        </w:rPr>
      </w:pPr>
      <w:r>
        <w:rPr>
          <w:rFonts w:hint="eastAsia" w:ascii="宋体" w:hAnsi="宋体" w:cs="宋体"/>
          <w:color w:val="auto"/>
          <w:sz w:val="24"/>
        </w:rPr>
        <w:t>5.2与本项目有关的</w:t>
      </w:r>
      <w:r>
        <w:rPr>
          <w:rFonts w:hint="eastAsia" w:ascii="宋体" w:hAnsi="宋体" w:cs="宋体"/>
          <w:bCs/>
          <w:color w:val="auto"/>
          <w:sz w:val="24"/>
        </w:rPr>
        <w:t>澄清或者修改的内容为招标文件的组成部分</w:t>
      </w:r>
      <w:r>
        <w:rPr>
          <w:rFonts w:hint="eastAsia" w:ascii="宋体" w:hAnsi="宋体" w:cs="宋体"/>
          <w:color w:val="auto"/>
          <w:sz w:val="24"/>
        </w:rPr>
        <w:t>。</w:t>
      </w:r>
    </w:p>
    <w:p>
      <w:pPr>
        <w:pStyle w:val="33"/>
        <w:spacing w:line="360" w:lineRule="auto"/>
        <w:rPr>
          <w:rFonts w:hAnsi="宋体" w:cs="宋体"/>
          <w:b/>
          <w:color w:val="auto"/>
          <w:sz w:val="24"/>
          <w:szCs w:val="24"/>
        </w:rPr>
      </w:pPr>
      <w:r>
        <w:rPr>
          <w:rFonts w:hint="eastAsia" w:hAnsi="宋体" w:cs="宋体"/>
          <w:b/>
          <w:color w:val="auto"/>
          <w:sz w:val="24"/>
          <w:szCs w:val="24"/>
        </w:rPr>
        <w:t>6. 招标文件的澄清、修改</w:t>
      </w:r>
    </w:p>
    <w:p>
      <w:pPr>
        <w:pStyle w:val="128"/>
        <w:snapToGrid w:val="0"/>
        <w:spacing w:before="0"/>
        <w:ind w:firstLine="480"/>
        <w:rPr>
          <w:rFonts w:ascii="宋体" w:hAnsi="宋体" w:cs="宋体"/>
          <w:color w:val="auto"/>
        </w:rPr>
      </w:pPr>
      <w:r>
        <w:rPr>
          <w:rFonts w:hint="eastAsia" w:ascii="宋体" w:hAnsi="宋体" w:cs="宋体"/>
          <w:color w:val="auto"/>
        </w:rPr>
        <w:t>6.1已获取招标文件的潜在投标人，若有问题需要澄清，应于投标截止时间前，以书面形式向采购机构提出。</w:t>
      </w:r>
    </w:p>
    <w:p>
      <w:pPr>
        <w:pStyle w:val="128"/>
        <w:snapToGrid w:val="0"/>
        <w:spacing w:before="0"/>
        <w:ind w:firstLine="480"/>
        <w:rPr>
          <w:rFonts w:ascii="宋体" w:hAnsi="宋体" w:cs="宋体"/>
          <w:color w:val="auto"/>
        </w:rPr>
      </w:pPr>
      <w:r>
        <w:rPr>
          <w:rFonts w:hint="eastAsia" w:ascii="宋体" w:hAnsi="宋体" w:cs="宋体"/>
          <w:color w:val="auto"/>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Ansi="宋体" w:cs="宋体"/>
          <w:color w:val="auto"/>
          <w:sz w:val="18"/>
          <w:szCs w:val="18"/>
          <w:lang w:val="en-US"/>
        </w:rPr>
      </w:pPr>
      <w:r>
        <w:rPr>
          <w:rFonts w:hint="eastAsia" w:hAnsi="宋体" w:cs="宋体"/>
          <w:color w:val="auto"/>
          <w:szCs w:val="24"/>
          <w:lang w:val="en-US"/>
        </w:rPr>
        <w:t xml:space="preserve">    </w:t>
      </w:r>
    </w:p>
    <w:p>
      <w:pPr>
        <w:adjustRightInd/>
        <w:spacing w:line="360" w:lineRule="auto"/>
        <w:jc w:val="center"/>
        <w:outlineLvl w:val="0"/>
        <w:rPr>
          <w:rFonts w:ascii="宋体" w:hAnsi="宋体" w:cs="宋体"/>
          <w:b/>
          <w:color w:val="auto"/>
          <w:sz w:val="30"/>
          <w:szCs w:val="20"/>
        </w:rPr>
      </w:pPr>
      <w:r>
        <w:rPr>
          <w:rFonts w:hint="eastAsia" w:ascii="宋体" w:hAnsi="宋体" w:cs="宋体"/>
          <w:b/>
          <w:color w:val="auto"/>
          <w:sz w:val="30"/>
          <w:szCs w:val="20"/>
        </w:rPr>
        <w:t>三、投标</w:t>
      </w:r>
    </w:p>
    <w:p>
      <w:pPr>
        <w:pStyle w:val="33"/>
        <w:spacing w:line="360" w:lineRule="auto"/>
        <w:rPr>
          <w:rFonts w:hAnsi="宋体" w:cs="宋体"/>
          <w:b/>
          <w:color w:val="auto"/>
          <w:sz w:val="24"/>
          <w:szCs w:val="24"/>
        </w:rPr>
      </w:pPr>
      <w:r>
        <w:rPr>
          <w:rFonts w:hint="eastAsia" w:hAnsi="宋体" w:cs="宋体"/>
          <w:b/>
          <w:color w:val="auto"/>
          <w:sz w:val="24"/>
          <w:szCs w:val="24"/>
        </w:rPr>
        <w:t>7. 招标文件的获取</w:t>
      </w:r>
    </w:p>
    <w:p>
      <w:pPr>
        <w:spacing w:line="360" w:lineRule="auto"/>
        <w:ind w:firstLine="480" w:firstLineChars="200"/>
        <w:rPr>
          <w:rFonts w:ascii="宋体" w:hAnsi="宋体" w:cs="宋体"/>
          <w:snapToGrid w:val="0"/>
          <w:color w:val="auto"/>
          <w:kern w:val="28"/>
          <w:sz w:val="24"/>
        </w:rPr>
      </w:pPr>
      <w:r>
        <w:rPr>
          <w:rFonts w:hint="eastAsia" w:ascii="宋体" w:hAnsi="宋体" w:cs="宋体"/>
          <w:snapToGrid w:val="0"/>
          <w:color w:val="auto"/>
          <w:kern w:val="28"/>
          <w:sz w:val="24"/>
        </w:rPr>
        <w:t>详见招标公告中获取招标文件的时间期限、地点、方式及招标文件售价。</w:t>
      </w:r>
    </w:p>
    <w:p>
      <w:pPr>
        <w:pStyle w:val="33"/>
        <w:spacing w:line="360" w:lineRule="auto"/>
        <w:rPr>
          <w:rFonts w:hAnsi="宋体" w:cs="宋体"/>
          <w:b/>
          <w:color w:val="auto"/>
          <w:sz w:val="24"/>
          <w:szCs w:val="24"/>
        </w:rPr>
      </w:pPr>
      <w:r>
        <w:rPr>
          <w:rFonts w:hint="eastAsia" w:hAnsi="宋体" w:cs="宋体"/>
          <w:b/>
          <w:color w:val="auto"/>
          <w:sz w:val="24"/>
          <w:szCs w:val="24"/>
        </w:rPr>
        <w:t>8.开标前答疑会或现场考察</w:t>
      </w:r>
    </w:p>
    <w:p>
      <w:pPr>
        <w:pStyle w:val="33"/>
        <w:spacing w:line="360" w:lineRule="auto"/>
        <w:ind w:firstLine="480" w:firstLineChars="200"/>
        <w:rPr>
          <w:rFonts w:hAnsi="宋体" w:cs="宋体"/>
          <w:color w:val="auto"/>
          <w:sz w:val="24"/>
          <w:szCs w:val="24"/>
        </w:rPr>
      </w:pPr>
      <w:r>
        <w:rPr>
          <w:rFonts w:hint="eastAsia" w:hAnsi="宋体" w:cs="宋体"/>
          <w:color w:val="auto"/>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color w:val="auto"/>
          <w:szCs w:val="24"/>
        </w:rPr>
      </w:pPr>
      <w:r>
        <w:rPr>
          <w:rFonts w:hint="eastAsia" w:hAnsi="宋体" w:cs="宋体"/>
          <w:b/>
          <w:color w:val="auto"/>
          <w:kern w:val="28"/>
          <w:sz w:val="24"/>
          <w:szCs w:val="24"/>
        </w:rPr>
        <w:t>9.投标保证金</w:t>
      </w:r>
    </w:p>
    <w:p>
      <w:pPr>
        <w:pStyle w:val="7"/>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color w:val="auto"/>
          <w:sz w:val="24"/>
          <w:szCs w:val="24"/>
        </w:rPr>
      </w:pPr>
      <w:r>
        <w:rPr>
          <w:rFonts w:hint="eastAsia" w:hAnsi="宋体" w:cs="宋体"/>
          <w:b/>
          <w:color w:val="auto"/>
          <w:sz w:val="24"/>
          <w:szCs w:val="24"/>
        </w:rPr>
        <w:t>10. 投标文件的语言</w:t>
      </w:r>
    </w:p>
    <w:p>
      <w:pPr>
        <w:autoSpaceDE w:val="0"/>
        <w:autoSpaceDN w:val="0"/>
        <w:spacing w:line="360" w:lineRule="auto"/>
        <w:ind w:firstLine="480" w:firstLineChars="200"/>
        <w:rPr>
          <w:rFonts w:ascii="宋体" w:hAnsi="宋体" w:cs="宋体"/>
          <w:color w:val="auto"/>
          <w:sz w:val="24"/>
          <w:lang w:val="zh-CN"/>
        </w:rPr>
      </w:pPr>
      <w:r>
        <w:rPr>
          <w:rFonts w:hint="eastAsia" w:ascii="宋体" w:hAnsi="宋体" w:cs="宋体"/>
          <w:color w:val="auto"/>
          <w:sz w:val="24"/>
        </w:rPr>
        <w:t>投标文件及投标人与采购有关的来往通知、函件和文件均应使用中文。</w:t>
      </w:r>
    </w:p>
    <w:p>
      <w:pPr>
        <w:pStyle w:val="33"/>
        <w:spacing w:line="360" w:lineRule="auto"/>
        <w:rPr>
          <w:rFonts w:hAnsi="宋体" w:cs="宋体"/>
          <w:b/>
          <w:color w:val="auto"/>
          <w:sz w:val="24"/>
          <w:szCs w:val="24"/>
        </w:rPr>
      </w:pPr>
      <w:r>
        <w:rPr>
          <w:rFonts w:hint="eastAsia" w:hAnsi="宋体" w:cs="宋体"/>
          <w:b/>
          <w:color w:val="auto"/>
          <w:sz w:val="24"/>
          <w:szCs w:val="24"/>
        </w:rPr>
        <w:t>11.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bookmarkStart w:id="17" w:name="_Hlk101259339"/>
      <w:r>
        <w:rPr>
          <w:rFonts w:hint="eastAsia" w:ascii="宋体" w:hAnsi="宋体" w:cs="宋体"/>
          <w:snapToGrid w:val="0"/>
          <w:color w:val="auto"/>
          <w:kern w:val="28"/>
          <w:sz w:val="24"/>
          <w:szCs w:val="20"/>
        </w:rPr>
        <w:t>联合协议</w:t>
      </w:r>
      <w:bookmarkEnd w:id="17"/>
      <w:r>
        <w:rPr>
          <w:rFonts w:hint="eastAsia" w:ascii="宋体" w:hAnsi="宋体" w:cs="宋体"/>
          <w:snapToGrid w:val="0"/>
          <w:color w:val="auto"/>
          <w:kern w:val="28"/>
          <w:sz w:val="24"/>
          <w:szCs w:val="20"/>
        </w:rPr>
        <w:t>（如果有)；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11.3.1开标一览表（报价表）；</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11.3.2中小企业声明函</w:t>
      </w:r>
      <w:r>
        <w:rPr>
          <w:rFonts w:hint="eastAsia" w:ascii="宋体" w:hAnsi="宋体" w:cs="宋体"/>
          <w:color w:val="auto"/>
          <w:sz w:val="24"/>
          <w:lang w:eastAsia="zh-CN"/>
        </w:rPr>
        <w:t>（</w:t>
      </w:r>
      <w:r>
        <w:rPr>
          <w:rFonts w:hint="eastAsia" w:ascii="宋体" w:hAnsi="宋体" w:cs="宋体"/>
          <w:color w:val="auto"/>
          <w:sz w:val="24"/>
          <w:lang w:val="en-US" w:eastAsia="zh-CN"/>
        </w:rPr>
        <w:t>如果有</w:t>
      </w:r>
      <w:r>
        <w:rPr>
          <w:rFonts w:hint="eastAsia" w:ascii="宋体" w:hAnsi="宋体" w:cs="宋体"/>
          <w:color w:val="auto"/>
          <w:sz w:val="24"/>
          <w:lang w:eastAsia="zh-CN"/>
        </w:rPr>
        <w:t>）</w:t>
      </w:r>
      <w:r>
        <w:rPr>
          <w:rFonts w:hint="eastAsia" w:ascii="宋体" w:hAnsi="宋体" w:cs="宋体"/>
          <w:color w:val="auto"/>
          <w:sz w:val="24"/>
        </w:rPr>
        <w:t>。</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投标文件含有采购人不能接受的附加条件的，投标无效；</w:t>
      </w:r>
    </w:p>
    <w:p>
      <w:pPr>
        <w:spacing w:line="360" w:lineRule="auto"/>
        <w:ind w:firstLine="723" w:firstLineChars="300"/>
        <w:rPr>
          <w:rFonts w:ascii="宋体" w:hAnsi="宋体" w:cs="宋体"/>
          <w:b/>
          <w:color w:val="auto"/>
          <w:sz w:val="24"/>
          <w:szCs w:val="21"/>
        </w:rPr>
      </w:pPr>
      <w:r>
        <w:rPr>
          <w:rFonts w:hint="eastAsia" w:ascii="宋体" w:hAnsi="宋体" w:cs="宋体"/>
          <w:b/>
          <w:color w:val="auto"/>
          <w:sz w:val="24"/>
        </w:rPr>
        <w:t>投标人提供虚假材料投标的，投标无效。</w:t>
      </w:r>
    </w:p>
    <w:p>
      <w:pPr>
        <w:pStyle w:val="128"/>
        <w:snapToGrid w:val="0"/>
        <w:spacing w:before="0"/>
        <w:ind w:firstLine="0" w:firstLineChars="0"/>
        <w:outlineLvl w:val="0"/>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color w:val="auto"/>
          <w:sz w:val="24"/>
        </w:rPr>
      </w:pPr>
      <w:r>
        <w:rPr>
          <w:rFonts w:hint="eastAsia" w:ascii="宋体" w:hAnsi="宋体" w:cs="宋体"/>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rPr>
      </w:pPr>
      <w:r>
        <w:rPr>
          <w:rFonts w:hint="eastAsia" w:ascii="宋体" w:hAnsi="宋体" w:cs="宋体"/>
          <w:b/>
          <w:color w:val="auto"/>
          <w:sz w:val="24"/>
        </w:rPr>
        <w:t>13.投标文件的签署、盖章</w:t>
      </w:r>
    </w:p>
    <w:p>
      <w:pPr>
        <w:pStyle w:val="128"/>
        <w:snapToGrid w:val="0"/>
        <w:spacing w:before="0"/>
        <w:ind w:firstLine="480"/>
        <w:rPr>
          <w:rFonts w:ascii="宋体" w:hAnsi="宋体" w:cs="宋体"/>
          <w:b/>
          <w:color w:val="auto"/>
        </w:rPr>
      </w:pPr>
      <w:r>
        <w:rPr>
          <w:rFonts w:hint="eastAsia" w:ascii="宋体" w:hAnsi="宋体" w:cs="宋体"/>
          <w:color w:val="auto"/>
          <w:szCs w:val="24"/>
        </w:rPr>
        <w:t>13.1投标文件按照招标文件第六部分格式要</w:t>
      </w:r>
      <w:r>
        <w:rPr>
          <w:rFonts w:hint="eastAsia" w:ascii="宋体" w:hAnsi="宋体" w:cs="宋体"/>
          <w:color w:val="auto"/>
        </w:rPr>
        <w:t>求进行签署、盖章。</w:t>
      </w:r>
      <w:r>
        <w:rPr>
          <w:rFonts w:hint="eastAsia" w:ascii="宋体" w:hAnsi="宋体" w:cs="宋体"/>
          <w:b/>
          <w:color w:val="auto"/>
        </w:rPr>
        <w:t>▲投标人的投标文件未按照招标文件要求签署、盖章的，其投标无效</w:t>
      </w:r>
      <w:r>
        <w:rPr>
          <w:rFonts w:hint="eastAsia" w:ascii="宋体" w:hAnsi="宋体" w:cs="宋体"/>
          <w:color w:val="auto"/>
          <w:szCs w:val="24"/>
        </w:rPr>
        <w:t>。</w:t>
      </w:r>
    </w:p>
    <w:p>
      <w:pPr>
        <w:pStyle w:val="128"/>
        <w:snapToGrid w:val="0"/>
        <w:spacing w:before="0"/>
        <w:ind w:firstLine="480"/>
        <w:rPr>
          <w:rFonts w:ascii="宋体" w:hAnsi="宋体" w:cs="宋体"/>
          <w:color w:val="auto"/>
        </w:rPr>
      </w:pPr>
      <w:r>
        <w:rPr>
          <w:rFonts w:hint="eastAsia" w:ascii="宋体" w:hAnsi="宋体" w:cs="宋体"/>
          <w:color w:val="auto"/>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color w:val="auto"/>
          <w:szCs w:val="24"/>
        </w:rPr>
      </w:pPr>
      <w:r>
        <w:rPr>
          <w:rFonts w:hint="eastAsia" w:ascii="宋体" w:hAnsi="宋体" w:cs="宋体"/>
          <w:color w:val="auto"/>
        </w:rPr>
        <w:t>13.3招标文件对投标文件签署、盖章的要求适用于电子签名。</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14. 投标文件的提交、补充、修改、撤回</w:t>
      </w:r>
    </w:p>
    <w:p>
      <w:pPr>
        <w:pStyle w:val="128"/>
        <w:ind w:firstLine="480"/>
        <w:rPr>
          <w:rFonts w:ascii="宋体" w:hAnsi="宋体" w:cs="宋体"/>
          <w:color w:val="auto"/>
          <w:szCs w:val="24"/>
        </w:rPr>
      </w:pPr>
      <w:r>
        <w:rPr>
          <w:rFonts w:hint="eastAsia" w:ascii="宋体" w:hAnsi="宋体" w:cs="宋体"/>
          <w:color w:val="auto"/>
          <w:szCs w:val="24"/>
        </w:rPr>
        <w:t>14.1 供应商应当在投标截止时间前完成投标文件的传输递交，并可以补充、修改或者撤回投标文件。补充或者修改投标文件的，应当先行撤回原文件，补充、修改后重新传输递交。</w:t>
      </w:r>
      <w:r>
        <w:rPr>
          <w:rFonts w:hint="eastAsia" w:ascii="宋体" w:hAnsi="宋体" w:cs="宋体"/>
          <w:color w:val="auto"/>
          <w:szCs w:val="24"/>
          <w:highlight w:val="none"/>
        </w:rPr>
        <w:t>供应商撤回投标不得损害国家利益、社会公共利益、采购人利益、代理机构利益、其他供应商利益，否则，供应商撤销（撤回）投标无效。</w:t>
      </w:r>
      <w:r>
        <w:rPr>
          <w:rFonts w:hint="eastAsia" w:ascii="宋体" w:hAnsi="宋体" w:cs="宋体"/>
          <w:color w:val="auto"/>
          <w:szCs w:val="24"/>
        </w:rPr>
        <w:t>投标截止时间前未完成传输的，视为撤回投标文件。投标截止时间后递交的投标文件，电子交易平台将拒收。</w:t>
      </w:r>
    </w:p>
    <w:p>
      <w:pPr>
        <w:pStyle w:val="128"/>
        <w:spacing w:before="0"/>
        <w:ind w:firstLine="480"/>
        <w:rPr>
          <w:rFonts w:ascii="宋体" w:hAnsi="宋体" w:cs="宋体"/>
          <w:color w:val="auto"/>
          <w:szCs w:val="24"/>
        </w:rPr>
      </w:pPr>
      <w:r>
        <w:rPr>
          <w:rFonts w:hint="eastAsia" w:ascii="宋体" w:hAnsi="宋体" w:cs="宋体"/>
          <w:color w:val="auto"/>
          <w:szCs w:val="24"/>
        </w:rPr>
        <w:t>14.2电子交易平台收到投标文件，将妥善保存并即时向供应商发出确认回执通知。在投标截止时间前，除供应商补充、修改或者撤回投标文件外，任何单位和个人不得解密或提取投标文件。</w:t>
      </w:r>
      <w:r>
        <w:rPr>
          <w:rFonts w:hint="eastAsia" w:ascii="宋体" w:hAnsi="宋体" w:cs="宋体"/>
          <w:color w:val="auto"/>
          <w:szCs w:val="24"/>
        </w:rPr>
        <w:tab/>
      </w:r>
    </w:p>
    <w:p>
      <w:pPr>
        <w:pStyle w:val="128"/>
        <w:spacing w:before="0"/>
        <w:ind w:firstLine="480"/>
        <w:rPr>
          <w:rFonts w:ascii="宋体" w:hAnsi="宋体" w:cs="宋体"/>
          <w:color w:val="auto"/>
          <w:szCs w:val="24"/>
        </w:rPr>
      </w:pPr>
      <w:r>
        <w:rPr>
          <w:rFonts w:hint="eastAsia" w:ascii="宋体" w:hAnsi="宋体" w:cs="宋体"/>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Ansi="宋体" w:cs="宋体"/>
          <w:b/>
          <w:color w:val="auto"/>
          <w:sz w:val="24"/>
          <w:szCs w:val="24"/>
        </w:rPr>
      </w:pPr>
      <w:r>
        <w:rPr>
          <w:rFonts w:hint="eastAsia" w:hAnsi="宋体" w:cs="宋体"/>
          <w:b/>
          <w:color w:val="auto"/>
          <w:sz w:val="24"/>
          <w:szCs w:val="24"/>
        </w:rPr>
        <w:t>15.备份投标文件</w:t>
      </w:r>
    </w:p>
    <w:p>
      <w:pPr>
        <w:pStyle w:val="33"/>
        <w:spacing w:line="360" w:lineRule="auto"/>
        <w:ind w:firstLine="360" w:firstLineChars="150"/>
        <w:rPr>
          <w:rFonts w:hAnsi="宋体" w:cs="宋体"/>
          <w:b/>
          <w:color w:val="auto"/>
          <w:sz w:val="24"/>
          <w:szCs w:val="24"/>
        </w:rPr>
      </w:pPr>
      <w:r>
        <w:rPr>
          <w:rFonts w:hint="eastAsia" w:hAnsi="宋体" w:cs="宋体"/>
          <w:color w:val="auto"/>
          <w:sz w:val="24"/>
          <w:szCs w:val="24"/>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rPr>
        <w:t>但采购人、采购机构不强制或变相强制投标人提交备份投标文件。</w:t>
      </w:r>
    </w:p>
    <w:p>
      <w:pPr>
        <w:pStyle w:val="33"/>
        <w:spacing w:line="360" w:lineRule="auto"/>
        <w:ind w:firstLine="480" w:firstLineChars="200"/>
        <w:rPr>
          <w:rFonts w:hAnsi="宋体" w:cs="宋体"/>
          <w:b/>
          <w:color w:val="auto"/>
          <w:sz w:val="24"/>
          <w:szCs w:val="24"/>
        </w:rPr>
      </w:pPr>
      <w:r>
        <w:rPr>
          <w:rFonts w:hint="eastAsia" w:hAnsi="宋体" w:cs="宋体"/>
          <w:color w:val="auto"/>
          <w:sz w:val="24"/>
          <w:szCs w:val="24"/>
        </w:rPr>
        <w:t>15.2备份投标文件须在“政采云投标客户端”制作生成，并储存在</w:t>
      </w:r>
      <w:r>
        <w:rPr>
          <w:rFonts w:hint="eastAsia" w:hAnsi="宋体" w:cs="宋体"/>
          <w:color w:val="auto"/>
          <w:sz w:val="24"/>
        </w:rPr>
        <w:t>DVD光盘</w:t>
      </w:r>
      <w:r>
        <w:rPr>
          <w:rFonts w:hint="eastAsia" w:hAnsi="宋体" w:cs="宋体"/>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rPr>
        <w:t>不符合上述制作、</w:t>
      </w:r>
      <w:r>
        <w:rPr>
          <w:rFonts w:hint="eastAsia" w:hAnsi="宋体" w:cs="宋体"/>
          <w:b/>
          <w:color w:val="auto"/>
          <w:sz w:val="24"/>
          <w:szCs w:val="24"/>
        </w:rPr>
        <w:t>存储、密封规定的备份投标文件将被视为无效或者被拒绝接收。</w:t>
      </w:r>
    </w:p>
    <w:p>
      <w:pPr>
        <w:pStyle w:val="33"/>
        <w:spacing w:line="360" w:lineRule="auto"/>
        <w:ind w:firstLine="480" w:firstLineChars="200"/>
        <w:rPr>
          <w:rFonts w:hAnsi="宋体" w:cs="宋体"/>
          <w:color w:val="auto"/>
          <w:sz w:val="24"/>
          <w:szCs w:val="24"/>
        </w:rPr>
      </w:pPr>
      <w:r>
        <w:rPr>
          <w:rFonts w:hint="eastAsia" w:hAnsi="宋体" w:cs="宋体"/>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Ansi="宋体" w:cs="宋体"/>
          <w:color w:val="auto"/>
          <w:sz w:val="24"/>
          <w:szCs w:val="24"/>
        </w:rPr>
      </w:pPr>
      <w:r>
        <w:rPr>
          <w:rFonts w:hint="eastAsia" w:hAnsi="宋体" w:cs="宋体"/>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rPr>
        <w:t>招标文件第二部分投标人须知前附表规定的备份投标文件送达地点；</w:t>
      </w:r>
      <w:r>
        <w:rPr>
          <w:rFonts w:hint="eastAsia" w:hAnsi="宋体" w:cs="宋体"/>
          <w:color w:val="auto"/>
          <w:sz w:val="24"/>
          <w:szCs w:val="24"/>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color w:val="auto"/>
          <w:sz w:val="24"/>
          <w:szCs w:val="24"/>
        </w:rPr>
      </w:pPr>
      <w:r>
        <w:rPr>
          <w:rFonts w:hint="eastAsia" w:hAnsi="宋体" w:cs="宋体"/>
          <w:b/>
          <w:color w:val="auto"/>
          <w:sz w:val="24"/>
          <w:szCs w:val="24"/>
        </w:rPr>
        <w:t>15.5投标人仅提交备份投标文件，未在电子交易平台传输递交投标文件的，投标无效。</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16.投标文件的无效处理</w:t>
      </w:r>
    </w:p>
    <w:p>
      <w:pPr>
        <w:pStyle w:val="25"/>
        <w:spacing w:line="360" w:lineRule="auto"/>
        <w:ind w:firstLine="360" w:firstLineChars="150"/>
        <w:rPr>
          <w:rFonts w:cs="宋体"/>
          <w:color w:val="auto"/>
          <w:szCs w:val="21"/>
        </w:rPr>
      </w:pPr>
      <w:r>
        <w:rPr>
          <w:rFonts w:hint="eastAsia" w:cs="宋体"/>
          <w:color w:val="auto"/>
          <w:szCs w:val="21"/>
        </w:rPr>
        <w:t>有招标文件第四部分</w:t>
      </w:r>
      <w:r>
        <w:rPr>
          <w:rFonts w:cs="宋体"/>
          <w:color w:val="auto"/>
        </w:rPr>
        <w:t>4.2规定</w:t>
      </w:r>
      <w:r>
        <w:rPr>
          <w:rFonts w:hint="eastAsia" w:cs="宋体"/>
          <w:color w:val="auto"/>
          <w:szCs w:val="21"/>
        </w:rPr>
        <w:t>的情形之一的，投标无效：</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17.投标有效期</w:t>
      </w:r>
    </w:p>
    <w:p>
      <w:pPr>
        <w:spacing w:line="360" w:lineRule="auto"/>
        <w:ind w:firstLine="480" w:firstLineChars="200"/>
        <w:rPr>
          <w:rFonts w:ascii="宋体" w:hAnsi="宋体" w:cs="宋体"/>
          <w:b/>
          <w:color w:val="auto"/>
          <w:sz w:val="24"/>
          <w:szCs w:val="21"/>
        </w:rPr>
      </w:pPr>
      <w:r>
        <w:rPr>
          <w:rFonts w:hint="eastAsia" w:ascii="宋体" w:hAnsi="宋体" w:cs="宋体"/>
          <w:color w:val="auto"/>
          <w:sz w:val="24"/>
          <w:szCs w:val="20"/>
        </w:rPr>
        <w:t>17.1投标有效期为从提交投标文件的截止之日起90天。▲</w:t>
      </w:r>
      <w:r>
        <w:rPr>
          <w:rFonts w:hint="eastAsia" w:ascii="宋体" w:hAnsi="宋体" w:cs="宋体"/>
          <w:b/>
          <w:color w:val="auto"/>
          <w:sz w:val="24"/>
          <w:szCs w:val="20"/>
        </w:rPr>
        <w:t>投标人的投标文件中承</w:t>
      </w:r>
      <w:r>
        <w:rPr>
          <w:rFonts w:hint="eastAsia" w:ascii="宋体" w:hAnsi="宋体" w:cs="宋体"/>
          <w:b/>
          <w:color w:val="auto"/>
          <w:sz w:val="24"/>
          <w:szCs w:val="21"/>
        </w:rPr>
        <w:t>诺的投标有效期少于招标文件中载明的投标有效期的，投标无效。</w:t>
      </w:r>
    </w:p>
    <w:p>
      <w:pPr>
        <w:pStyle w:val="128"/>
        <w:spacing w:before="0"/>
        <w:ind w:firstLine="480"/>
        <w:rPr>
          <w:rFonts w:ascii="宋体" w:hAnsi="宋体" w:cs="宋体"/>
          <w:color w:val="auto"/>
        </w:rPr>
      </w:pPr>
      <w:r>
        <w:rPr>
          <w:rFonts w:hint="eastAsia" w:ascii="宋体" w:hAnsi="宋体" w:cs="宋体"/>
          <w:color w:val="auto"/>
        </w:rPr>
        <w:t>17.2投标文件合格投递后，自投标截止日期起，在投标有效期内有效。</w:t>
      </w:r>
    </w:p>
    <w:p>
      <w:pPr>
        <w:pStyle w:val="128"/>
        <w:spacing w:before="0"/>
        <w:ind w:firstLine="480"/>
        <w:rPr>
          <w:rFonts w:ascii="宋体" w:hAnsi="宋体" w:cs="宋体"/>
          <w:color w:val="auto"/>
        </w:rPr>
      </w:pPr>
      <w:r>
        <w:rPr>
          <w:rFonts w:hint="eastAsia" w:ascii="宋体" w:hAnsi="宋体" w:cs="宋体"/>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480"/>
        <w:rPr>
          <w:rFonts w:ascii="宋体" w:hAnsi="宋体" w:cs="宋体"/>
          <w:color w:val="auto"/>
          <w:highlight w:val="none"/>
        </w:rPr>
      </w:pPr>
      <w:r>
        <w:rPr>
          <w:rFonts w:hint="eastAsia" w:ascii="宋体" w:hAnsi="宋体" w:cs="宋体"/>
          <w:color w:val="auto"/>
          <w:highlight w:val="none"/>
        </w:rPr>
        <w:t>17.4在投标截止时间起至投标有效期届满，供应商投标文件不可撤销。</w:t>
      </w:r>
    </w:p>
    <w:p>
      <w:pPr>
        <w:pStyle w:val="128"/>
        <w:spacing w:before="0"/>
        <w:ind w:firstLine="643"/>
        <w:rPr>
          <w:rFonts w:ascii="宋体" w:hAnsi="宋体" w:cs="宋体"/>
          <w:b/>
          <w:color w:val="auto"/>
          <w:sz w:val="32"/>
        </w:rPr>
      </w:pPr>
    </w:p>
    <w:p>
      <w:pPr>
        <w:pStyle w:val="128"/>
        <w:spacing w:before="0"/>
        <w:ind w:firstLine="1928" w:firstLineChars="600"/>
        <w:rPr>
          <w:rFonts w:ascii="宋体" w:hAnsi="宋体" w:cs="宋体"/>
          <w:b/>
          <w:color w:val="auto"/>
          <w:sz w:val="32"/>
        </w:rPr>
      </w:pPr>
      <w:r>
        <w:rPr>
          <w:rFonts w:hint="eastAsia" w:ascii="宋体" w:hAnsi="宋体" w:cs="宋体"/>
          <w:b/>
          <w:color w:val="auto"/>
          <w:sz w:val="32"/>
        </w:rPr>
        <w:t>四、开标、资格审查与信用信息查询</w:t>
      </w:r>
    </w:p>
    <w:p>
      <w:pPr>
        <w:pStyle w:val="554"/>
        <w:spacing w:before="0" w:line="360" w:lineRule="auto"/>
        <w:ind w:left="0" w:firstLine="241" w:firstLineChars="100"/>
        <w:contextualSpacing/>
        <w:rPr>
          <w:rFonts w:ascii="宋体" w:hAnsi="宋体" w:cs="宋体"/>
          <w:color w:val="auto"/>
          <w:sz w:val="24"/>
        </w:rPr>
      </w:pPr>
      <w:r>
        <w:rPr>
          <w:rFonts w:hint="eastAsia" w:ascii="宋体" w:hAnsi="宋体" w:cs="宋体"/>
          <w:b/>
          <w:color w:val="auto"/>
          <w:sz w:val="24"/>
          <w:szCs w:val="24"/>
        </w:rPr>
        <w:t>18.开标</w:t>
      </w:r>
      <w:r>
        <w:rPr>
          <w:rFonts w:hint="eastAsia" w:ascii="宋体" w:hAnsi="宋体" w:cs="宋体"/>
          <w:color w:val="auto"/>
          <w:sz w:val="24"/>
        </w:rPr>
        <w:t xml:space="preserve"> </w:t>
      </w:r>
    </w:p>
    <w:p>
      <w:pPr>
        <w:pStyle w:val="554"/>
        <w:spacing w:before="0" w:line="360" w:lineRule="auto"/>
        <w:ind w:left="0" w:firstLine="480" w:firstLineChars="200"/>
        <w:contextualSpacing/>
        <w:rPr>
          <w:rFonts w:ascii="宋体" w:hAnsi="宋体" w:cs="宋体"/>
          <w:color w:val="auto"/>
          <w:sz w:val="24"/>
        </w:rPr>
      </w:pPr>
      <w:r>
        <w:rPr>
          <w:rFonts w:hint="eastAsia" w:ascii="宋体" w:hAnsi="宋体" w:cs="宋体"/>
          <w:color w:val="auto"/>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color w:val="auto"/>
          <w:sz w:val="24"/>
        </w:rPr>
      </w:pPr>
      <w:r>
        <w:rPr>
          <w:rFonts w:hint="eastAsia" w:ascii="宋体" w:hAnsi="宋体" w:cs="宋体"/>
          <w:color w:val="auto"/>
          <w:sz w:val="24"/>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color w:val="auto"/>
          <w:sz w:val="24"/>
        </w:rPr>
      </w:pPr>
      <w:r>
        <w:rPr>
          <w:rFonts w:hint="eastAsia" w:ascii="宋体" w:hAnsi="宋体" w:cs="宋体"/>
          <w:color w:val="auto"/>
          <w:sz w:val="24"/>
        </w:rPr>
        <w:t>　18.3</w:t>
      </w:r>
      <w:r>
        <w:rPr>
          <w:rFonts w:hint="eastAsia" w:ascii="宋体" w:hAnsi="宋体" w:cs="宋体"/>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rPr>
      </w:pPr>
      <w:r>
        <w:rPr>
          <w:rFonts w:hint="eastAsia" w:ascii="宋体" w:hAnsi="宋体" w:cs="宋体"/>
          <w:b/>
          <w:color w:val="auto"/>
          <w:sz w:val="24"/>
          <w:szCs w:val="20"/>
        </w:rPr>
        <w:t>　19、资格审查</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20、信用信息查询</w:t>
      </w:r>
    </w:p>
    <w:p>
      <w:pPr>
        <w:pStyle w:val="128"/>
        <w:spacing w:before="0"/>
        <w:ind w:firstLine="495" w:firstLineChars="0"/>
        <w:rPr>
          <w:rFonts w:ascii="宋体" w:hAnsi="宋体" w:cs="宋体"/>
          <w:color w:val="auto"/>
          <w:kern w:val="0"/>
          <w:szCs w:val="24"/>
        </w:rPr>
      </w:pPr>
      <w:r>
        <w:rPr>
          <w:rFonts w:hint="eastAsia" w:ascii="宋体" w:hAnsi="宋体" w:cs="宋体"/>
          <w:color w:val="auto"/>
          <w:kern w:val="0"/>
          <w:szCs w:val="24"/>
        </w:rPr>
        <w:t>20.1信用信息查询渠道及截止时间：采购机构将在资格审查时通过“信用中国”网站(www.creditchina.gov.cn)、中国政府采购网(www.ccgp.gov.cn)渠道查询投标人接受资格审查时的信用记录。</w:t>
      </w:r>
    </w:p>
    <w:p>
      <w:pPr>
        <w:pStyle w:val="128"/>
        <w:spacing w:before="0"/>
        <w:ind w:firstLine="495" w:firstLineChars="0"/>
        <w:rPr>
          <w:rFonts w:ascii="宋体" w:hAnsi="宋体" w:cs="宋体"/>
          <w:color w:val="auto"/>
          <w:kern w:val="0"/>
          <w:szCs w:val="24"/>
        </w:rPr>
      </w:pPr>
      <w:r>
        <w:rPr>
          <w:rFonts w:hint="eastAsia" w:ascii="宋体" w:hAnsi="宋体" w:cs="宋体"/>
          <w:color w:val="auto"/>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color w:val="auto"/>
          <w:kern w:val="0"/>
          <w:szCs w:val="24"/>
        </w:rPr>
      </w:pPr>
      <w:r>
        <w:rPr>
          <w:rFonts w:hint="eastAsia" w:ascii="宋体" w:hAnsi="宋体" w:cs="宋体"/>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color w:val="auto"/>
        </w:rPr>
      </w:pPr>
      <w:r>
        <w:rPr>
          <w:rFonts w:hint="eastAsia" w:ascii="宋体" w:hAnsi="宋体" w:cs="宋体"/>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rPr>
        <w:t>。</w:t>
      </w:r>
    </w:p>
    <w:p>
      <w:pPr>
        <w:pStyle w:val="128"/>
        <w:spacing w:before="0"/>
        <w:ind w:firstLine="0" w:firstLineChars="0"/>
        <w:rPr>
          <w:rFonts w:ascii="宋体" w:hAnsi="宋体" w:cs="宋体"/>
          <w:color w:val="auto"/>
          <w:kern w:val="0"/>
          <w:szCs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五、评标</w:t>
      </w:r>
    </w:p>
    <w:p>
      <w:pPr>
        <w:spacing w:line="360" w:lineRule="auto"/>
        <w:rPr>
          <w:rFonts w:ascii="宋体" w:hAnsi="宋体" w:cs="宋体"/>
          <w:b/>
          <w:color w:val="auto"/>
          <w:sz w:val="24"/>
        </w:rPr>
      </w:pPr>
      <w:bookmarkStart w:id="18" w:name="_Toc91899903"/>
      <w:r>
        <w:rPr>
          <w:rFonts w:hint="eastAsia" w:ascii="宋体" w:hAnsi="宋体" w:cs="宋体"/>
          <w:b/>
          <w:color w:val="auto"/>
          <w:sz w:val="24"/>
        </w:rPr>
        <w:t>21.</w:t>
      </w:r>
      <w:r>
        <w:rPr>
          <w:rFonts w:hint="eastAsia" w:ascii="宋体" w:hAnsi="宋体" w:cs="宋体"/>
          <w:color w:val="auto"/>
        </w:rPr>
        <w:t xml:space="preserve"> </w:t>
      </w:r>
      <w:r>
        <w:rPr>
          <w:rFonts w:hint="eastAsia" w:ascii="宋体" w:hAnsi="宋体" w:cs="宋体"/>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rPr>
        <w:t>详见招标文件第四部分评标办法。</w:t>
      </w:r>
    </w:p>
    <w:p>
      <w:pPr>
        <w:spacing w:line="360" w:lineRule="auto"/>
        <w:rPr>
          <w:rFonts w:ascii="宋体" w:hAnsi="宋体" w:cs="宋体"/>
          <w:b/>
          <w:color w:val="auto"/>
          <w:sz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六、定 标</w:t>
      </w:r>
    </w:p>
    <w:p>
      <w:pPr>
        <w:pStyle w:val="25"/>
        <w:spacing w:line="360" w:lineRule="auto"/>
        <w:ind w:left="479" w:hanging="479" w:hangingChars="199"/>
        <w:rPr>
          <w:rFonts w:cs="宋体"/>
          <w:b/>
          <w:color w:val="auto"/>
        </w:rPr>
      </w:pPr>
      <w:r>
        <w:rPr>
          <w:rFonts w:hint="eastAsia" w:cs="宋体"/>
          <w:b/>
          <w:color w:val="auto"/>
        </w:rPr>
        <w:t>22. 确定中标供应商</w:t>
      </w:r>
    </w:p>
    <w:p>
      <w:pPr>
        <w:pStyle w:val="128"/>
        <w:snapToGrid w:val="0"/>
        <w:spacing w:before="0"/>
        <w:ind w:firstLine="480"/>
        <w:rPr>
          <w:rFonts w:ascii="宋体" w:hAnsi="宋体" w:cs="宋体"/>
          <w:color w:val="auto"/>
          <w:szCs w:val="24"/>
        </w:rPr>
      </w:pPr>
      <w:r>
        <w:rPr>
          <w:rFonts w:hint="eastAsia" w:ascii="宋体" w:hAnsi="宋体" w:cs="宋体"/>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w:t>
      </w:r>
      <w:r>
        <w:rPr>
          <w:rFonts w:hint="eastAsia" w:ascii="宋体" w:hAnsi="宋体" w:cs="宋体"/>
          <w:color w:val="auto"/>
          <w:szCs w:val="24"/>
          <w:highlight w:val="none"/>
        </w:rPr>
        <w:t>在采购结果确认环节，中标候选人撤销投标文件不能成为采购人不确认采购结果的正当理由。</w:t>
      </w:r>
      <w:r>
        <w:rPr>
          <w:rFonts w:hint="eastAsia" w:ascii="宋体" w:hAnsi="宋体" w:cs="宋体"/>
          <w:color w:val="auto"/>
          <w:szCs w:val="24"/>
        </w:rPr>
        <w:t>中标通知书和中标结果公告应当在规定时间内同时发出。</w:t>
      </w:r>
    </w:p>
    <w:p>
      <w:pPr>
        <w:pStyle w:val="128"/>
        <w:snapToGrid w:val="0"/>
        <w:spacing w:before="0"/>
        <w:ind w:firstLine="0" w:firstLineChars="0"/>
        <w:rPr>
          <w:rFonts w:ascii="宋体" w:hAnsi="宋体" w:cs="宋体"/>
          <w:b/>
          <w:color w:val="auto"/>
          <w:szCs w:val="24"/>
        </w:rPr>
      </w:pPr>
      <w:r>
        <w:rPr>
          <w:rFonts w:hint="eastAsia" w:ascii="宋体" w:hAnsi="宋体" w:cs="宋体"/>
          <w:b/>
          <w:color w:val="auto"/>
          <w:szCs w:val="24"/>
        </w:rPr>
        <w:t>23. 中标通知与中标结果公告</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23.3公告期限为1个工作日。</w:t>
      </w:r>
    </w:p>
    <w:p>
      <w:pPr>
        <w:snapToGrid w:val="0"/>
        <w:spacing w:line="360" w:lineRule="auto"/>
        <w:ind w:left="120" w:leftChars="57" w:firstLine="482" w:firstLineChars="150"/>
        <w:jc w:val="center"/>
        <w:rPr>
          <w:rFonts w:ascii="宋体" w:hAnsi="宋体" w:cs="宋体"/>
          <w:b/>
          <w:color w:val="auto"/>
          <w:sz w:val="32"/>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七、合同授予</w:t>
      </w:r>
    </w:p>
    <w:p>
      <w:pPr>
        <w:pStyle w:val="25"/>
        <w:spacing w:line="360" w:lineRule="auto"/>
        <w:ind w:left="479" w:hanging="479" w:hangingChars="199"/>
        <w:rPr>
          <w:rFonts w:cs="宋体"/>
          <w:b/>
          <w:color w:val="auto"/>
        </w:rPr>
      </w:pPr>
      <w:r>
        <w:rPr>
          <w:rFonts w:hint="eastAsia" w:cs="宋体"/>
          <w:b/>
          <w:color w:val="auto"/>
        </w:rPr>
        <w:t xml:space="preserve">24. </w:t>
      </w:r>
      <w:r>
        <w:rPr>
          <w:rFonts w:hint="eastAsia" w:cs="宋体"/>
          <w:color w:val="auto"/>
        </w:rPr>
        <w:t>合同主要条款详见第五部分拟签订的合同文本。</w:t>
      </w:r>
    </w:p>
    <w:p>
      <w:pPr>
        <w:pStyle w:val="25"/>
        <w:spacing w:line="360" w:lineRule="auto"/>
        <w:ind w:left="479" w:hanging="479" w:hangingChars="199"/>
        <w:rPr>
          <w:rFonts w:cs="宋体"/>
          <w:b/>
          <w:color w:val="auto"/>
        </w:rPr>
      </w:pPr>
      <w:r>
        <w:rPr>
          <w:rFonts w:hint="eastAsia" w:cs="宋体"/>
          <w:b/>
          <w:color w:val="auto"/>
        </w:rPr>
        <w:t>25. 合同的签订</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sz w:val="24"/>
        </w:rPr>
        <w:t>25.1</w:t>
      </w:r>
      <w:r>
        <w:rPr>
          <w:rFonts w:hint="eastAsia" w:ascii="宋体" w:hAnsi="宋体" w:cs="宋体"/>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color w:val="auto"/>
          <w:kern w:val="0"/>
        </w:rPr>
      </w:pPr>
      <w:r>
        <w:rPr>
          <w:rFonts w:hint="eastAsia" w:ascii="宋体" w:hAnsi="宋体" w:cs="宋体"/>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color w:val="auto"/>
        </w:rPr>
      </w:pPr>
      <w:r>
        <w:rPr>
          <w:rFonts w:hint="eastAsia" w:ascii="宋体" w:hAnsi="宋体" w:cs="宋体"/>
          <w:color w:val="auto"/>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color w:val="auto"/>
        </w:rPr>
      </w:pPr>
      <w:r>
        <w:rPr>
          <w:rFonts w:hint="eastAsia" w:ascii="宋体" w:hAnsi="宋体" w:cs="宋体"/>
          <w:color w:val="auto"/>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color w:val="auto"/>
        </w:rPr>
      </w:pPr>
      <w:r>
        <w:rPr>
          <w:rFonts w:hint="eastAsia" w:ascii="宋体" w:hAnsi="宋体" w:cs="宋体"/>
          <w:color w:val="auto"/>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color w:val="auto"/>
        </w:rPr>
      </w:pPr>
      <w:r>
        <w:rPr>
          <w:rFonts w:hint="eastAsia" w:cs="宋体"/>
          <w:b/>
          <w:color w:val="auto"/>
        </w:rPr>
        <w:t>26. 履约保证金</w:t>
      </w:r>
    </w:p>
    <w:p>
      <w:pPr>
        <w:tabs>
          <w:tab w:val="left" w:pos="0"/>
        </w:tabs>
        <w:spacing w:line="360" w:lineRule="auto"/>
        <w:ind w:firstLine="482"/>
        <w:rPr>
          <w:rFonts w:ascii="宋体" w:hAnsi="宋体" w:cs="宋体"/>
          <w:color w:val="auto"/>
          <w:sz w:val="24"/>
        </w:rPr>
      </w:pPr>
      <w:r>
        <w:rPr>
          <w:rFonts w:hint="eastAsia" w:ascii="宋体" w:hAnsi="宋体" w:cs="宋体"/>
          <w:color w:val="auto"/>
          <w:kern w:val="0"/>
          <w:sz w:val="24"/>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rPr>
        <w:t>。履约保证金的数额不得超过政府采购合同金额的</w:t>
      </w:r>
      <w:r>
        <w:rPr>
          <w:rFonts w:ascii="宋体" w:hAnsi="宋体" w:cs="宋体"/>
          <w:color w:val="auto"/>
          <w:sz w:val="24"/>
        </w:rPr>
        <w:t>1</w:t>
      </w:r>
      <w:r>
        <w:rPr>
          <w:rFonts w:hint="eastAsia" w:ascii="宋体" w:hAnsi="宋体" w:cs="宋体"/>
          <w:color w:val="auto"/>
          <w:sz w:val="24"/>
        </w:rPr>
        <w:t>%。鼓励和支持供应商以银行、保险公司出具的保函形式提供履约保证金。采购人不得拒收履约保函，项目验收结束后应及时退还，</w:t>
      </w:r>
      <w:r>
        <w:rPr>
          <w:rFonts w:ascii="宋体" w:hAnsi="宋体" w:cs="宋体"/>
          <w:color w:val="auto"/>
          <w:sz w:val="24"/>
        </w:rPr>
        <w:t>延迟退还的，应当按照合同约定和法律规定承担相应的赔偿责任</w:t>
      </w:r>
      <w:r>
        <w:rPr>
          <w:rFonts w:hint="eastAsia" w:ascii="宋体" w:hAnsi="宋体" w:cs="宋体"/>
          <w:color w:val="auto"/>
          <w:sz w:val="24"/>
        </w:rPr>
        <w:t>。</w:t>
      </w:r>
    </w:p>
    <w:p>
      <w:pPr>
        <w:pStyle w:val="5"/>
        <w:ind w:left="0" w:firstLine="480" w:firstLineChars="200"/>
        <w:rPr>
          <w:rFonts w:ascii="宋体" w:hAnsi="宋体" w:eastAsia="宋体" w:cs="宋体"/>
          <w:color w:val="auto"/>
          <w:lang w:val="en-US"/>
        </w:rPr>
      </w:pPr>
      <w:r>
        <w:rPr>
          <w:rFonts w:hint="eastAsia" w:ascii="宋体" w:hAnsi="宋体" w:eastAsia="宋体" w:cs="宋体"/>
          <w:b w:val="0"/>
          <w:bCs w:val="0"/>
          <w:snapToGrid w:val="0"/>
          <w:color w:val="auto"/>
          <w:kern w:val="28"/>
          <w:sz w:val="24"/>
        </w:rPr>
        <w:t>供应商</w:t>
      </w:r>
      <w:r>
        <w:rPr>
          <w:rFonts w:hint="eastAsia" w:ascii="宋体" w:hAnsi="宋体" w:eastAsia="宋体" w:cs="宋体"/>
          <w:b w:val="0"/>
          <w:bCs w:val="0"/>
          <w:snapToGrid w:val="0"/>
          <w:color w:val="auto"/>
          <w:kern w:val="28"/>
          <w:sz w:val="24"/>
          <w:lang w:val="en-US"/>
        </w:rPr>
        <w:t>可</w:t>
      </w:r>
      <w:r>
        <w:rPr>
          <w:rFonts w:hint="eastAsia" w:ascii="宋体" w:hAnsi="宋体" w:eastAsia="宋体" w:cs="宋体"/>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rPr>
          <w:color w:val="auto"/>
          <w:highlight w:val="none"/>
        </w:rPr>
      </w:pPr>
      <w:r>
        <w:rPr>
          <w:rFonts w:ascii="宋体" w:hAnsi="宋体" w:eastAsia="宋体" w:cs="Times New Roman"/>
          <w:b/>
          <w:bCs/>
          <w:color w:val="auto"/>
          <w:kern w:val="2"/>
          <w:sz w:val="24"/>
          <w:szCs w:val="32"/>
          <w:highlight w:val="none"/>
          <w:lang w:val="en-US"/>
        </w:rPr>
        <w:t>27.预付款</w:t>
      </w:r>
    </w:p>
    <w:p>
      <w:pPr>
        <w:snapToGrid w:val="0"/>
        <w:spacing w:line="360" w:lineRule="auto"/>
        <w:ind w:firstLine="480" w:firstLineChars="200"/>
        <w:rPr>
          <w:rFonts w:ascii="宋体" w:hAnsi="宋体" w:cs="Times New Roman"/>
          <w:color w:val="auto"/>
          <w:kern w:val="2"/>
          <w:sz w:val="24"/>
          <w:highlight w:val="none"/>
        </w:rPr>
      </w:pPr>
      <w:r>
        <w:rPr>
          <w:rFonts w:hint="eastAsia" w:ascii="宋体" w:hAnsi="宋体" w:cs="Times New Roman"/>
          <w:color w:val="auto"/>
          <w:kern w:val="2"/>
          <w:sz w:val="24"/>
          <w:highlight w:val="none"/>
        </w:rPr>
        <w:t>采购单位应当在政府采购合同中约定预付款，对中小企业合同预付款比例原则上不低于合同金额的</w:t>
      </w:r>
      <w:r>
        <w:rPr>
          <w:rFonts w:ascii="宋体" w:hAnsi="宋体" w:cs="Times New Roman"/>
          <w:color w:val="auto"/>
          <w:kern w:val="2"/>
          <w:sz w:val="24"/>
          <w:highlight w:val="none"/>
        </w:rPr>
        <w:t>40％</w:t>
      </w:r>
      <w:r>
        <w:rPr>
          <w:rFonts w:hint="eastAsia" w:ascii="宋体" w:hAnsi="宋体" w:cs="Times New Roman"/>
          <w:color w:val="auto"/>
          <w:kern w:val="2"/>
          <w:sz w:val="24"/>
          <w:highlight w:val="none"/>
        </w:rPr>
        <w:t>，不高于合同金额的</w:t>
      </w:r>
      <w:r>
        <w:rPr>
          <w:rFonts w:ascii="宋体" w:hAnsi="宋体" w:cs="Times New Roman"/>
          <w:color w:val="auto"/>
          <w:kern w:val="2"/>
          <w:sz w:val="24"/>
          <w:highlight w:val="none"/>
        </w:rPr>
        <w:t>70%；项目分年安排预算的，每年预付款比例</w:t>
      </w:r>
      <w:r>
        <w:rPr>
          <w:rFonts w:hint="eastAsia" w:ascii="宋体" w:hAnsi="宋体"/>
          <w:color w:val="auto"/>
          <w:sz w:val="24"/>
          <w:highlight w:val="none"/>
        </w:rPr>
        <w:t>不低于</w:t>
      </w:r>
      <w:r>
        <w:rPr>
          <w:rFonts w:ascii="宋体" w:hAnsi="宋体" w:cs="Times New Roman"/>
          <w:color w:val="auto"/>
          <w:kern w:val="2"/>
          <w:sz w:val="24"/>
          <w:highlight w:val="none"/>
        </w:rPr>
        <w:t>项目年度计划支付资金额的40％</w:t>
      </w:r>
      <w:r>
        <w:rPr>
          <w:rFonts w:hint="eastAsia" w:ascii="宋体" w:hAnsi="宋体" w:cs="Times New Roman"/>
          <w:color w:val="auto"/>
          <w:kern w:val="2"/>
          <w:sz w:val="24"/>
          <w:highlight w:val="none"/>
        </w:rPr>
        <w:t>，不高于合同金额的</w:t>
      </w:r>
      <w:r>
        <w:rPr>
          <w:rFonts w:ascii="宋体" w:hAnsi="宋体" w:cs="Times New Roman"/>
          <w:color w:val="auto"/>
          <w:kern w:val="2"/>
          <w:sz w:val="24"/>
          <w:highlight w:val="none"/>
        </w:rPr>
        <w:t>70%；采购项目实施以人工投入为主的，</w:t>
      </w:r>
      <w:r>
        <w:rPr>
          <w:rFonts w:hint="eastAsia" w:ascii="宋体" w:hAnsi="宋体" w:cs="Times New Roman"/>
          <w:color w:val="auto"/>
          <w:kern w:val="2"/>
          <w:sz w:val="24"/>
          <w:highlight w:val="none"/>
        </w:rPr>
        <w:t>可适当降低预付款比例，但不得低于</w:t>
      </w:r>
      <w:r>
        <w:rPr>
          <w:rFonts w:ascii="宋体" w:hAnsi="宋体" w:cs="Times New Roman"/>
          <w:color w:val="auto"/>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color w:val="auto"/>
          <w:kern w:val="2"/>
          <w:sz w:val="24"/>
          <w:highlight w:val="none"/>
        </w:rPr>
        <w:t>供应商</w:t>
      </w:r>
      <w:r>
        <w:rPr>
          <w:rFonts w:ascii="宋体" w:hAnsi="宋体" w:cs="Times New Roman"/>
          <w:color w:val="auto"/>
          <w:kern w:val="2"/>
          <w:sz w:val="24"/>
          <w:highlight w:val="none"/>
        </w:rPr>
        <w:t>明确表示无需预付款或者主动要求降低预付款比例的，</w:t>
      </w:r>
      <w:r>
        <w:rPr>
          <w:rFonts w:hint="eastAsia" w:ascii="宋体" w:hAnsi="宋体" w:cs="Times New Roman"/>
          <w:color w:val="auto"/>
          <w:kern w:val="2"/>
          <w:sz w:val="24"/>
          <w:highlight w:val="none"/>
        </w:rPr>
        <w:t>采购单位</w:t>
      </w:r>
      <w:r>
        <w:rPr>
          <w:rFonts w:ascii="宋体" w:hAnsi="宋体" w:cs="Times New Roman"/>
          <w:color w:val="auto"/>
          <w:kern w:val="2"/>
          <w:sz w:val="24"/>
          <w:highlight w:val="none"/>
        </w:rPr>
        <w:t>可不适用前述规定。</w:t>
      </w:r>
      <w:r>
        <w:rPr>
          <w:rFonts w:hint="eastAsia" w:ascii="宋体" w:hAnsi="宋体" w:cs="Times New Roman"/>
          <w:color w:val="auto"/>
          <w:kern w:val="2"/>
          <w:sz w:val="24"/>
          <w:highlight w:val="none"/>
        </w:rPr>
        <w:t>采购单位</w:t>
      </w:r>
      <w:r>
        <w:rPr>
          <w:rFonts w:ascii="宋体" w:hAnsi="宋体" w:cs="Times New Roman"/>
          <w:color w:val="auto"/>
          <w:kern w:val="2"/>
          <w:sz w:val="24"/>
          <w:highlight w:val="none"/>
        </w:rPr>
        <w:t>根据项目特点、供应商诚信等因素，可以要求</w:t>
      </w:r>
      <w:r>
        <w:rPr>
          <w:rFonts w:hint="eastAsia" w:ascii="宋体" w:hAnsi="宋体" w:cs="Times New Roman"/>
          <w:color w:val="auto"/>
          <w:kern w:val="2"/>
          <w:sz w:val="24"/>
          <w:highlight w:val="none"/>
        </w:rPr>
        <w:t>供应商</w:t>
      </w:r>
      <w:r>
        <w:rPr>
          <w:rFonts w:ascii="宋体" w:hAnsi="宋体" w:cs="Times New Roman"/>
          <w:color w:val="auto"/>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color w:val="auto"/>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color w:val="auto"/>
          <w:kern w:val="2"/>
          <w:sz w:val="24"/>
          <w:highlight w:val="none"/>
        </w:rPr>
        <w:t xml:space="preserve"> - </w:t>
      </w:r>
      <w:r>
        <w:rPr>
          <w:rFonts w:hint="eastAsia" w:ascii="宋体" w:hAnsi="宋体" w:cs="Times New Roman"/>
          <w:color w:val="auto"/>
          <w:kern w:val="2"/>
          <w:sz w:val="24"/>
          <w:highlight w:val="none"/>
        </w:rPr>
        <w:t>【保函保险服务】出具预付款保函，具体步骤：选择产品—填写供应商信息—选择中标项目—确认信息—等待保险</w:t>
      </w:r>
      <w:r>
        <w:rPr>
          <w:rFonts w:ascii="宋体" w:hAnsi="宋体" w:cs="Times New Roman"/>
          <w:color w:val="auto"/>
          <w:kern w:val="2"/>
          <w:sz w:val="24"/>
          <w:highlight w:val="none"/>
        </w:rPr>
        <w:t>/保函受理—确认保单—支付保费—成功出单。政</w:t>
      </w:r>
      <w:r>
        <w:rPr>
          <w:rFonts w:hint="eastAsia" w:ascii="宋体" w:hAnsi="宋体" w:cs="Times New Roman"/>
          <w:color w:val="auto"/>
          <w:kern w:val="2"/>
          <w:sz w:val="24"/>
          <w:highlight w:val="none"/>
        </w:rPr>
        <w:t>采云金融专线</w:t>
      </w:r>
      <w:r>
        <w:rPr>
          <w:rFonts w:ascii="宋体" w:hAnsi="宋体" w:cs="Times New Roman"/>
          <w:color w:val="auto"/>
          <w:kern w:val="2"/>
          <w:sz w:val="24"/>
          <w:highlight w:val="none"/>
        </w:rPr>
        <w:t>400-903-9583。</w:t>
      </w:r>
    </w:p>
    <w:p>
      <w:pPr>
        <w:pStyle w:val="2"/>
      </w:pPr>
    </w:p>
    <w:p>
      <w:pPr>
        <w:snapToGrid w:val="0"/>
        <w:spacing w:line="360" w:lineRule="auto"/>
        <w:ind w:firstLine="3357" w:firstLineChars="1045"/>
        <w:rPr>
          <w:rFonts w:ascii="宋体" w:hAnsi="宋体" w:cs="宋体"/>
          <w:b/>
          <w:color w:val="auto"/>
          <w:sz w:val="24"/>
        </w:rPr>
      </w:pPr>
      <w:r>
        <w:rPr>
          <w:rFonts w:hint="eastAsia" w:ascii="宋体" w:hAnsi="宋体" w:cs="宋体"/>
          <w:b/>
          <w:color w:val="auto"/>
          <w:sz w:val="32"/>
        </w:rPr>
        <w:t>八、电子交易活动的中止</w:t>
      </w:r>
    </w:p>
    <w:p>
      <w:pPr>
        <w:pStyle w:val="128"/>
        <w:snapToGrid w:val="0"/>
        <w:spacing w:before="0"/>
        <w:ind w:firstLine="0" w:firstLineChars="0"/>
        <w:rPr>
          <w:rFonts w:ascii="宋体" w:hAnsi="宋体" w:cs="宋体"/>
          <w:color w:val="auto"/>
        </w:rPr>
      </w:pPr>
      <w:r>
        <w:rPr>
          <w:rFonts w:hint="eastAsia" w:ascii="宋体" w:hAnsi="宋体" w:cs="宋体"/>
          <w:color w:val="auto"/>
        </w:rPr>
        <w:t>2</w:t>
      </w:r>
      <w:r>
        <w:rPr>
          <w:rFonts w:hint="default" w:ascii="宋体" w:hAnsi="宋体" w:cs="宋体"/>
          <w:b/>
          <w:color w:val="auto"/>
          <w:szCs w:val="24"/>
          <w:lang w:val="en-US"/>
        </w:rPr>
        <w:t>8</w:t>
      </w:r>
      <w:r>
        <w:rPr>
          <w:rFonts w:hint="eastAsia" w:ascii="宋体" w:hAnsi="宋体" w:cs="宋体"/>
          <w:b/>
          <w:color w:val="auto"/>
          <w:szCs w:val="24"/>
        </w:rPr>
        <w:t>. 电子交易活动的中止。</w:t>
      </w:r>
      <w:r>
        <w:rPr>
          <w:rFonts w:hint="eastAsia" w:ascii="宋体" w:hAnsi="宋体" w:cs="宋体"/>
          <w:color w:val="auto"/>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宋体" w:hAnsi="宋体" w:cs="宋体"/>
          <w:color w:val="auto"/>
        </w:rPr>
      </w:pPr>
      <w:r>
        <w:rPr>
          <w:rFonts w:hint="eastAsia" w:ascii="宋体" w:hAnsi="宋体" w:cs="宋体"/>
          <w:color w:val="auto"/>
        </w:rPr>
        <w:t>2</w:t>
      </w:r>
      <w:r>
        <w:rPr>
          <w:rFonts w:hint="default" w:ascii="宋体" w:hAnsi="宋体" w:cs="宋体"/>
          <w:color w:val="auto"/>
          <w:lang w:val="en-US"/>
        </w:rPr>
        <w:t>8</w:t>
      </w:r>
      <w:r>
        <w:rPr>
          <w:rFonts w:hint="eastAsia" w:ascii="宋体" w:hAnsi="宋体" w:cs="宋体"/>
          <w:color w:val="auto"/>
        </w:rPr>
        <w:t xml:space="preserve">.1电子交易平台发生故障而无法登录访问的； </w:t>
      </w:r>
    </w:p>
    <w:p>
      <w:pPr>
        <w:pStyle w:val="128"/>
        <w:snapToGrid w:val="0"/>
        <w:spacing w:before="0"/>
        <w:ind w:firstLine="480"/>
        <w:rPr>
          <w:rFonts w:ascii="宋体" w:hAnsi="宋体" w:cs="宋体"/>
          <w:color w:val="auto"/>
        </w:rPr>
      </w:pPr>
      <w:r>
        <w:rPr>
          <w:rFonts w:hint="eastAsia" w:ascii="宋体" w:hAnsi="宋体" w:cs="宋体"/>
          <w:color w:val="auto"/>
        </w:rPr>
        <w:t>2</w:t>
      </w:r>
      <w:r>
        <w:rPr>
          <w:rFonts w:hint="default" w:ascii="宋体" w:hAnsi="宋体" w:cs="宋体"/>
          <w:color w:val="auto"/>
          <w:lang w:val="en-US"/>
        </w:rPr>
        <w:t>8</w:t>
      </w:r>
      <w:r>
        <w:rPr>
          <w:rFonts w:hint="eastAsia" w:ascii="宋体" w:hAnsi="宋体" w:cs="宋体"/>
          <w:color w:val="auto"/>
        </w:rPr>
        <w:t>.2电子交易平台应用或数据库出现错误，不能进行正常操作的；</w:t>
      </w:r>
    </w:p>
    <w:p>
      <w:pPr>
        <w:pStyle w:val="128"/>
        <w:snapToGrid w:val="0"/>
        <w:spacing w:before="0"/>
        <w:ind w:firstLine="480"/>
        <w:rPr>
          <w:rFonts w:ascii="宋体" w:hAnsi="宋体" w:cs="宋体"/>
          <w:color w:val="auto"/>
        </w:rPr>
      </w:pPr>
      <w:r>
        <w:rPr>
          <w:rFonts w:hint="eastAsia" w:ascii="宋体" w:hAnsi="宋体" w:cs="宋体"/>
          <w:color w:val="auto"/>
        </w:rPr>
        <w:t>2</w:t>
      </w:r>
      <w:r>
        <w:rPr>
          <w:rFonts w:hint="default" w:ascii="宋体" w:hAnsi="宋体" w:cs="宋体"/>
          <w:color w:val="auto"/>
          <w:lang w:val="en-US"/>
        </w:rPr>
        <w:t>8</w:t>
      </w:r>
      <w:r>
        <w:rPr>
          <w:rFonts w:hint="eastAsia" w:ascii="宋体" w:hAnsi="宋体" w:cs="宋体"/>
          <w:color w:val="auto"/>
        </w:rPr>
        <w:t>.3电子交易平台发现严重安全漏洞，有潜在泄密危险的；</w:t>
      </w:r>
    </w:p>
    <w:p>
      <w:pPr>
        <w:pStyle w:val="128"/>
        <w:snapToGrid w:val="0"/>
        <w:spacing w:before="0"/>
        <w:ind w:firstLine="480"/>
        <w:rPr>
          <w:rFonts w:ascii="宋体" w:hAnsi="宋体" w:cs="宋体"/>
          <w:color w:val="auto"/>
        </w:rPr>
      </w:pPr>
      <w:r>
        <w:rPr>
          <w:rFonts w:hint="eastAsia" w:ascii="宋体" w:hAnsi="宋体" w:cs="宋体"/>
          <w:color w:val="auto"/>
        </w:rPr>
        <w:t>2</w:t>
      </w:r>
      <w:r>
        <w:rPr>
          <w:rFonts w:hint="default" w:ascii="宋体" w:hAnsi="宋体" w:cs="宋体"/>
          <w:color w:val="auto"/>
          <w:lang w:val="en-US"/>
        </w:rPr>
        <w:t>8</w:t>
      </w:r>
      <w:r>
        <w:rPr>
          <w:rFonts w:hint="eastAsia" w:ascii="宋体" w:hAnsi="宋体" w:cs="宋体"/>
          <w:color w:val="auto"/>
        </w:rPr>
        <w:t xml:space="preserve">.4病毒发作导致不能进行正常操作的； </w:t>
      </w:r>
    </w:p>
    <w:p>
      <w:pPr>
        <w:pStyle w:val="128"/>
        <w:snapToGrid w:val="0"/>
        <w:spacing w:before="0"/>
        <w:ind w:firstLine="480"/>
        <w:rPr>
          <w:rFonts w:ascii="宋体" w:hAnsi="宋体" w:cs="宋体"/>
          <w:color w:val="auto"/>
        </w:rPr>
      </w:pPr>
      <w:r>
        <w:rPr>
          <w:rFonts w:hint="eastAsia" w:ascii="宋体" w:hAnsi="宋体" w:cs="宋体"/>
          <w:color w:val="auto"/>
        </w:rPr>
        <w:t>2</w:t>
      </w:r>
      <w:r>
        <w:rPr>
          <w:rFonts w:hint="default" w:ascii="宋体" w:hAnsi="宋体" w:cs="宋体"/>
          <w:color w:val="auto"/>
          <w:lang w:val="en-US"/>
        </w:rPr>
        <w:t>8</w:t>
      </w:r>
      <w:r>
        <w:rPr>
          <w:rFonts w:hint="eastAsia" w:ascii="宋体" w:hAnsi="宋体" w:cs="宋体"/>
          <w:color w:val="auto"/>
        </w:rPr>
        <w:t>.5其他无法</w:t>
      </w:r>
      <w:bookmarkStart w:id="410" w:name="_GoBack"/>
      <w:bookmarkEnd w:id="410"/>
      <w:r>
        <w:rPr>
          <w:rFonts w:hint="eastAsia" w:ascii="宋体" w:hAnsi="宋体" w:cs="宋体"/>
          <w:color w:val="auto"/>
        </w:rPr>
        <w:t>保证电子交易的公平、公正和安全的情况。</w:t>
      </w:r>
    </w:p>
    <w:p>
      <w:pPr>
        <w:pStyle w:val="128"/>
        <w:snapToGrid w:val="0"/>
        <w:spacing w:before="0"/>
        <w:ind w:firstLine="0" w:firstLineChars="0"/>
        <w:rPr>
          <w:rFonts w:ascii="宋体" w:hAnsi="宋体" w:cs="宋体"/>
          <w:color w:val="auto"/>
        </w:rPr>
      </w:pPr>
      <w:r>
        <w:rPr>
          <w:rFonts w:hint="eastAsia" w:ascii="宋体" w:hAnsi="宋体" w:cs="宋体"/>
          <w:color w:val="auto"/>
        </w:rPr>
        <w:t xml:space="preserve"> 2</w:t>
      </w:r>
      <w:r>
        <w:rPr>
          <w:rFonts w:hint="default" w:ascii="宋体" w:hAnsi="宋体" w:cs="宋体"/>
          <w:color w:val="auto"/>
          <w:lang w:val="en-US"/>
        </w:rPr>
        <w:t>9</w:t>
      </w:r>
      <w:r>
        <w:rPr>
          <w:rFonts w:hint="eastAsia" w:ascii="宋体" w:hAnsi="宋体" w:cs="宋体"/>
          <w:color w:val="auto"/>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九、验收</w:t>
      </w:r>
    </w:p>
    <w:p>
      <w:pPr>
        <w:pStyle w:val="25"/>
        <w:spacing w:line="360" w:lineRule="auto"/>
        <w:ind w:firstLine="0" w:firstLineChars="0"/>
        <w:rPr>
          <w:rFonts w:cs="宋体"/>
          <w:b/>
          <w:color w:val="auto"/>
        </w:rPr>
      </w:pPr>
      <w:r>
        <w:rPr>
          <w:rFonts w:hint="default" w:cs="宋体"/>
          <w:b/>
          <w:color w:val="auto"/>
          <w:lang w:val="en-US"/>
        </w:rPr>
        <w:t>30</w:t>
      </w:r>
      <w:r>
        <w:rPr>
          <w:rFonts w:hint="eastAsia" w:cs="宋体"/>
          <w:b/>
          <w:color w:val="auto"/>
        </w:rPr>
        <w:t>.验收</w:t>
      </w:r>
    </w:p>
    <w:p>
      <w:pPr>
        <w:tabs>
          <w:tab w:val="left" w:pos="0"/>
        </w:tabs>
        <w:spacing w:line="360" w:lineRule="auto"/>
        <w:ind w:firstLine="480"/>
        <w:rPr>
          <w:rFonts w:ascii="宋体" w:hAnsi="宋体" w:cs="宋体"/>
          <w:color w:val="auto"/>
          <w:kern w:val="0"/>
          <w:sz w:val="24"/>
        </w:rPr>
      </w:pPr>
      <w:r>
        <w:rPr>
          <w:rFonts w:hint="default" w:ascii="宋体" w:hAnsi="宋体" w:cs="宋体"/>
          <w:color w:val="auto"/>
          <w:kern w:val="0"/>
          <w:sz w:val="24"/>
          <w:lang w:val="en-US"/>
        </w:rPr>
        <w:t>30</w:t>
      </w:r>
      <w:r>
        <w:rPr>
          <w:rFonts w:hint="eastAsia" w:ascii="宋体" w:hAnsi="宋体" w:cs="宋体"/>
          <w:color w:val="auto"/>
          <w:kern w:val="0"/>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rPr>
      </w:pPr>
      <w:r>
        <w:rPr>
          <w:rFonts w:hint="default" w:ascii="宋体" w:hAnsi="宋体" w:cs="宋体"/>
          <w:color w:val="auto"/>
          <w:kern w:val="0"/>
          <w:sz w:val="24"/>
          <w:lang w:val="en-US"/>
        </w:rPr>
        <w:t>30</w:t>
      </w:r>
      <w:r>
        <w:rPr>
          <w:rFonts w:hint="eastAsia" w:ascii="宋体" w:hAnsi="宋体" w:cs="宋体"/>
          <w:color w:val="auto"/>
          <w:kern w:val="0"/>
          <w:sz w:val="24"/>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rPr>
      </w:pPr>
      <w:r>
        <w:rPr>
          <w:rFonts w:hint="default" w:ascii="宋体" w:hAnsi="宋体" w:cs="宋体"/>
          <w:color w:val="auto"/>
          <w:kern w:val="0"/>
          <w:sz w:val="24"/>
          <w:lang w:val="en-US"/>
        </w:rPr>
        <w:t>31</w:t>
      </w:r>
      <w:r>
        <w:rPr>
          <w:rFonts w:hint="eastAsia" w:ascii="宋体" w:hAnsi="宋体" w:cs="宋体"/>
          <w:color w:val="auto"/>
          <w:kern w:val="0"/>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rPr>
      </w:pPr>
      <w:r>
        <w:rPr>
          <w:rFonts w:hint="default" w:ascii="宋体" w:hAnsi="宋体" w:cs="宋体"/>
          <w:color w:val="auto"/>
          <w:kern w:val="0"/>
          <w:sz w:val="24"/>
          <w:lang w:val="en-US"/>
        </w:rPr>
        <w:t>30</w:t>
      </w:r>
      <w:r>
        <w:rPr>
          <w:rFonts w:hint="eastAsia" w:ascii="宋体" w:hAnsi="宋体" w:cs="宋体"/>
          <w:color w:val="auto"/>
          <w:kern w:val="0"/>
          <w:sz w:val="24"/>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ascii="宋体" w:hAnsi="宋体" w:cs="宋体"/>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9" w:name="_Hlt74714665"/>
      <w:bookmarkEnd w:id="19"/>
      <w:bookmarkStart w:id="20" w:name="_Hlt68073093"/>
      <w:bookmarkEnd w:id="20"/>
      <w:bookmarkStart w:id="21" w:name="_Hlt68072998"/>
      <w:bookmarkEnd w:id="21"/>
      <w:bookmarkStart w:id="22" w:name="_Hlt75236101"/>
      <w:bookmarkEnd w:id="22"/>
      <w:bookmarkStart w:id="23" w:name="_Hlt74729768"/>
      <w:bookmarkEnd w:id="23"/>
      <w:bookmarkStart w:id="24" w:name="_Hlt68057669"/>
      <w:bookmarkEnd w:id="24"/>
      <w:bookmarkStart w:id="25" w:name="_Hlt75236290"/>
      <w:bookmarkEnd w:id="25"/>
      <w:bookmarkStart w:id="26" w:name="_Hlt74730295"/>
      <w:bookmarkEnd w:id="26"/>
      <w:bookmarkStart w:id="27" w:name="_Hlt74707468"/>
      <w:bookmarkEnd w:id="27"/>
      <w:bookmarkStart w:id="28" w:name="_Hlt75236011"/>
      <w:bookmarkEnd w:id="28"/>
      <w:bookmarkStart w:id="29" w:name="_Hlt68403820"/>
      <w:bookmarkEnd w:id="29"/>
      <w:bookmarkStart w:id="30" w:name="_Hlt68072990"/>
      <w:bookmarkEnd w:id="30"/>
    </w:p>
    <w:bookmarkEnd w:id="13"/>
    <w:bookmarkEnd w:id="14"/>
    <w:p>
      <w:pPr>
        <w:spacing w:line="360" w:lineRule="auto"/>
        <w:jc w:val="center"/>
        <w:outlineLvl w:val="0"/>
        <w:rPr>
          <w:rFonts w:ascii="宋体" w:hAnsi="宋体" w:cs="宋体"/>
          <w:b/>
          <w:color w:val="auto"/>
          <w:sz w:val="36"/>
          <w:szCs w:val="36"/>
        </w:rPr>
      </w:pPr>
      <w:bookmarkStart w:id="31" w:name="第四部分"/>
      <w:r>
        <w:rPr>
          <w:rFonts w:hint="eastAsia" w:ascii="宋体" w:hAnsi="宋体" w:cs="宋体"/>
          <w:b/>
          <w:color w:val="auto"/>
          <w:sz w:val="36"/>
          <w:szCs w:val="36"/>
        </w:rPr>
        <w:t>第三部分   采购需求</w:t>
      </w:r>
    </w:p>
    <w:p>
      <w:pPr>
        <w:numPr>
          <w:ilvl w:val="0"/>
          <w:numId w:val="1"/>
        </w:numPr>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概述：</w:t>
      </w:r>
    </w:p>
    <w:p>
      <w:pPr>
        <w:spacing w:line="360" w:lineRule="auto"/>
        <w:ind w:left="479"/>
        <w:rPr>
          <w:rFonts w:hint="eastAsia" w:ascii="宋体" w:hAnsi="宋体" w:eastAsia="宋体" w:cs="宋体"/>
          <w:bCs/>
          <w:sz w:val="24"/>
          <w:szCs w:val="24"/>
        </w:rPr>
      </w:pPr>
      <w:r>
        <w:rPr>
          <w:rFonts w:hint="eastAsia" w:ascii="宋体" w:hAnsi="宋体" w:eastAsia="宋体" w:cs="宋体"/>
          <w:bCs/>
          <w:sz w:val="24"/>
          <w:szCs w:val="24"/>
        </w:rPr>
        <w:t>1、本项目为</w:t>
      </w:r>
      <w:r>
        <w:rPr>
          <w:rFonts w:hint="eastAsia" w:ascii="宋体" w:hAnsi="宋体" w:eastAsia="宋体" w:cs="宋体"/>
          <w:sz w:val="24"/>
          <w:szCs w:val="24"/>
        </w:rPr>
        <w:t>杭州市西溪中学新校区网络设备采购项目</w:t>
      </w:r>
      <w:r>
        <w:rPr>
          <w:rFonts w:hint="eastAsia" w:ascii="宋体" w:hAnsi="宋体" w:eastAsia="宋体" w:cs="宋体"/>
          <w:bCs/>
          <w:sz w:val="24"/>
          <w:szCs w:val="24"/>
        </w:rPr>
        <w:t>；</w:t>
      </w:r>
    </w:p>
    <w:p>
      <w:pPr>
        <w:spacing w:line="360" w:lineRule="auto"/>
        <w:ind w:left="479"/>
        <w:rPr>
          <w:rFonts w:hint="eastAsia" w:ascii="宋体" w:hAnsi="宋体" w:eastAsia="宋体" w:cs="宋体"/>
          <w:bCs/>
          <w:sz w:val="24"/>
          <w:szCs w:val="24"/>
        </w:rPr>
      </w:pPr>
      <w:r>
        <w:rPr>
          <w:rFonts w:hint="eastAsia" w:ascii="宋体" w:hAnsi="宋体" w:eastAsia="宋体" w:cs="宋体"/>
          <w:bCs/>
          <w:sz w:val="24"/>
          <w:szCs w:val="24"/>
        </w:rPr>
        <w:t>2、项目实施地点：</w:t>
      </w:r>
      <w:r>
        <w:rPr>
          <w:rFonts w:hint="eastAsia" w:ascii="宋体" w:hAnsi="宋体" w:eastAsia="宋体" w:cs="宋体"/>
          <w:sz w:val="24"/>
          <w:szCs w:val="24"/>
        </w:rPr>
        <w:t>杭州市西溪中学新校区（西湖区金庄路与联鸿街交叉口东200米内）；</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3、本项目包括</w:t>
      </w:r>
      <w:r>
        <w:rPr>
          <w:rFonts w:hint="eastAsia" w:ascii="宋体" w:hAnsi="宋体" w:eastAsia="宋体" w:cs="宋体"/>
          <w:sz w:val="24"/>
          <w:szCs w:val="24"/>
        </w:rPr>
        <w:t>交换机（</w:t>
      </w:r>
      <w:r>
        <w:rPr>
          <w:rFonts w:hint="eastAsia" w:ascii="宋体" w:hAnsi="宋体" w:eastAsia="宋体" w:cs="宋体"/>
          <w:kern w:val="0"/>
          <w:sz w:val="24"/>
          <w:szCs w:val="24"/>
        </w:rPr>
        <w:t>数据网核心交换机1台、万兆下行汇聚交换机4台、万兆上行24口接入交换机12台、万兆上行24口无线POE交换机10台、门禁24口交换机2台、门禁8口交换机2台</w:t>
      </w:r>
      <w:r>
        <w:rPr>
          <w:rFonts w:hint="eastAsia" w:ascii="宋体" w:hAnsi="宋体" w:eastAsia="宋体" w:cs="宋体"/>
          <w:sz w:val="24"/>
          <w:szCs w:val="24"/>
        </w:rPr>
        <w:t>）、</w:t>
      </w:r>
      <w:r>
        <w:rPr>
          <w:rFonts w:hint="eastAsia" w:ascii="宋体" w:hAnsi="宋体" w:eastAsia="宋体" w:cs="宋体"/>
          <w:kern w:val="0"/>
          <w:sz w:val="24"/>
          <w:szCs w:val="24"/>
        </w:rPr>
        <w:t>放装AP100台</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上网行为管理1台、智能远程运维1台、安全运维设备1套、文档交换主机1台、文档管理系统1套、文档数据存储1台、终端安全管理系统1套、交换机管理图形化展示系统1套、日志管理分析系统1套、内网流量分析一体机1台、网络配置自动备份系统1套、信息化安全漏洞扫描平台1套</w:t>
      </w:r>
      <w:r>
        <w:rPr>
          <w:rFonts w:hint="eastAsia" w:ascii="宋体" w:hAnsi="宋体" w:eastAsia="宋体" w:cs="宋体"/>
          <w:sz w:val="24"/>
          <w:szCs w:val="24"/>
        </w:rPr>
        <w:t>等，具体包括安装、产品调试、试运行、验收与相关的操作培训及不少于3年（含）7×24小时免费设备保修和售后现场技术服务等内容。</w:t>
      </w:r>
    </w:p>
    <w:p>
      <w:pPr>
        <w:overflowPunct w:val="0"/>
        <w:autoSpaceDE w:val="0"/>
        <w:autoSpaceDN w:val="0"/>
        <w:spacing w:line="360" w:lineRule="auto"/>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二、项目建设要求：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所选系统设备要求性能优良、运行稳定可靠，采用业内成熟和领先的技术以保证设备的先进性以及可扩展性；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配置系统设备时要充分考虑业主利益，使用高性价比的产品设备；投标方可自行前往现场进行详细的勘测、充分评估本次项目的工程量，如出现材料设备等数量不足，须自行补足，不得有任何额外费用；</w:t>
      </w:r>
    </w:p>
    <w:p>
      <w:pPr>
        <w:tabs>
          <w:tab w:val="left" w:pos="1050"/>
        </w:tabs>
        <w:spacing w:line="360" w:lineRule="auto"/>
        <w:ind w:firstLine="420" w:firstLineChars="175"/>
        <w:rPr>
          <w:rFonts w:hint="eastAsia" w:ascii="宋体" w:hAnsi="宋体" w:eastAsia="宋体" w:cs="宋体"/>
          <w:sz w:val="24"/>
          <w:szCs w:val="24"/>
        </w:rPr>
      </w:pPr>
      <w:r>
        <w:rPr>
          <w:rFonts w:hint="eastAsia" w:ascii="宋体" w:hAnsi="宋体" w:eastAsia="宋体" w:cs="宋体"/>
          <w:sz w:val="24"/>
          <w:szCs w:val="24"/>
        </w:rPr>
        <w:t>投标人采用其它标准和规范时，应在投标文件中注明是采用何种标准，并应保证设备达到或优于国家规定的现行相关标准；</w:t>
      </w:r>
    </w:p>
    <w:p>
      <w:pPr>
        <w:tabs>
          <w:tab w:val="left" w:pos="1050"/>
        </w:tabs>
        <w:spacing w:line="360" w:lineRule="auto"/>
        <w:ind w:firstLine="420" w:firstLineChars="175"/>
        <w:rPr>
          <w:rFonts w:hint="eastAsia" w:ascii="宋体" w:hAnsi="宋体" w:eastAsia="宋体" w:cs="宋体"/>
          <w:sz w:val="24"/>
          <w:szCs w:val="24"/>
        </w:rPr>
      </w:pPr>
      <w:r>
        <w:rPr>
          <w:rFonts w:hint="eastAsia" w:ascii="宋体" w:hAnsi="宋体" w:eastAsia="宋体" w:cs="宋体"/>
          <w:sz w:val="24"/>
          <w:szCs w:val="24"/>
        </w:rPr>
        <w:t>对国家规定有强制性规范或条例或认证要求的设备或材料，投标人提供的设备或材料应符合该类要求。</w:t>
      </w:r>
    </w:p>
    <w:p>
      <w:pPr>
        <w:snapToGrid w:val="0"/>
        <w:spacing w:line="360" w:lineRule="auto"/>
        <w:rPr>
          <w:rFonts w:hint="eastAsia" w:ascii="宋体" w:hAnsi="宋体" w:eastAsia="宋体" w:cs="宋体"/>
          <w:b/>
          <w:color w:val="000000"/>
          <w:sz w:val="24"/>
          <w:szCs w:val="24"/>
        </w:rPr>
      </w:pPr>
      <w:r>
        <w:rPr>
          <w:rFonts w:hint="eastAsia" w:ascii="宋体" w:hAnsi="宋体" w:eastAsia="宋体" w:cs="宋体"/>
          <w:b/>
          <w:color w:val="000000"/>
          <w:sz w:val="24"/>
          <w:szCs w:val="24"/>
        </w:rPr>
        <w:t>三、设备清单和参数</w:t>
      </w:r>
    </w:p>
    <w:tbl>
      <w:tblPr>
        <w:tblStyle w:val="62"/>
        <w:tblW w:w="8667" w:type="dxa"/>
        <w:jc w:val="center"/>
        <w:tblLayout w:type="fixed"/>
        <w:tblCellMar>
          <w:top w:w="0" w:type="dxa"/>
          <w:left w:w="108" w:type="dxa"/>
          <w:bottom w:w="0" w:type="dxa"/>
          <w:right w:w="108" w:type="dxa"/>
        </w:tblCellMar>
      </w:tblPr>
      <w:tblGrid>
        <w:gridCol w:w="505"/>
        <w:gridCol w:w="998"/>
        <w:gridCol w:w="6084"/>
        <w:gridCol w:w="417"/>
        <w:gridCol w:w="663"/>
      </w:tblGrid>
      <w:tr>
        <w:tblPrEx>
          <w:tblCellMar>
            <w:top w:w="0" w:type="dxa"/>
            <w:left w:w="108" w:type="dxa"/>
            <w:bottom w:w="0" w:type="dxa"/>
            <w:right w:w="108" w:type="dxa"/>
          </w:tblCellMar>
        </w:tblPrEx>
        <w:trPr>
          <w:trHeight w:val="2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序号</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设备名称</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参数要求</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单位</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数量</w:t>
            </w:r>
          </w:p>
        </w:tc>
      </w:tr>
      <w:tr>
        <w:tblPrEx>
          <w:tblCellMar>
            <w:top w:w="0" w:type="dxa"/>
            <w:left w:w="108" w:type="dxa"/>
            <w:bottom w:w="0" w:type="dxa"/>
            <w:right w:w="108" w:type="dxa"/>
          </w:tblCellMar>
        </w:tblPrEx>
        <w:trPr>
          <w:trHeight w:val="2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b/>
                <w:bCs/>
                <w:color w:val="000000"/>
                <w:kern w:val="0"/>
                <w:sz w:val="24"/>
                <w:szCs w:val="24"/>
                <w:lang w:bidi="ar"/>
              </w:rPr>
              <w:t>计算机网络系统</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62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kern w:val="0"/>
                <w:sz w:val="24"/>
                <w:szCs w:val="24"/>
              </w:rPr>
              <w:t>数据网核心交换机</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sz w:val="24"/>
                <w:szCs w:val="24"/>
              </w:rPr>
            </w:pPr>
            <w:r>
              <w:rPr>
                <w:rFonts w:hint="eastAsia" w:ascii="宋体" w:hAnsi="宋体" w:eastAsia="宋体" w:cs="宋体"/>
                <w:sz w:val="24"/>
                <w:szCs w:val="24"/>
              </w:rPr>
              <w:t>1、产品架构：支持双主控，≥6个业务插槽，交换容量≥76Tbps，包转发率≥8600Mpps，要求以官网较小值为准，</w:t>
            </w:r>
            <w:r>
              <w:rPr>
                <w:rFonts w:hint="eastAsia" w:ascii="宋体" w:hAnsi="宋体" w:eastAsia="宋体" w:cs="宋体"/>
                <w:b/>
                <w:bCs/>
                <w:sz w:val="24"/>
                <w:szCs w:val="24"/>
              </w:rPr>
              <w:t>要求提供官网链接和截图；</w:t>
            </w:r>
          </w:p>
          <w:p>
            <w:pPr>
              <w:widowControl/>
              <w:snapToGrid w:val="0"/>
              <w:rPr>
                <w:rFonts w:hint="eastAsia" w:ascii="宋体" w:hAnsi="宋体" w:eastAsia="宋体" w:cs="宋体"/>
                <w:sz w:val="24"/>
                <w:szCs w:val="24"/>
              </w:rPr>
            </w:pPr>
            <w:r>
              <w:rPr>
                <w:rFonts w:hint="eastAsia" w:ascii="宋体" w:hAnsi="宋体" w:eastAsia="宋体" w:cs="宋体"/>
                <w:sz w:val="24"/>
                <w:szCs w:val="24"/>
              </w:rPr>
              <w:t>2、冗余特性：主控交换卡、电源、接口模块、风扇等关键部件可热插拔；</w:t>
            </w:r>
          </w:p>
          <w:p>
            <w:pPr>
              <w:widowControl/>
              <w:snapToGrid w:val="0"/>
              <w:rPr>
                <w:rFonts w:hint="eastAsia" w:ascii="宋体" w:hAnsi="宋体" w:eastAsia="宋体" w:cs="宋体"/>
                <w:sz w:val="24"/>
                <w:szCs w:val="24"/>
              </w:rPr>
            </w:pPr>
            <w:r>
              <w:rPr>
                <w:rFonts w:hint="eastAsia" w:ascii="宋体" w:hAnsi="宋体" w:eastAsia="宋体" w:cs="宋体"/>
                <w:sz w:val="24"/>
                <w:szCs w:val="24"/>
              </w:rPr>
              <w:t>3、协议双栈：IPV6：支持RIPng、OSPFv3、BGP4+、IS-ISv6协议支持IPv6策略路由；</w:t>
            </w:r>
          </w:p>
          <w:p>
            <w:pPr>
              <w:widowControl/>
              <w:snapToGrid w:val="0"/>
              <w:rPr>
                <w:rFonts w:hint="eastAsia" w:ascii="宋体" w:hAnsi="宋体" w:eastAsia="宋体" w:cs="宋体"/>
                <w:sz w:val="24"/>
                <w:szCs w:val="24"/>
              </w:rPr>
            </w:pPr>
            <w:r>
              <w:rPr>
                <w:rFonts w:hint="eastAsia" w:ascii="宋体" w:hAnsi="宋体" w:eastAsia="宋体" w:cs="宋体"/>
                <w:sz w:val="24"/>
                <w:szCs w:val="24"/>
              </w:rPr>
              <w:t>4、虚拟化：多虚一技术(N:1)，支持4框虚拟化技术；</w:t>
            </w:r>
          </w:p>
          <w:p>
            <w:pPr>
              <w:widowControl/>
              <w:snapToGrid w:val="0"/>
              <w:rPr>
                <w:rFonts w:hint="eastAsia" w:ascii="宋体" w:hAnsi="宋体" w:eastAsia="宋体" w:cs="宋体"/>
                <w:sz w:val="24"/>
                <w:szCs w:val="24"/>
              </w:rPr>
            </w:pPr>
            <w:r>
              <w:rPr>
                <w:rFonts w:hint="eastAsia" w:ascii="宋体" w:hAnsi="宋体" w:eastAsia="宋体" w:cs="宋体"/>
                <w:sz w:val="24"/>
                <w:szCs w:val="24"/>
              </w:rPr>
              <w:t>5、智能网管：支持智能图形化管理功能，能够实现通过图形化界面对全网设备进行配置下发和智能版本升级，</w:t>
            </w:r>
            <w:r>
              <w:rPr>
                <w:rFonts w:hint="eastAsia" w:ascii="宋体" w:hAnsi="宋体" w:eastAsia="宋体" w:cs="宋体"/>
                <w:b/>
                <w:bCs/>
                <w:sz w:val="24"/>
                <w:szCs w:val="24"/>
              </w:rPr>
              <w:t>要求提供权威第三方检测报告结果页复印件；</w:t>
            </w:r>
          </w:p>
          <w:p>
            <w:pPr>
              <w:widowControl/>
              <w:snapToGrid w:val="0"/>
              <w:rPr>
                <w:rFonts w:hint="eastAsia" w:ascii="宋体" w:hAnsi="宋体" w:eastAsia="宋体" w:cs="宋体"/>
                <w:sz w:val="24"/>
                <w:szCs w:val="24"/>
              </w:rPr>
            </w:pPr>
            <w:r>
              <w:rPr>
                <w:rFonts w:hint="eastAsia" w:ascii="宋体" w:hAnsi="宋体" w:eastAsia="宋体" w:cs="宋体"/>
                <w:sz w:val="24"/>
                <w:szCs w:val="24"/>
              </w:rPr>
              <w:t>6、支持跨设备链路聚合技术，通过将两台物理设备在转发层面虚拟成一台设备来实现跨设备链路聚合，保持控制层面互相独立，提供设备级冗余保护和流量负载分担，同时提高系统的可靠性</w:t>
            </w:r>
            <w:r>
              <w:rPr>
                <w:rFonts w:hint="eastAsia" w:ascii="宋体" w:hAnsi="宋体" w:eastAsia="宋体" w:cs="宋体"/>
                <w:b/>
                <w:bCs/>
                <w:sz w:val="24"/>
                <w:szCs w:val="24"/>
              </w:rPr>
              <w:t>（提供官网截图及官网链接）；</w:t>
            </w:r>
          </w:p>
          <w:p>
            <w:pPr>
              <w:widowControl/>
              <w:snapToGrid w:val="0"/>
              <w:rPr>
                <w:rFonts w:hint="eastAsia" w:ascii="宋体" w:hAnsi="宋体" w:eastAsia="宋体" w:cs="宋体"/>
                <w:sz w:val="24"/>
                <w:szCs w:val="24"/>
              </w:rPr>
            </w:pPr>
            <w:r>
              <w:rPr>
                <w:rFonts w:hint="eastAsia" w:ascii="宋体" w:hAnsi="宋体" w:eastAsia="宋体" w:cs="宋体"/>
                <w:sz w:val="24"/>
                <w:szCs w:val="24"/>
              </w:rPr>
              <w:t>7、VXLAN：支持VXLAN，能够实现ipv4/ipv6的VXLAN三层互通，</w:t>
            </w:r>
            <w:r>
              <w:rPr>
                <w:rFonts w:hint="eastAsia" w:ascii="宋体" w:hAnsi="宋体" w:eastAsia="宋体" w:cs="宋体"/>
                <w:b/>
                <w:bCs/>
                <w:sz w:val="24"/>
                <w:szCs w:val="24"/>
              </w:rPr>
              <w:t>要求提供第三方权威检测报告结果页复印件；</w:t>
            </w:r>
          </w:p>
          <w:p>
            <w:pPr>
              <w:widowControl/>
              <w:snapToGrid w:val="0"/>
              <w:rPr>
                <w:rFonts w:hint="eastAsia" w:ascii="宋体" w:hAnsi="宋体" w:eastAsia="宋体" w:cs="宋体"/>
                <w:sz w:val="24"/>
                <w:szCs w:val="24"/>
              </w:rPr>
            </w:pPr>
            <w:r>
              <w:rPr>
                <w:rFonts w:hint="eastAsia" w:asciiTheme="minorEastAsia" w:hAnsiTheme="minorEastAsia" w:eastAsiaTheme="minorEastAsia"/>
                <w:kern w:val="0"/>
                <w:sz w:val="24"/>
              </w:rPr>
              <w:t>★</w:t>
            </w:r>
            <w:r>
              <w:rPr>
                <w:rFonts w:hint="eastAsia" w:ascii="宋体" w:hAnsi="宋体" w:eastAsia="宋体" w:cs="宋体"/>
                <w:sz w:val="24"/>
                <w:szCs w:val="24"/>
              </w:rPr>
              <w:t>8、安全扩展：要求支持多业务安全板卡，能够与设备耦合无需外部连线，</w:t>
            </w:r>
            <w:r>
              <w:rPr>
                <w:rFonts w:hint="eastAsia" w:ascii="宋体" w:hAnsi="宋体" w:eastAsia="宋体" w:cs="宋体"/>
                <w:b/>
                <w:bCs/>
                <w:sz w:val="24"/>
                <w:szCs w:val="24"/>
              </w:rPr>
              <w:t>要求提供权威第三方检测报告结果页复印件；</w:t>
            </w:r>
            <w:r>
              <w:rPr>
                <w:rFonts w:hint="eastAsia" w:ascii="宋体" w:hAnsi="宋体" w:eastAsia="宋体" w:cs="宋体"/>
                <w:sz w:val="24"/>
                <w:szCs w:val="24"/>
              </w:rPr>
              <w:t>支持未来扩容防火墙插卡</w:t>
            </w:r>
            <w:r>
              <w:rPr>
                <w:rFonts w:hint="eastAsia" w:ascii="宋体" w:hAnsi="宋体" w:eastAsia="宋体" w:cs="宋体"/>
                <w:b/>
                <w:bCs/>
                <w:sz w:val="24"/>
                <w:szCs w:val="24"/>
              </w:rPr>
              <w:t>并提供官网链接和截图证明，</w:t>
            </w:r>
            <w:r>
              <w:rPr>
                <w:rFonts w:hint="eastAsia" w:ascii="宋体" w:hAnsi="宋体" w:eastAsia="宋体" w:cs="宋体"/>
                <w:sz w:val="24"/>
                <w:szCs w:val="24"/>
              </w:rPr>
              <w:t>以支持安全升级；</w:t>
            </w:r>
          </w:p>
          <w:p>
            <w:pPr>
              <w:widowControl/>
              <w:snapToGrid w:val="0"/>
              <w:rPr>
                <w:rFonts w:hint="eastAsia" w:ascii="宋体" w:hAnsi="宋体" w:eastAsia="宋体" w:cs="宋体"/>
                <w:b/>
                <w:bCs/>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、要求支持融合AC功能，无需配置单独硬件即可在交换机上实现对无线AP的管理，以保障无线网络容灾，</w:t>
            </w:r>
            <w:r>
              <w:rPr>
                <w:rFonts w:hint="eastAsia" w:ascii="宋体" w:hAnsi="宋体" w:eastAsia="宋体" w:cs="宋体"/>
                <w:b/>
                <w:bCs/>
                <w:sz w:val="24"/>
                <w:szCs w:val="24"/>
              </w:rPr>
              <w:t>要求提供权威第三方检测报告结果页复印件;</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11、配置要求：实配双主控、双电源，万兆光口≥32个万兆光口（其中8个可以复用为25G接口以保障未来带宽提升），实配8个千兆电口模块。</w:t>
            </w:r>
          </w:p>
          <w:p>
            <w:pPr>
              <w:pStyle w:val="2"/>
              <w:spacing w:line="240" w:lineRule="auto"/>
              <w:rPr>
                <w:rFonts w:hint="eastAsia" w:ascii="宋体" w:hAnsi="宋体" w:eastAsia="宋体" w:cs="宋体"/>
                <w:sz w:val="24"/>
                <w:szCs w:val="24"/>
                <w:lang w:val="en-US"/>
              </w:rPr>
            </w:pPr>
            <w:r>
              <w:rPr>
                <w:rFonts w:hint="eastAsia" w:ascii="宋体" w:hAnsi="宋体" w:eastAsia="宋体" w:cs="宋体"/>
                <w:kern w:val="0"/>
                <w:sz w:val="24"/>
                <w:szCs w:val="24"/>
                <w:lang w:val="en-US"/>
              </w:rPr>
              <w:t>12</w:t>
            </w:r>
            <w:r>
              <w:rPr>
                <w:rFonts w:hint="eastAsia" w:ascii="宋体" w:hAnsi="宋体" w:eastAsia="宋体" w:cs="宋体"/>
                <w:snapToGrid/>
                <w:kern w:val="2"/>
                <w:sz w:val="24"/>
                <w:szCs w:val="24"/>
                <w:lang w:val="en-US" w:eastAsia="zh-CN" w:bidi="ar-SA"/>
              </w:rPr>
              <w:t>、</w:t>
            </w:r>
            <w:r>
              <w:rPr>
                <w:rFonts w:hint="eastAsia" w:ascii="宋体" w:hAnsi="宋体" w:eastAsia="宋体" w:cs="宋体"/>
                <w:b/>
                <w:bCs/>
                <w:snapToGrid/>
                <w:kern w:val="2"/>
                <w:sz w:val="24"/>
                <w:szCs w:val="24"/>
                <w:lang w:val="en-US" w:eastAsia="zh-CN" w:bidi="ar-SA"/>
              </w:rPr>
              <w:t>3年整机质保，3年免费上门服务，投标时提供质保服务承诺函。</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万兆下行汇聚交换机</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1、基本要求：交换容量≥2.5Tbps，包转发率700Mpps（若存在双标，以官网最小值为准）；支持≥24个万兆光口，≥2个40G光口；为满足未来接口扩容需求，要求支持≥2个接口扩展槽位，</w:t>
            </w:r>
            <w:r>
              <w:rPr>
                <w:rFonts w:hint="eastAsia" w:ascii="宋体" w:hAnsi="宋体" w:eastAsia="宋体" w:cs="宋体"/>
                <w:b/>
                <w:bCs/>
                <w:kern w:val="0"/>
                <w:sz w:val="24"/>
                <w:szCs w:val="24"/>
              </w:rPr>
              <w:t>要求提供实物图片证明；</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 xml:space="preserve">2、ERPS：要求支持ERPS功能，并且收敛时间小于50ms </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3、链路聚合：支持最多8个GE口或4个10 GE端口聚合；支持最多128个聚合组；支持LACP；</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4、可靠性：支持VRRPv2/v3（虚拟路由冗余协议）；</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支持RRPP（快速环网保护协议），环网故障恢复时间不超过200ms；</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5、VXLAN：支持二层VxLAN，支持三层VxLAN，支持EVPN</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6、安全扩展：为保证安全加固需求，要求设备可扩容安全防火墙插卡，</w:t>
            </w:r>
            <w:r>
              <w:rPr>
                <w:rFonts w:hint="eastAsia" w:ascii="宋体" w:hAnsi="宋体" w:eastAsia="宋体" w:cs="宋体"/>
                <w:b/>
                <w:bCs/>
                <w:kern w:val="0"/>
                <w:sz w:val="24"/>
                <w:szCs w:val="24"/>
              </w:rPr>
              <w:t>并提供官网链接和截图说明；</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 xml:space="preserve">7、要求支持智能网络质量分析（iNQA）技术，可快速测量网络性能的检测机制，直接对业务报文进行测量，测量数据可以真实反映网络质量状况，实时感知丢包时间、丢包位置、丢包数量, </w:t>
            </w:r>
            <w:r>
              <w:rPr>
                <w:rFonts w:hint="eastAsia" w:ascii="宋体" w:hAnsi="宋体" w:eastAsia="宋体" w:cs="宋体"/>
                <w:b/>
                <w:bCs/>
                <w:kern w:val="0"/>
                <w:sz w:val="24"/>
                <w:szCs w:val="24"/>
              </w:rPr>
              <w:t>要求提供第三方权威检测报告结果页复印件；</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8、实配：双电源，双风扇；</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9、兼容性要求：</w:t>
            </w:r>
            <w:r>
              <w:rPr>
                <w:rFonts w:hint="eastAsia" w:ascii="宋体" w:hAnsi="宋体" w:eastAsia="宋体" w:cs="宋体"/>
                <w:b/>
                <w:bCs/>
                <w:kern w:val="0"/>
                <w:sz w:val="24"/>
                <w:szCs w:val="24"/>
              </w:rPr>
              <w:t>要求与核心交换机同一品牌。</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r>
      <w:tr>
        <w:tblPrEx>
          <w:tblCellMar>
            <w:top w:w="0" w:type="dxa"/>
            <w:left w:w="108" w:type="dxa"/>
            <w:bottom w:w="0" w:type="dxa"/>
            <w:right w:w="108" w:type="dxa"/>
          </w:tblCellMar>
        </w:tblPrEx>
        <w:trPr>
          <w:trHeight w:val="1847"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万兆上行24口接入交换机</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1、交换容量：≥330Gbps，包转发率≥100Mpps（若官网存在双标，以较小值为准）；接口：≥24个10/100/1000Base-T自适应以太网端口，4个万兆SFP+口</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2、网络防环：支持STP、RSTP、MSTP生成树协议；</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3、可靠性：支持虚拟化功能，实现设备堆叠、负载分担；</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4、VLAN：支持基于端口、协议、MAC的VLAN；</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5、链路聚合：支持链路聚合；</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6、节能低碳：支持端口节能；</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7、安全防雷：支持10KV业务端口防雷能力，以降低设备的损坏率</w:t>
            </w:r>
            <w:r>
              <w:rPr>
                <w:rFonts w:hint="eastAsia" w:ascii="宋体" w:hAnsi="宋体" w:eastAsia="宋体" w:cs="宋体"/>
                <w:b/>
                <w:bCs/>
                <w:kern w:val="0"/>
                <w:sz w:val="24"/>
                <w:szCs w:val="24"/>
              </w:rPr>
              <w:t>（要求提供官网链接和截图证明）；</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8、支持Telemetry技术，可通过GRPC协议将交换机的实时资源信息与告警信息上送至运维平台，运维平台针对实时数据进行分析，可实现网络质量回溯，故障排查，风险预警，架构优化等功能，精确保障用户体验</w:t>
            </w:r>
            <w:r>
              <w:rPr>
                <w:rFonts w:hint="eastAsia" w:ascii="宋体" w:hAnsi="宋体" w:eastAsia="宋体" w:cs="宋体"/>
                <w:b/>
                <w:bCs/>
                <w:kern w:val="0"/>
                <w:sz w:val="24"/>
                <w:szCs w:val="24"/>
              </w:rPr>
              <w:t>（提供官网截图及官网链接）；</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9、可直接被核心交换机内置图形化操作方式的网管管理，可实现轻松维护</w:t>
            </w:r>
            <w:r>
              <w:rPr>
                <w:rFonts w:hint="eastAsia" w:ascii="宋体" w:hAnsi="宋体" w:eastAsia="宋体" w:cs="宋体"/>
                <w:b/>
                <w:bCs/>
                <w:kern w:val="0"/>
                <w:sz w:val="24"/>
                <w:szCs w:val="24"/>
              </w:rPr>
              <w:t>（提供官网截图及官网链接）；</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10、成熟度：要求提供设备入网证；</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11、兼容性要求：</w:t>
            </w:r>
            <w:r>
              <w:rPr>
                <w:rFonts w:hint="eastAsia" w:ascii="宋体" w:hAnsi="宋体" w:eastAsia="宋体" w:cs="宋体"/>
                <w:b/>
                <w:bCs/>
                <w:kern w:val="0"/>
                <w:sz w:val="24"/>
                <w:szCs w:val="24"/>
              </w:rPr>
              <w:t>要求与核心交换机同一品牌。</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万兆上行24口无线POE交换机</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1、交换容量：≥330Gbps，包转发率≥100Mpps（若官网存在双标，以较小值为准）；接口：≥24个10/100/1000Base-T自适应以太网端口（POE功率≥370W）（其中有4个combo口），4个万兆SFP+口；</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2、网络防环：支持STP、RSTP、MSTP生成树协议；</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3、可靠性：支持虚拟化功能，实现设备堆叠、负载分担</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4、VLAN：支持基于端口、协议、MAC的VLAN；</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5、链路聚合：支持链路聚合；</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6、节能低碳：支持端口节能；</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7、安全防雷：支持10KV业务端口防雷能力，以降低设备的损坏率</w:t>
            </w:r>
            <w:r>
              <w:rPr>
                <w:rFonts w:hint="eastAsia" w:ascii="宋体" w:hAnsi="宋体" w:eastAsia="宋体" w:cs="宋体"/>
                <w:b/>
                <w:bCs/>
                <w:kern w:val="0"/>
                <w:sz w:val="24"/>
                <w:szCs w:val="24"/>
              </w:rPr>
              <w:t>（要求提供官网链接和截图证明）；</w:t>
            </w:r>
          </w:p>
          <w:p>
            <w:pPr>
              <w:widowControl/>
              <w:snapToGrid w:val="0"/>
              <w:rPr>
                <w:rFonts w:hint="eastAsia" w:ascii="宋体" w:hAnsi="宋体" w:eastAsia="宋体" w:cs="宋体"/>
                <w:b/>
                <w:bCs/>
                <w:kern w:val="0"/>
                <w:sz w:val="24"/>
                <w:szCs w:val="24"/>
              </w:rPr>
            </w:pPr>
            <w:r>
              <w:rPr>
                <w:rFonts w:hint="eastAsia" w:ascii="宋体" w:hAnsi="宋体" w:eastAsia="宋体" w:cs="宋体"/>
                <w:kern w:val="0"/>
                <w:sz w:val="24"/>
                <w:szCs w:val="24"/>
              </w:rPr>
              <w:t>8、支持Telemetry技术，可通过GRPC协议将交换机的实时资源信息与告警信息上送至运维平台，运维平台针对实时数据进行分析，可实现网络质量回溯，故障排查，风险预警，架构优化等功能，精确保障用户体验</w:t>
            </w:r>
            <w:r>
              <w:rPr>
                <w:rFonts w:hint="eastAsia" w:ascii="宋体" w:hAnsi="宋体" w:eastAsia="宋体" w:cs="宋体"/>
                <w:b/>
                <w:bCs/>
                <w:kern w:val="0"/>
                <w:sz w:val="24"/>
                <w:szCs w:val="24"/>
              </w:rPr>
              <w:t>（提供官网截图及官网链接）；</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9、可直接被核心交换机内置图形化操作方式的网管管理，可实现轻松维护</w:t>
            </w:r>
            <w:r>
              <w:rPr>
                <w:rFonts w:hint="eastAsia" w:ascii="宋体" w:hAnsi="宋体" w:eastAsia="宋体" w:cs="宋体"/>
                <w:b/>
                <w:bCs/>
                <w:kern w:val="0"/>
                <w:sz w:val="24"/>
                <w:szCs w:val="24"/>
              </w:rPr>
              <w:t>（提供官网截图及官网链接）；</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10、成熟度：要求提供设备入网证；</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11、兼容性要求：</w:t>
            </w:r>
            <w:r>
              <w:rPr>
                <w:rFonts w:hint="eastAsia" w:ascii="宋体" w:hAnsi="宋体" w:eastAsia="宋体" w:cs="宋体"/>
                <w:b/>
                <w:bCs/>
                <w:kern w:val="0"/>
                <w:sz w:val="24"/>
                <w:szCs w:val="24"/>
              </w:rPr>
              <w:t>要求与核心交换机同一品牌。</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门禁24口交换机</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1、交换容量：≥330Gbps，包转发率≥100Mpps（若官网存在双标，以较小值为准）；接口：≥24个10/100/1000Base-T自适应以太网端口，4个万兆SFP+口；</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2、网络防环：支持STP、RSTP、MSTP生成树协议；</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3、可靠性：支持虚拟化功能，实现设备堆叠、负载分担；4、VLAN：支持基于端口、协议、MAC的VLAN；</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5、链路聚合：支持链路聚合；</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6、节能低碳：支持端口节能；</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7、安全防雷：支持10KV业务端口防雷能力，以降低设备的损坏率</w:t>
            </w:r>
            <w:r>
              <w:rPr>
                <w:rFonts w:hint="eastAsia" w:ascii="宋体" w:hAnsi="宋体" w:eastAsia="宋体" w:cs="宋体"/>
                <w:b/>
                <w:bCs/>
                <w:kern w:val="0"/>
                <w:sz w:val="24"/>
                <w:szCs w:val="24"/>
              </w:rPr>
              <w:t>（要求提供官网链接和截图证明）；</w:t>
            </w:r>
          </w:p>
          <w:p>
            <w:pPr>
              <w:widowControl/>
              <w:snapToGrid w:val="0"/>
              <w:rPr>
                <w:rFonts w:hint="eastAsia" w:ascii="宋体" w:hAnsi="宋体" w:eastAsia="宋体" w:cs="宋体"/>
                <w:b/>
                <w:bCs/>
                <w:kern w:val="0"/>
                <w:sz w:val="24"/>
                <w:szCs w:val="24"/>
              </w:rPr>
            </w:pPr>
            <w:r>
              <w:rPr>
                <w:rFonts w:hint="eastAsia" w:ascii="宋体" w:hAnsi="宋体" w:eastAsia="宋体" w:cs="宋体"/>
                <w:kern w:val="0"/>
                <w:sz w:val="24"/>
                <w:szCs w:val="24"/>
              </w:rPr>
              <w:t>8、支持Telemetry技术，可通过GRPC协议将交换机的实时资源信息与告警信息上送至运维平台，运维平台针对实时数据进行分析，可实现网络质量回溯，故障排查，风险预警，架构优化等功能，精确保障用户体验</w:t>
            </w:r>
            <w:r>
              <w:rPr>
                <w:rFonts w:hint="eastAsia" w:ascii="宋体" w:hAnsi="宋体" w:eastAsia="宋体" w:cs="宋体"/>
                <w:b/>
                <w:bCs/>
                <w:kern w:val="0"/>
                <w:sz w:val="24"/>
                <w:szCs w:val="24"/>
              </w:rPr>
              <w:t>（提供官网截图及官网链接）；</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9、可直接被核心交换机内置图形化操作方式的网管管理，可实现轻松维护</w:t>
            </w:r>
            <w:r>
              <w:rPr>
                <w:rFonts w:hint="eastAsia" w:ascii="宋体" w:hAnsi="宋体" w:eastAsia="宋体" w:cs="宋体"/>
                <w:b/>
                <w:bCs/>
                <w:kern w:val="0"/>
                <w:sz w:val="24"/>
                <w:szCs w:val="24"/>
              </w:rPr>
              <w:t>（提供官网截图及官网链接）；</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10、成熟度：要求提供设备入网证；</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11、兼容性要求：</w:t>
            </w:r>
            <w:r>
              <w:rPr>
                <w:rFonts w:hint="eastAsia" w:ascii="宋体" w:hAnsi="宋体" w:eastAsia="宋体" w:cs="宋体"/>
                <w:b/>
                <w:bCs/>
                <w:kern w:val="0"/>
                <w:sz w:val="24"/>
                <w:szCs w:val="24"/>
              </w:rPr>
              <w:t>要求与核心交换机同一品牌。</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门禁8口交换机</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1、交换容量：≥330Gbps，包转发率≥90Mpps（若官网存在双标，以较小值为准）；接口：≥8个10/100/1000Base-T自适应以太网端口，4个万兆SFP+口；</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2、网络防环：支持STP、RSTP、MSTP生成树协议；</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3、可靠性：支持虚拟化功能，实现设备堆叠、负载分担；</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4、VLAN：支持基于端口、协议、MAC的VLAN；</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5、链路聚合：支持链路聚合；</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6、节能低碳：支持端口节能；</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7、安全防雷：支持10KV业务端口防雷能力，以降低设备的损坏率</w:t>
            </w:r>
            <w:r>
              <w:rPr>
                <w:rFonts w:hint="eastAsia" w:ascii="宋体" w:hAnsi="宋体" w:eastAsia="宋体" w:cs="宋体"/>
                <w:b/>
                <w:bCs/>
                <w:kern w:val="0"/>
                <w:sz w:val="24"/>
                <w:szCs w:val="24"/>
              </w:rPr>
              <w:t>（要求提供官网链接和截图证明）；</w:t>
            </w:r>
          </w:p>
          <w:p>
            <w:pPr>
              <w:widowControl/>
              <w:snapToGrid w:val="0"/>
              <w:rPr>
                <w:rFonts w:hint="eastAsia" w:ascii="宋体" w:hAnsi="宋体" w:eastAsia="宋体" w:cs="宋体"/>
                <w:b/>
                <w:bCs/>
                <w:kern w:val="0"/>
                <w:sz w:val="24"/>
                <w:szCs w:val="24"/>
              </w:rPr>
            </w:pPr>
            <w:r>
              <w:rPr>
                <w:rFonts w:hint="eastAsia" w:ascii="宋体" w:hAnsi="宋体" w:eastAsia="宋体" w:cs="宋体"/>
                <w:kern w:val="0"/>
                <w:sz w:val="24"/>
                <w:szCs w:val="24"/>
              </w:rPr>
              <w:t>8、支持Telemetry技术，可通过GRPC协议将交换机的实时资源信息与告警信息上送至运维平台，运维平台针对实时数据进行分析，可实现网络质量回溯，故障排查，风险预警，架构优化等功能，精确保障用户体验</w:t>
            </w:r>
            <w:r>
              <w:rPr>
                <w:rFonts w:hint="eastAsia" w:ascii="宋体" w:hAnsi="宋体" w:eastAsia="宋体" w:cs="宋体"/>
                <w:b/>
                <w:bCs/>
                <w:kern w:val="0"/>
                <w:sz w:val="24"/>
                <w:szCs w:val="24"/>
              </w:rPr>
              <w:t>（提供官网截图及官网链接）；</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9、可直接被核心交换机内置图形化操作方式的网管管理，可实现轻松维护</w:t>
            </w:r>
            <w:r>
              <w:rPr>
                <w:rFonts w:hint="eastAsia" w:ascii="宋体" w:hAnsi="宋体" w:eastAsia="宋体" w:cs="宋体"/>
                <w:b/>
                <w:bCs/>
                <w:kern w:val="0"/>
                <w:sz w:val="24"/>
                <w:szCs w:val="24"/>
              </w:rPr>
              <w:t>（提供官网截图及官网链接）；</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10、成熟度：要求提供设备入网证；</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11、兼容性要求：</w:t>
            </w:r>
            <w:r>
              <w:rPr>
                <w:rFonts w:hint="eastAsia" w:ascii="宋体" w:hAnsi="宋体" w:eastAsia="宋体" w:cs="宋体"/>
                <w:b/>
                <w:bCs/>
                <w:kern w:val="0"/>
                <w:sz w:val="24"/>
                <w:szCs w:val="24"/>
              </w:rPr>
              <w:t>要求与核心交换机同一品牌。</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无线控制器</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1、管理AP数：最大可支持≥512个AP；硬件接口：≥8个千兆电口+2个万兆光口；实配≥192个AP管理授权；</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2、支持基于802.11k/802.11v/802.11r协议的智能漫游，</w:t>
            </w:r>
            <w:r>
              <w:rPr>
                <w:rFonts w:hint="eastAsia" w:ascii="宋体" w:hAnsi="宋体" w:eastAsia="宋体" w:cs="宋体"/>
                <w:b/>
                <w:bCs/>
                <w:kern w:val="0"/>
                <w:sz w:val="24"/>
                <w:szCs w:val="24"/>
              </w:rPr>
              <w:t>要求提供工信部或下属实验室出具的第三方测试报告结果页复印件；</w:t>
            </w:r>
          </w:p>
          <w:p>
            <w:pPr>
              <w:widowControl/>
              <w:snapToGrid w:val="0"/>
              <w:rPr>
                <w:rFonts w:hint="eastAsia" w:ascii="宋体" w:hAnsi="宋体" w:eastAsia="宋体" w:cs="宋体"/>
                <w:b/>
                <w:bCs/>
                <w:kern w:val="0"/>
                <w:sz w:val="24"/>
                <w:szCs w:val="24"/>
              </w:rPr>
            </w:pPr>
            <w:r>
              <w:rPr>
                <w:rFonts w:hint="eastAsia" w:ascii="宋体" w:hAnsi="宋体" w:eastAsia="宋体" w:cs="宋体"/>
                <w:kern w:val="0"/>
                <w:sz w:val="24"/>
                <w:szCs w:val="24"/>
              </w:rPr>
              <w:t>3、支持雷达检测SSID逃生功能：AC、AP支持SSID自主逃生，当AP射频检测到雷达信号时，会将本射频的SSID迁移到其他射频，保障关键业务正常通信，</w:t>
            </w:r>
            <w:r>
              <w:rPr>
                <w:rFonts w:hint="eastAsia" w:ascii="宋体" w:hAnsi="宋体" w:eastAsia="宋体" w:cs="宋体"/>
                <w:b/>
                <w:bCs/>
                <w:kern w:val="0"/>
                <w:sz w:val="24"/>
                <w:szCs w:val="24"/>
              </w:rPr>
              <w:t>要求提供工信部或下属实验室出具的第三方测试报告结果页复印件；</w:t>
            </w:r>
          </w:p>
          <w:p>
            <w:pPr>
              <w:widowControl/>
              <w:snapToGrid w:val="0"/>
              <w:rPr>
                <w:rFonts w:hint="eastAsia" w:ascii="宋体" w:hAnsi="宋体" w:eastAsia="宋体" w:cs="宋体"/>
                <w:b/>
                <w:bCs/>
                <w:kern w:val="0"/>
                <w:sz w:val="24"/>
                <w:szCs w:val="24"/>
              </w:rPr>
            </w:pPr>
            <w:r>
              <w:rPr>
                <w:rFonts w:hint="eastAsia" w:asciiTheme="minorEastAsia" w:hAnsiTheme="minorEastAsia" w:eastAsiaTheme="minorEastAsia"/>
                <w:kern w:val="0"/>
                <w:sz w:val="24"/>
              </w:rPr>
              <w:t>★</w:t>
            </w:r>
            <w:r>
              <w:rPr>
                <w:rFonts w:hint="eastAsia" w:ascii="宋体" w:hAnsi="宋体" w:eastAsia="宋体" w:cs="宋体"/>
                <w:kern w:val="0"/>
                <w:sz w:val="24"/>
                <w:szCs w:val="24"/>
              </w:rPr>
              <w:t>4、支持基于空口利用率的SSID自动隐藏功能，当空口繁忙程度达到或超过配置的阈值时，SSID自动隐藏，为用户提供稳定可靠的无线服务，</w:t>
            </w:r>
            <w:r>
              <w:rPr>
                <w:rFonts w:hint="eastAsia" w:ascii="宋体" w:hAnsi="宋体" w:eastAsia="宋体" w:cs="宋体"/>
                <w:b/>
                <w:bCs/>
                <w:kern w:val="0"/>
                <w:sz w:val="24"/>
                <w:szCs w:val="24"/>
              </w:rPr>
              <w:t>要求提供工信部或下属实验室出具的第三方测试报告结果页复印件；</w:t>
            </w:r>
          </w:p>
          <w:p>
            <w:pPr>
              <w:widowControl/>
              <w:snapToGrid w:val="0"/>
              <w:rPr>
                <w:rFonts w:hint="eastAsia" w:ascii="宋体" w:hAnsi="宋体" w:eastAsia="宋体" w:cs="宋体"/>
                <w:b/>
                <w:bCs/>
                <w:kern w:val="0"/>
                <w:sz w:val="24"/>
                <w:szCs w:val="24"/>
              </w:rPr>
            </w:pPr>
            <w:r>
              <w:rPr>
                <w:rFonts w:hint="eastAsia" w:ascii="宋体" w:hAnsi="宋体" w:eastAsia="宋体" w:cs="宋体"/>
                <w:kern w:val="0"/>
                <w:sz w:val="24"/>
                <w:szCs w:val="24"/>
              </w:rPr>
              <w:t>5、结合公有云平台可实现极简运维及业务增值，</w:t>
            </w:r>
            <w:r>
              <w:rPr>
                <w:rFonts w:hint="eastAsia" w:ascii="宋体" w:hAnsi="宋体" w:eastAsia="宋体" w:cs="宋体"/>
                <w:b/>
                <w:bCs/>
                <w:kern w:val="0"/>
                <w:sz w:val="24"/>
                <w:szCs w:val="24"/>
              </w:rPr>
              <w:t>提供权威机构发布的测试报告结果页复印件；</w:t>
            </w:r>
          </w:p>
          <w:p>
            <w:pPr>
              <w:widowControl/>
              <w:snapToGrid w:val="0"/>
              <w:rPr>
                <w:rFonts w:hint="eastAsia" w:ascii="宋体" w:hAnsi="宋体" w:eastAsia="宋体" w:cs="宋体"/>
                <w:b/>
                <w:bCs/>
                <w:kern w:val="0"/>
                <w:sz w:val="24"/>
                <w:szCs w:val="24"/>
              </w:rPr>
            </w:pPr>
            <w:r>
              <w:rPr>
                <w:rFonts w:hint="eastAsia" w:ascii="宋体" w:hAnsi="宋体" w:eastAsia="宋体" w:cs="宋体"/>
                <w:kern w:val="0"/>
                <w:sz w:val="24"/>
                <w:szCs w:val="24"/>
              </w:rPr>
              <w:t>6、无线定位：定位精度2米以内，参与定位的AP支持跨信道部署，</w:t>
            </w:r>
            <w:r>
              <w:rPr>
                <w:rFonts w:hint="eastAsia" w:ascii="宋体" w:hAnsi="宋体" w:eastAsia="宋体" w:cs="宋体"/>
                <w:b/>
                <w:bCs/>
                <w:kern w:val="0"/>
                <w:sz w:val="24"/>
                <w:szCs w:val="24"/>
              </w:rPr>
              <w:t>要求提供权威机构颁发的测试报告结果页复印件；</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7、兼容性要求：</w:t>
            </w:r>
            <w:r>
              <w:rPr>
                <w:rFonts w:hint="eastAsia" w:ascii="宋体" w:hAnsi="宋体" w:eastAsia="宋体" w:cs="宋体"/>
                <w:b/>
                <w:bCs/>
                <w:kern w:val="0"/>
                <w:sz w:val="24"/>
                <w:szCs w:val="24"/>
              </w:rPr>
              <w:t>要求与核心交换机同一品牌</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5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8</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放装ap</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sz w:val="24"/>
                <w:szCs w:val="24"/>
              </w:rPr>
            </w:pPr>
            <w:r>
              <w:rPr>
                <w:rFonts w:hint="eastAsia" w:ascii="宋体" w:hAnsi="宋体" w:eastAsia="宋体" w:cs="宋体"/>
                <w:sz w:val="24"/>
                <w:szCs w:val="24"/>
              </w:rPr>
              <w:t>1、工作模式：采用整机双频4流设计，可同时工作在802.11a/b/g/n/ac/ac wave2/ax模式；</w:t>
            </w:r>
          </w:p>
          <w:p>
            <w:pPr>
              <w:widowControl/>
              <w:snapToGrid w:val="0"/>
              <w:rPr>
                <w:rFonts w:hint="eastAsia" w:ascii="宋体" w:hAnsi="宋体" w:eastAsia="宋体" w:cs="宋体"/>
                <w:sz w:val="24"/>
                <w:szCs w:val="24"/>
              </w:rPr>
            </w:pPr>
            <w:r>
              <w:rPr>
                <w:rFonts w:hint="eastAsia" w:ascii="宋体" w:hAnsi="宋体" w:eastAsia="宋体" w:cs="宋体"/>
                <w:sz w:val="24"/>
                <w:szCs w:val="24"/>
              </w:rPr>
              <w:t>2、协商速率：整机协商速率≥2.975Gbps，其中5G射频速率≥2.4Gbps，2.4G射频速率≥0.575Gbps；</w:t>
            </w:r>
          </w:p>
          <w:p>
            <w:pPr>
              <w:widowControl/>
              <w:snapToGrid w:val="0"/>
              <w:rPr>
                <w:rFonts w:hint="eastAsia" w:ascii="宋体" w:hAnsi="宋体" w:eastAsia="宋体" w:cs="宋体"/>
                <w:sz w:val="24"/>
                <w:szCs w:val="24"/>
              </w:rPr>
            </w:pPr>
            <w:r>
              <w:rPr>
                <w:rFonts w:hint="eastAsia" w:ascii="宋体" w:hAnsi="宋体" w:eastAsia="宋体" w:cs="宋体"/>
                <w:sz w:val="24"/>
                <w:szCs w:val="24"/>
              </w:rPr>
              <w:t>3、接口设计：支持≥ 1个2.5G光口，1个10/100/1000M电口；</w:t>
            </w:r>
          </w:p>
          <w:p>
            <w:pPr>
              <w:widowControl/>
              <w:snapToGrid w:val="0"/>
              <w:rPr>
                <w:rFonts w:hint="eastAsia" w:ascii="宋体" w:hAnsi="宋体" w:eastAsia="宋体" w:cs="宋体"/>
                <w:b/>
                <w:bCs/>
                <w:sz w:val="24"/>
                <w:szCs w:val="24"/>
              </w:rPr>
            </w:pPr>
            <w:r>
              <w:rPr>
                <w:rFonts w:hint="eastAsia" w:ascii="宋体" w:hAnsi="宋体" w:eastAsia="宋体" w:cs="宋体"/>
                <w:sz w:val="24"/>
                <w:szCs w:val="24"/>
              </w:rPr>
              <w:t>4、无线优化：要求支持边缘感知功能，可精细化识别各个应用，同时能对应用流量进行分析，并对识别出的应用优先调度，从而提高用户使用体验</w:t>
            </w:r>
            <w:r>
              <w:rPr>
                <w:rFonts w:hint="eastAsia" w:ascii="宋体" w:hAnsi="宋体" w:eastAsia="宋体" w:cs="宋体"/>
                <w:b/>
                <w:bCs/>
                <w:sz w:val="24"/>
                <w:szCs w:val="24"/>
              </w:rPr>
              <w:t>（要求提供封面具有CMA或CNAS标志的权威检测机构的检测报告结果页复制件）；</w:t>
            </w:r>
          </w:p>
          <w:p>
            <w:pPr>
              <w:widowControl/>
              <w:snapToGrid w:val="0"/>
              <w:ind w:firstLine="240" w:firstLineChars="100"/>
              <w:rPr>
                <w:rFonts w:hint="eastAsia" w:ascii="宋体" w:hAnsi="宋体" w:eastAsia="宋体" w:cs="宋体"/>
                <w:b/>
                <w:bCs/>
                <w:sz w:val="24"/>
                <w:szCs w:val="24"/>
              </w:rPr>
            </w:pPr>
            <w:r>
              <w:rPr>
                <w:rFonts w:hint="eastAsia" w:ascii="宋体" w:hAnsi="宋体" w:eastAsia="宋体" w:cs="宋体"/>
                <w:sz w:val="24"/>
                <w:szCs w:val="24"/>
              </w:rPr>
              <w:t>要求支持双WiFi功能，在网络拥塞情况下，通过对终端发送的报文进行识别，在多业务并行处理时，可以对关键业务（如视频会议、时延敏感类游戏等）优先处理从而实现应用加速，同时对链路可靠性的提升，保证了用户使用体验</w:t>
            </w:r>
            <w:r>
              <w:rPr>
                <w:rFonts w:hint="eastAsia" w:ascii="宋体" w:hAnsi="宋体" w:eastAsia="宋体" w:cs="宋体"/>
                <w:b/>
                <w:bCs/>
                <w:sz w:val="24"/>
                <w:szCs w:val="24"/>
              </w:rPr>
              <w:t>（要求提供封面具有CMA或CNAS标志的权威检测机构的检测报告结果页复制件）</w:t>
            </w:r>
          </w:p>
          <w:p>
            <w:pPr>
              <w:widowControl/>
              <w:numPr>
                <w:ilvl w:val="0"/>
                <w:numId w:val="2"/>
              </w:numPr>
              <w:snapToGrid w:val="0"/>
              <w:rPr>
                <w:rFonts w:hint="eastAsia" w:ascii="宋体" w:hAnsi="宋体" w:eastAsia="宋体" w:cs="宋体"/>
                <w:b/>
                <w:bCs/>
                <w:sz w:val="24"/>
                <w:szCs w:val="24"/>
              </w:rPr>
            </w:pPr>
            <w:r>
              <w:rPr>
                <w:rFonts w:hint="eastAsia" w:ascii="宋体" w:hAnsi="宋体" w:eastAsia="宋体" w:cs="宋体"/>
                <w:b/>
                <w:bCs/>
                <w:sz w:val="24"/>
                <w:szCs w:val="24"/>
              </w:rPr>
              <w:t>兼容性要求：要求与核心交换机同一品牌</w:t>
            </w:r>
          </w:p>
          <w:p>
            <w:pPr>
              <w:pStyle w:val="2"/>
              <w:numPr>
                <w:ilvl w:val="0"/>
                <w:numId w:val="2"/>
              </w:numPr>
              <w:rPr>
                <w:rFonts w:hint="eastAsia" w:ascii="宋体" w:hAnsi="宋体" w:eastAsia="宋体" w:cs="宋体"/>
                <w:sz w:val="24"/>
                <w:szCs w:val="24"/>
              </w:rPr>
            </w:pPr>
            <w:r>
              <w:rPr>
                <w:rFonts w:hint="eastAsia" w:ascii="宋体" w:hAnsi="宋体" w:eastAsia="宋体" w:cs="宋体"/>
                <w:b/>
                <w:bCs/>
                <w:color w:val="000000"/>
                <w:kern w:val="0"/>
                <w:sz w:val="24"/>
                <w:szCs w:val="24"/>
                <w:lang w:bidi="ar"/>
              </w:rPr>
              <w:t>3年整机质保，3年免费上门服务，投标时提供质保服务承诺</w:t>
            </w:r>
            <w:r>
              <w:rPr>
                <w:rFonts w:hint="eastAsia" w:ascii="宋体" w:hAnsi="宋体" w:eastAsia="宋体" w:cs="宋体"/>
                <w:b/>
                <w:bCs/>
                <w:color w:val="000000"/>
                <w:kern w:val="0"/>
                <w:sz w:val="24"/>
                <w:szCs w:val="24"/>
                <w:lang w:val="en-US" w:eastAsia="zh-CN" w:bidi="ar"/>
              </w:rPr>
              <w:t>函</w:t>
            </w:r>
            <w:r>
              <w:rPr>
                <w:rFonts w:hint="eastAsia" w:ascii="宋体" w:hAnsi="宋体" w:eastAsia="宋体" w:cs="宋体"/>
                <w:b/>
                <w:bCs/>
                <w:color w:val="000000"/>
                <w:kern w:val="0"/>
                <w:sz w:val="24"/>
                <w:szCs w:val="24"/>
                <w:lang w:bidi="ar"/>
              </w:rPr>
              <w:t>。</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100</w:t>
            </w:r>
          </w:p>
        </w:tc>
      </w:tr>
      <w:tr>
        <w:tblPrEx>
          <w:tblCellMar>
            <w:top w:w="0" w:type="dxa"/>
            <w:left w:w="108" w:type="dxa"/>
            <w:bottom w:w="0" w:type="dxa"/>
            <w:right w:w="108" w:type="dxa"/>
          </w:tblCellMar>
        </w:tblPrEx>
        <w:trPr>
          <w:trHeight w:val="6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9</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高密ap</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1、采用整机三频六流设计，可同时工作在802.11a/b/g/n/ac/ac wave2/ax模式，</w:t>
            </w:r>
            <w:r>
              <w:rPr>
                <w:rFonts w:hint="eastAsia" w:ascii="宋体" w:hAnsi="宋体" w:eastAsia="宋体" w:cs="宋体"/>
                <w:b/>
                <w:bCs/>
                <w:kern w:val="0"/>
                <w:sz w:val="24"/>
                <w:szCs w:val="24"/>
              </w:rPr>
              <w:t>提供官网链接和截图证明；</w:t>
            </w:r>
          </w:p>
          <w:p>
            <w:pPr>
              <w:widowControl/>
              <w:snapToGrid w:val="0"/>
              <w:rPr>
                <w:rFonts w:hint="eastAsia" w:ascii="宋体" w:hAnsi="宋体" w:eastAsia="宋体" w:cs="宋体"/>
                <w:b/>
                <w:bCs/>
                <w:kern w:val="0"/>
                <w:sz w:val="24"/>
                <w:szCs w:val="24"/>
              </w:rPr>
            </w:pPr>
            <w:r>
              <w:rPr>
                <w:rFonts w:hint="eastAsia" w:ascii="宋体" w:hAnsi="宋体" w:eastAsia="宋体" w:cs="宋体"/>
                <w:kern w:val="0"/>
                <w:sz w:val="24"/>
                <w:szCs w:val="24"/>
              </w:rPr>
              <w:t>2、整机协商速率≥5.375Gbps，≥2个电口（1个100/1000M/2.5G电口，1个10/100/1000M电口），</w:t>
            </w:r>
            <w:r>
              <w:rPr>
                <w:rFonts w:hint="eastAsia" w:ascii="宋体" w:hAnsi="宋体" w:eastAsia="宋体" w:cs="宋体"/>
                <w:b/>
                <w:bCs/>
                <w:kern w:val="0"/>
                <w:sz w:val="24"/>
                <w:szCs w:val="24"/>
              </w:rPr>
              <w:t>提供官网链接和截图证明；</w:t>
            </w:r>
          </w:p>
          <w:p>
            <w:pPr>
              <w:widowControl/>
              <w:snapToGrid w:val="0"/>
              <w:rPr>
                <w:rFonts w:hint="eastAsia" w:ascii="宋体" w:hAnsi="宋体" w:eastAsia="宋体" w:cs="宋体"/>
                <w:b/>
                <w:bCs/>
                <w:kern w:val="0"/>
                <w:sz w:val="24"/>
                <w:szCs w:val="24"/>
              </w:rPr>
            </w:pPr>
            <w:r>
              <w:rPr>
                <w:rFonts w:hint="eastAsia" w:ascii="宋体" w:hAnsi="宋体" w:eastAsia="宋体" w:cs="宋体"/>
                <w:kern w:val="0"/>
                <w:sz w:val="24"/>
                <w:szCs w:val="24"/>
              </w:rPr>
              <w:t>3、支持基于空口利用率的SSID自动隐藏功能，当空口繁忙程度达到或超过配置的阈值时，SSID自动隐藏，为用户提供稳定可靠的无线服务，</w:t>
            </w:r>
            <w:r>
              <w:rPr>
                <w:rFonts w:hint="eastAsia" w:ascii="宋体" w:hAnsi="宋体" w:eastAsia="宋体" w:cs="宋体"/>
                <w:b/>
                <w:bCs/>
                <w:kern w:val="0"/>
                <w:sz w:val="24"/>
                <w:szCs w:val="24"/>
              </w:rPr>
              <w:t>要求提供工信部或下属实验室出具的第三方测试报告结果页复印件；</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4、支持WPA3个人级方式下的终端接入，支持WPA3企业级模式下的终端接入功能，</w:t>
            </w:r>
            <w:r>
              <w:rPr>
                <w:rFonts w:hint="eastAsia" w:ascii="宋体" w:hAnsi="宋体" w:eastAsia="宋体" w:cs="宋体"/>
                <w:b/>
                <w:bCs/>
                <w:kern w:val="0"/>
                <w:sz w:val="24"/>
                <w:szCs w:val="24"/>
              </w:rPr>
              <w:t>要求提供工信部或下属实验室出具的第三方测试报告结果页复印件；</w:t>
            </w:r>
          </w:p>
          <w:p>
            <w:pPr>
              <w:widowControl/>
              <w:snapToGrid w:val="0"/>
              <w:rPr>
                <w:rFonts w:hint="eastAsia" w:ascii="宋体" w:hAnsi="宋体" w:eastAsia="宋体" w:cs="宋体"/>
                <w:b/>
                <w:bCs/>
                <w:kern w:val="0"/>
                <w:sz w:val="24"/>
                <w:szCs w:val="24"/>
              </w:rPr>
            </w:pPr>
            <w:r>
              <w:rPr>
                <w:rFonts w:hint="eastAsia" w:ascii="宋体" w:hAnsi="宋体" w:eastAsia="宋体" w:cs="宋体"/>
                <w:kern w:val="0"/>
                <w:sz w:val="24"/>
                <w:szCs w:val="24"/>
              </w:rPr>
              <w:t>5、AP支持Dot1x Client功能，AP在注册到AC之前需要通过有线1X认证，防止非授权AP或非法终端连接到内网提升网络安全，</w:t>
            </w:r>
            <w:r>
              <w:rPr>
                <w:rFonts w:hint="eastAsia" w:ascii="宋体" w:hAnsi="宋体" w:eastAsia="宋体" w:cs="宋体"/>
                <w:b/>
                <w:bCs/>
                <w:kern w:val="0"/>
                <w:sz w:val="24"/>
                <w:szCs w:val="24"/>
              </w:rPr>
              <w:t>要求提供工信部或下属实验室出具的第三方测试报告结果页复印件；</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6、支持OFDMA正交频分多址技术，AP可以将无线带宽细分，在同一时刻利用不同的子载波向多个终端传输数据，减少传统协议中多用户空口资源冲突及退避带来的延时，提高多用户场景下语音、视频等低延时应用的用户体验，</w:t>
            </w:r>
            <w:r>
              <w:rPr>
                <w:rFonts w:hint="eastAsia" w:ascii="宋体" w:hAnsi="宋体" w:eastAsia="宋体" w:cs="宋体"/>
                <w:b/>
                <w:bCs/>
                <w:kern w:val="0"/>
                <w:sz w:val="24"/>
                <w:szCs w:val="24"/>
              </w:rPr>
              <w:t>要求提供官网链接和截图证明；</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7、兼容性要求：</w:t>
            </w:r>
            <w:r>
              <w:rPr>
                <w:rFonts w:hint="eastAsia" w:ascii="宋体" w:hAnsi="宋体" w:eastAsia="宋体" w:cs="宋体"/>
                <w:b/>
                <w:bCs/>
                <w:kern w:val="0"/>
                <w:sz w:val="24"/>
                <w:szCs w:val="24"/>
              </w:rPr>
              <w:t>要求与核心交换机同一品牌。</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r>
      <w:tr>
        <w:tblPrEx>
          <w:tblCellMar>
            <w:top w:w="0" w:type="dxa"/>
            <w:left w:w="108" w:type="dxa"/>
            <w:bottom w:w="0" w:type="dxa"/>
            <w:right w:w="108" w:type="dxa"/>
          </w:tblCellMar>
        </w:tblPrEx>
        <w:trPr>
          <w:trHeight w:val="6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10</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室外ap</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1、工作模式：为保证整机接入用户数，要求AP采用双射频设计，可同时工作在802.11a/b/g/n/ac/ac wave2/ax模式，产品内置高增益定向天线，也支持外置可扩展天线，实现全向天线信号覆盖或更高增益定向天线，有效解决室外等恶劣环境场景不同WLAN覆盖需求，具备IP68防水防尘等级，</w:t>
            </w:r>
            <w:r>
              <w:rPr>
                <w:rFonts w:hint="eastAsia" w:ascii="宋体" w:hAnsi="宋体" w:eastAsia="宋体" w:cs="宋体"/>
                <w:b/>
                <w:bCs/>
                <w:kern w:val="0"/>
                <w:sz w:val="24"/>
                <w:szCs w:val="24"/>
              </w:rPr>
              <w:t>提供官网链接和截图证明；</w:t>
            </w:r>
            <w:r>
              <w:rPr>
                <w:rFonts w:hint="eastAsia" w:ascii="宋体" w:hAnsi="宋体" w:eastAsia="宋体" w:cs="宋体"/>
                <w:kern w:val="0"/>
                <w:sz w:val="24"/>
                <w:szCs w:val="24"/>
              </w:rPr>
              <w:t>实配POE供电模块；</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2、协商速率：双频4流设计，整机接入速率高可达2.4Gbps</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3、接口设计：支持≥3个接口，其中1个10/100/1000M光口接口，2个100/1000M电口，实配独立POE供电模块</w:t>
            </w:r>
          </w:p>
          <w:p>
            <w:pPr>
              <w:widowControl/>
              <w:snapToGrid w:val="0"/>
              <w:rPr>
                <w:rFonts w:hint="eastAsia" w:ascii="宋体" w:hAnsi="宋体" w:eastAsia="宋体" w:cs="宋体"/>
                <w:b/>
                <w:bCs/>
                <w:kern w:val="0"/>
                <w:sz w:val="24"/>
                <w:szCs w:val="24"/>
              </w:rPr>
            </w:pPr>
            <w:r>
              <w:rPr>
                <w:rFonts w:hint="eastAsia" w:ascii="宋体" w:hAnsi="宋体" w:eastAsia="宋体" w:cs="宋体"/>
                <w:kern w:val="0"/>
                <w:sz w:val="24"/>
                <w:szCs w:val="24"/>
              </w:rPr>
              <w:t>4、产品成熟度 要求投标产品为成熟产品，</w:t>
            </w:r>
            <w:r>
              <w:rPr>
                <w:rFonts w:hint="eastAsia" w:ascii="宋体" w:hAnsi="宋体" w:eastAsia="宋体" w:cs="宋体"/>
                <w:b/>
                <w:bCs/>
                <w:kern w:val="0"/>
                <w:sz w:val="24"/>
                <w:szCs w:val="24"/>
              </w:rPr>
              <w:t>投标设备必须持有国家工信部型号核准证复印件</w:t>
            </w:r>
            <w:r>
              <w:rPr>
                <w:rFonts w:hint="eastAsia" w:ascii="宋体" w:hAnsi="宋体" w:eastAsia="宋体" w:cs="宋体"/>
                <w:kern w:val="0"/>
                <w:sz w:val="24"/>
                <w:szCs w:val="24"/>
              </w:rPr>
              <w:t>；</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5、兼容性要求：：</w:t>
            </w:r>
            <w:r>
              <w:rPr>
                <w:rFonts w:hint="eastAsia" w:ascii="宋体" w:hAnsi="宋体" w:eastAsia="宋体" w:cs="宋体"/>
                <w:b/>
                <w:bCs/>
                <w:kern w:val="0"/>
                <w:sz w:val="24"/>
                <w:szCs w:val="24"/>
              </w:rPr>
              <w:t>要求与核心交换机同一品牌。</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26"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11</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面板ap</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1、采用整机双频4流设计，可同时工作在802.11a/b/g/n/ac/ac wave2/ax模式，</w:t>
            </w:r>
            <w:r>
              <w:rPr>
                <w:rFonts w:hint="eastAsia" w:ascii="宋体" w:hAnsi="宋体" w:eastAsia="宋体" w:cs="宋体"/>
                <w:b/>
                <w:bCs/>
                <w:kern w:val="0"/>
                <w:sz w:val="24"/>
                <w:szCs w:val="24"/>
              </w:rPr>
              <w:t>提供官网链接和截图证明；</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2、整机协商速率≥2.975Gbps，标准86*86形态Wi-Fi 6产品，</w:t>
            </w:r>
            <w:r>
              <w:rPr>
                <w:rFonts w:hint="eastAsia" w:ascii="宋体" w:hAnsi="宋体" w:eastAsia="宋体" w:cs="宋体"/>
                <w:b/>
                <w:bCs/>
                <w:kern w:val="0"/>
                <w:sz w:val="24"/>
                <w:szCs w:val="24"/>
              </w:rPr>
              <w:t>提供官网链接和截图证明；</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 xml:space="preserve">接口： </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正面：4个10/100/1000Mbps自协商以太网下行口；</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背面:2个10/100/1000Mbps自协商以太网上行口；</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3、支持基于空口利用率的SSID自动隐藏功能，当空口繁忙程度达到或超过配置的阈值时，SSID自动隐藏，为用户提供稳定可靠的无线服务，</w:t>
            </w:r>
            <w:r>
              <w:rPr>
                <w:rFonts w:hint="eastAsia" w:ascii="宋体" w:hAnsi="宋体" w:eastAsia="宋体" w:cs="宋体"/>
                <w:b/>
                <w:bCs/>
                <w:kern w:val="0"/>
                <w:sz w:val="24"/>
                <w:szCs w:val="24"/>
              </w:rPr>
              <w:t>要求提供工信部或下属实验室出具的第三方测试报告结果页复印件；</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4、支持WPA3个人级方式下的终端接入，支持WPA3企业级模式下的终端接入功能，</w:t>
            </w:r>
            <w:r>
              <w:rPr>
                <w:rFonts w:hint="eastAsia" w:ascii="宋体" w:hAnsi="宋体" w:eastAsia="宋体" w:cs="宋体"/>
                <w:b/>
                <w:bCs/>
                <w:kern w:val="0"/>
                <w:sz w:val="24"/>
                <w:szCs w:val="24"/>
              </w:rPr>
              <w:t>要求提供工信部或下属实验室出具的第三方测试报告结果页复印件；</w:t>
            </w:r>
          </w:p>
          <w:p>
            <w:pPr>
              <w:widowControl/>
              <w:snapToGrid w:val="0"/>
              <w:rPr>
                <w:rFonts w:hint="eastAsia" w:ascii="宋体" w:hAnsi="宋体" w:eastAsia="宋体" w:cs="宋体"/>
                <w:b/>
                <w:bCs/>
                <w:kern w:val="0"/>
                <w:sz w:val="24"/>
                <w:szCs w:val="24"/>
              </w:rPr>
            </w:pPr>
            <w:r>
              <w:rPr>
                <w:rFonts w:hint="eastAsia" w:ascii="宋体" w:hAnsi="宋体" w:eastAsia="宋体" w:cs="宋体"/>
                <w:kern w:val="0"/>
                <w:sz w:val="24"/>
                <w:szCs w:val="24"/>
              </w:rPr>
              <w:t>5、AP支持Dot1x Client功能，AP在注册到AC之前需要通过有线1X认证，防止非授权AP或非法终端连接到内网提升网络安全，</w:t>
            </w:r>
            <w:r>
              <w:rPr>
                <w:rFonts w:hint="eastAsia" w:ascii="宋体" w:hAnsi="宋体" w:eastAsia="宋体" w:cs="宋体"/>
                <w:b/>
                <w:bCs/>
                <w:kern w:val="0"/>
                <w:sz w:val="24"/>
                <w:szCs w:val="24"/>
              </w:rPr>
              <w:t>要求提供工信部或下属实验室出具的第三方测试报告结果页复印件；</w:t>
            </w:r>
          </w:p>
          <w:p>
            <w:pPr>
              <w:widowControl/>
              <w:snapToGrid w:val="0"/>
              <w:rPr>
                <w:rFonts w:hint="eastAsia" w:ascii="宋体" w:hAnsi="宋体" w:eastAsia="宋体" w:cs="宋体"/>
                <w:b/>
                <w:bCs/>
                <w:kern w:val="0"/>
                <w:sz w:val="24"/>
                <w:szCs w:val="24"/>
              </w:rPr>
            </w:pPr>
            <w:r>
              <w:rPr>
                <w:rFonts w:hint="eastAsia" w:ascii="宋体" w:hAnsi="宋体" w:eastAsia="宋体" w:cs="宋体"/>
                <w:kern w:val="0"/>
                <w:sz w:val="24"/>
                <w:szCs w:val="24"/>
              </w:rPr>
              <w:t>6、支持OFDMA正交频分多址技术，AP可以将无线带宽细分，在同一时刻利用不同的子载波向多个终端传输数据，减少传统协议中多用户空口资源冲突及退避带来的延时，提高多用户场景下语音、视频等低延时应用的用户体验，</w:t>
            </w:r>
            <w:r>
              <w:rPr>
                <w:rFonts w:hint="eastAsia" w:ascii="宋体" w:hAnsi="宋体" w:eastAsia="宋体" w:cs="宋体"/>
                <w:b/>
                <w:bCs/>
                <w:kern w:val="0"/>
                <w:sz w:val="24"/>
                <w:szCs w:val="24"/>
              </w:rPr>
              <w:t>要求提供官网链接和截图证明；</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7、兼容性要求：</w:t>
            </w:r>
            <w:r>
              <w:rPr>
                <w:rFonts w:hint="eastAsia" w:ascii="宋体" w:hAnsi="宋体" w:eastAsia="宋体" w:cs="宋体"/>
                <w:b/>
                <w:bCs/>
                <w:kern w:val="0"/>
                <w:sz w:val="24"/>
                <w:szCs w:val="24"/>
              </w:rPr>
              <w:t>要求与核心交换机同一品牌。</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50</w:t>
            </w:r>
          </w:p>
        </w:tc>
      </w:tr>
      <w:tr>
        <w:tblPrEx>
          <w:tblCellMar>
            <w:top w:w="0" w:type="dxa"/>
            <w:left w:w="108" w:type="dxa"/>
            <w:bottom w:w="0" w:type="dxa"/>
            <w:right w:w="108" w:type="dxa"/>
          </w:tblCellMar>
        </w:tblPrEx>
        <w:trPr>
          <w:trHeight w:val="6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12</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sz w:val="24"/>
                <w:szCs w:val="24"/>
              </w:rPr>
            </w:pPr>
            <w:r>
              <w:rPr>
                <w:rFonts w:hint="eastAsia" w:ascii="宋体" w:hAnsi="宋体" w:eastAsia="宋体" w:cs="宋体"/>
                <w:sz w:val="24"/>
                <w:szCs w:val="24"/>
              </w:rPr>
              <w:t>万兆防火墙</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b/>
                <w:bCs/>
                <w:sz w:val="24"/>
                <w:szCs w:val="24"/>
              </w:rPr>
            </w:pPr>
            <w:r>
              <w:rPr>
                <w:rFonts w:hint="eastAsia" w:ascii="宋体" w:hAnsi="宋体" w:eastAsia="宋体" w:cs="宋体"/>
                <w:sz w:val="24"/>
                <w:szCs w:val="24"/>
              </w:rPr>
              <w:t>1、规格要求：采用多核架构设计，吞吐量≥6G，最大并发连接数≥150万，每秒最大新建连接数≥3万；支持≥2MGMT+18GE+8Combo+4Bypass+2SFP+；实配存储容量≥480GB硬盘，实配双电源；实配3年IPS、AV防病毒特征库升级授权；要求型号官网可查</w:t>
            </w:r>
            <w:r>
              <w:rPr>
                <w:rFonts w:hint="eastAsia" w:ascii="宋体" w:hAnsi="宋体" w:eastAsia="宋体" w:cs="宋体"/>
                <w:b/>
                <w:bCs/>
                <w:sz w:val="24"/>
                <w:szCs w:val="24"/>
              </w:rPr>
              <w:t>（要求提供官网链接和截图证明）；</w:t>
            </w:r>
          </w:p>
          <w:p>
            <w:pPr>
              <w:widowControl/>
              <w:snapToGrid w:val="0"/>
              <w:rPr>
                <w:rFonts w:hint="eastAsia" w:ascii="宋体" w:hAnsi="宋体" w:eastAsia="宋体" w:cs="宋体"/>
                <w:sz w:val="24"/>
                <w:szCs w:val="24"/>
              </w:rPr>
            </w:pPr>
            <w:r>
              <w:rPr>
                <w:rFonts w:hint="eastAsia" w:ascii="宋体" w:hAnsi="宋体" w:eastAsia="宋体" w:cs="宋体"/>
                <w:sz w:val="24"/>
                <w:szCs w:val="24"/>
              </w:rPr>
              <w:t>2、可靠性：支持虚拟化堆叠（</w:t>
            </w:r>
            <w:r>
              <w:rPr>
                <w:rFonts w:hint="eastAsia" w:ascii="宋体" w:hAnsi="宋体" w:eastAsia="宋体" w:cs="宋体"/>
                <w:b/>
                <w:bCs/>
                <w:sz w:val="24"/>
                <w:szCs w:val="24"/>
              </w:rPr>
              <w:t>要求提供封面具有CMA或CNAS标志的权威检测机构的检测报告结果页复印件）；</w:t>
            </w:r>
          </w:p>
          <w:p>
            <w:pPr>
              <w:widowControl/>
              <w:snapToGrid w:val="0"/>
              <w:rPr>
                <w:rFonts w:hint="eastAsia" w:ascii="宋体" w:hAnsi="宋体" w:eastAsia="宋体" w:cs="宋体"/>
                <w:sz w:val="24"/>
                <w:szCs w:val="24"/>
              </w:rPr>
            </w:pPr>
            <w:r>
              <w:rPr>
                <w:rFonts w:hint="eastAsia" w:ascii="宋体" w:hAnsi="宋体" w:eastAsia="宋体" w:cs="宋体"/>
                <w:sz w:val="24"/>
                <w:szCs w:val="24"/>
              </w:rPr>
              <w:t>3、智能选路：要求支持IPsec VPN智能选路，根据隧道质量调度流量；</w:t>
            </w:r>
          </w:p>
          <w:p>
            <w:pPr>
              <w:widowControl/>
              <w:snapToGrid w:val="0"/>
              <w:rPr>
                <w:rFonts w:hint="eastAsia" w:ascii="宋体" w:hAnsi="宋体" w:eastAsia="宋体" w:cs="宋体"/>
                <w:b/>
                <w:bCs/>
                <w:sz w:val="24"/>
                <w:szCs w:val="24"/>
              </w:rPr>
            </w:pPr>
            <w:r>
              <w:rPr>
                <w:rFonts w:hint="eastAsia" w:ascii="宋体" w:hAnsi="宋体" w:eastAsia="宋体" w:cs="宋体"/>
                <w:sz w:val="24"/>
                <w:szCs w:val="24"/>
              </w:rPr>
              <w:t>★4、资源优化：支持Context+VRF二级虚拟化技术，支持CPU、内存、接口等硬件资源划分的完全虚拟化</w:t>
            </w:r>
            <w:r>
              <w:rPr>
                <w:rFonts w:hint="eastAsia" w:ascii="宋体" w:hAnsi="宋体" w:eastAsia="宋体" w:cs="宋体"/>
                <w:b/>
                <w:bCs/>
                <w:sz w:val="24"/>
                <w:szCs w:val="24"/>
              </w:rPr>
              <w:t>（要求提供封面具有CMA或CNAS标志的权威检测机构的检测报告结果页复印件）；</w:t>
            </w:r>
          </w:p>
          <w:p>
            <w:pPr>
              <w:widowControl/>
              <w:snapToGrid w:val="0"/>
              <w:rPr>
                <w:rFonts w:hint="eastAsia" w:ascii="宋体" w:hAnsi="宋体" w:eastAsia="宋体" w:cs="宋体"/>
                <w:sz w:val="24"/>
                <w:szCs w:val="24"/>
              </w:rPr>
            </w:pPr>
            <w:r>
              <w:rPr>
                <w:rFonts w:hint="eastAsia" w:ascii="宋体" w:hAnsi="宋体" w:eastAsia="宋体" w:cs="宋体"/>
                <w:sz w:val="24"/>
                <w:szCs w:val="24"/>
              </w:rPr>
              <w:t>5、WEB应用防护：支持SQL注入、跨站脚本、远程代码执行、字符编码等攻击的防护，支持对网络设备、网页服务器、数据库等设备的专属特征分类，支持CC攻击防护，可基于检测请求报文头的X-Forwarded-For字段，以获取真正的源IP地址，支持至少4000种的Web特征的攻击检测和防御；</w:t>
            </w:r>
          </w:p>
          <w:p>
            <w:pPr>
              <w:widowControl/>
              <w:snapToGrid w:val="0"/>
              <w:rPr>
                <w:rFonts w:hint="eastAsia" w:ascii="宋体" w:hAnsi="宋体" w:eastAsia="宋体" w:cs="宋体"/>
                <w:b/>
                <w:bCs/>
                <w:sz w:val="24"/>
                <w:szCs w:val="24"/>
              </w:rPr>
            </w:pPr>
            <w:r>
              <w:rPr>
                <w:rFonts w:hint="eastAsia" w:ascii="宋体" w:hAnsi="宋体" w:eastAsia="宋体" w:cs="宋体"/>
                <w:sz w:val="24"/>
                <w:szCs w:val="24"/>
              </w:rPr>
              <w:t>6、支持联动云端URL地址库进行全面实施核查</w:t>
            </w:r>
            <w:r>
              <w:rPr>
                <w:rFonts w:hint="eastAsia" w:ascii="宋体" w:hAnsi="宋体" w:eastAsia="宋体" w:cs="宋体"/>
                <w:b/>
                <w:bCs/>
                <w:sz w:val="24"/>
                <w:szCs w:val="24"/>
              </w:rPr>
              <w:t>（提供功能截图）；</w:t>
            </w:r>
          </w:p>
          <w:p>
            <w:pPr>
              <w:widowControl/>
              <w:snapToGrid w:val="0"/>
              <w:rPr>
                <w:rFonts w:hint="eastAsia" w:ascii="宋体" w:hAnsi="宋体" w:eastAsia="宋体" w:cs="宋体"/>
                <w:sz w:val="24"/>
                <w:szCs w:val="24"/>
              </w:rPr>
            </w:pPr>
            <w:r>
              <w:rPr>
                <w:rFonts w:hint="eastAsia" w:ascii="宋体" w:hAnsi="宋体" w:eastAsia="宋体" w:cs="宋体"/>
                <w:sz w:val="24"/>
                <w:szCs w:val="24"/>
              </w:rPr>
              <w:t>7、支持基于对包括但不限于操作系统、网络设备、办公软件、网页服务等保护对象的入侵防御策略，支持基于对漏洞、恶意文件、信息收集类攻击等的攻击分类的防护策略，支持基于服务器、客户端的防护策略，缺省动作支持黑名单；</w:t>
            </w:r>
          </w:p>
          <w:p>
            <w:pPr>
              <w:widowControl/>
              <w:snapToGrid w:val="0"/>
              <w:rPr>
                <w:rFonts w:hint="eastAsia" w:ascii="宋体" w:hAnsi="宋体" w:eastAsia="宋体" w:cs="宋体"/>
                <w:b/>
                <w:bCs/>
                <w:sz w:val="24"/>
                <w:szCs w:val="24"/>
              </w:rPr>
            </w:pPr>
            <w:r>
              <w:rPr>
                <w:rFonts w:hint="eastAsia" w:ascii="宋体" w:hAnsi="宋体" w:eastAsia="宋体" w:cs="宋体"/>
                <w:sz w:val="24"/>
                <w:szCs w:val="24"/>
              </w:rPr>
              <w:t>8、支持数据防泄露，对传输的文件和内容进行识别过滤，对内容与身份证号、信用卡号、银行卡号、手机号等类型进行匹配</w:t>
            </w:r>
            <w:r>
              <w:rPr>
                <w:rFonts w:hint="eastAsia" w:ascii="宋体" w:hAnsi="宋体" w:eastAsia="宋体" w:cs="宋体"/>
                <w:b/>
                <w:bCs/>
                <w:sz w:val="24"/>
                <w:szCs w:val="24"/>
              </w:rPr>
              <w:t>（提供功能截图）；</w:t>
            </w:r>
          </w:p>
          <w:p>
            <w:pPr>
              <w:widowControl/>
              <w:snapToGrid w:val="0"/>
              <w:rPr>
                <w:rFonts w:hint="eastAsia" w:ascii="宋体" w:hAnsi="宋体" w:eastAsia="宋体" w:cs="宋体"/>
                <w:sz w:val="24"/>
                <w:szCs w:val="24"/>
              </w:rPr>
            </w:pPr>
            <w:r>
              <w:rPr>
                <w:rFonts w:hint="eastAsia" w:ascii="宋体" w:hAnsi="宋体" w:eastAsia="宋体" w:cs="宋体"/>
                <w:sz w:val="24"/>
                <w:szCs w:val="24"/>
              </w:rPr>
              <w:t>9、支持HTTPS加密流量的安全检测，支持TCP代理和SSL代理，且代理策略中可同时配置多类过滤条件，具体包括：源安全域、目的安全域、源地址、目的地址、用户和服务，一类过滤条件可以配置多个匹配项；</w:t>
            </w:r>
          </w:p>
          <w:p>
            <w:pPr>
              <w:widowControl/>
              <w:snapToGrid w:val="0"/>
              <w:rPr>
                <w:rFonts w:hint="eastAsia" w:ascii="宋体" w:hAnsi="宋体" w:eastAsia="宋体" w:cs="宋体"/>
                <w:sz w:val="24"/>
                <w:szCs w:val="24"/>
              </w:rPr>
            </w:pPr>
            <w:r>
              <w:rPr>
                <w:rFonts w:hint="eastAsia" w:ascii="宋体" w:hAnsi="宋体" w:eastAsia="宋体" w:cs="宋体"/>
                <w:sz w:val="24"/>
                <w:szCs w:val="24"/>
              </w:rPr>
              <w:t>10、支持流量自学习功能，可设置自学习时间，并自动生成DDoS防范策略</w:t>
            </w:r>
            <w:r>
              <w:rPr>
                <w:rFonts w:hint="eastAsia" w:ascii="宋体" w:hAnsi="宋体" w:eastAsia="宋体" w:cs="宋体"/>
                <w:b/>
                <w:bCs/>
                <w:sz w:val="24"/>
                <w:szCs w:val="24"/>
              </w:rPr>
              <w:t>（提供功能截图）</w:t>
            </w:r>
          </w:p>
          <w:p>
            <w:pPr>
              <w:widowControl/>
              <w:snapToGrid w:val="0"/>
              <w:rPr>
                <w:rFonts w:hint="eastAsia" w:ascii="宋体" w:hAnsi="宋体" w:eastAsia="宋体" w:cs="宋体"/>
                <w:b/>
                <w:bCs/>
                <w:sz w:val="24"/>
                <w:szCs w:val="24"/>
              </w:rPr>
            </w:pPr>
            <w:r>
              <w:rPr>
                <w:rFonts w:hint="eastAsia" w:ascii="宋体" w:hAnsi="宋体" w:eastAsia="宋体" w:cs="宋体"/>
                <w:sz w:val="24"/>
                <w:szCs w:val="24"/>
              </w:rPr>
              <w:t>11、支持报文示踪功能，支持真实流量、导入报文、构造报文等方式，用于分析和追踪设备中各个安全业务模块，对报文的处理过程，通过查看报文示踪记录的详细信息，有利于管理员对网络故障的快速排查和定位</w:t>
            </w:r>
            <w:r>
              <w:rPr>
                <w:rFonts w:hint="eastAsia" w:ascii="宋体" w:hAnsi="宋体" w:eastAsia="宋体" w:cs="宋体"/>
                <w:b/>
                <w:bCs/>
                <w:sz w:val="24"/>
                <w:szCs w:val="24"/>
              </w:rPr>
              <w:t>（提供功能截图）；</w:t>
            </w:r>
          </w:p>
          <w:p>
            <w:pPr>
              <w:widowControl/>
              <w:snapToGrid w:val="0"/>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lang w:eastAsia="zh-CN"/>
              </w:rPr>
              <w:t>、</w:t>
            </w:r>
            <w:r>
              <w:rPr>
                <w:rFonts w:hint="eastAsia" w:ascii="宋体" w:hAnsi="宋体" w:eastAsia="宋体" w:cs="宋体"/>
                <w:b/>
                <w:bCs/>
                <w:sz w:val="24"/>
                <w:szCs w:val="24"/>
              </w:rPr>
              <w:t>兼容性要求：要求与核心交换机同一品牌。</w:t>
            </w:r>
          </w:p>
          <w:p>
            <w:pPr>
              <w:widowControl/>
              <w:snapToGrid w:val="0"/>
              <w:rPr>
                <w:rFonts w:hint="eastAsia" w:ascii="宋体" w:hAnsi="宋体" w:eastAsia="宋体" w:cs="宋体"/>
                <w:sz w:val="24"/>
                <w:szCs w:val="24"/>
                <w:lang w:val="en-US" w:eastAsia="zh-CN"/>
              </w:rPr>
            </w:pPr>
            <w:r>
              <w:rPr>
                <w:rFonts w:hint="eastAsia" w:ascii="宋体" w:hAnsi="宋体" w:eastAsia="宋体" w:cs="宋体"/>
                <w:sz w:val="24"/>
                <w:szCs w:val="24"/>
                <w:lang w:val="en-US"/>
              </w:rPr>
              <w:t>13</w:t>
            </w:r>
            <w:r>
              <w:rPr>
                <w:rFonts w:hint="eastAsia" w:ascii="宋体" w:hAnsi="宋体" w:eastAsia="宋体" w:cs="宋体"/>
                <w:sz w:val="24"/>
                <w:szCs w:val="24"/>
                <w:lang w:val="en-US" w:eastAsia="zh-CN"/>
              </w:rPr>
              <w:t>、</w:t>
            </w:r>
            <w:r>
              <w:rPr>
                <w:rFonts w:hint="eastAsia" w:ascii="宋体" w:hAnsi="宋体" w:eastAsia="宋体" w:cs="宋体"/>
                <w:b/>
                <w:bCs/>
                <w:color w:val="000000"/>
                <w:kern w:val="0"/>
                <w:sz w:val="24"/>
                <w:szCs w:val="24"/>
                <w:lang w:bidi="ar"/>
              </w:rPr>
              <w:t>3年整机质保，3年免费上门服务，投标时提供质保服务承诺</w:t>
            </w:r>
            <w:r>
              <w:rPr>
                <w:rFonts w:hint="eastAsia" w:ascii="宋体" w:hAnsi="宋体" w:eastAsia="宋体" w:cs="宋体"/>
                <w:b/>
                <w:bCs/>
                <w:color w:val="000000"/>
                <w:kern w:val="0"/>
                <w:sz w:val="24"/>
                <w:szCs w:val="24"/>
                <w:lang w:val="en-US" w:eastAsia="zh-CN" w:bidi="ar"/>
              </w:rPr>
              <w:t>函</w:t>
            </w:r>
            <w:r>
              <w:rPr>
                <w:rFonts w:hint="eastAsia" w:ascii="宋体" w:hAnsi="宋体" w:eastAsia="宋体" w:cs="宋体"/>
                <w:b/>
                <w:bCs/>
                <w:color w:val="000000"/>
                <w:kern w:val="0"/>
                <w:sz w:val="24"/>
                <w:szCs w:val="24"/>
                <w:lang w:bidi="ar"/>
              </w:rPr>
              <w:t>。</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6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13</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上网行为管理</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sz w:val="24"/>
                <w:szCs w:val="24"/>
              </w:rPr>
            </w:pPr>
            <w:r>
              <w:rPr>
                <w:rFonts w:hint="eastAsia" w:ascii="宋体" w:hAnsi="宋体" w:eastAsia="宋体" w:cs="宋体"/>
                <w:sz w:val="24"/>
                <w:szCs w:val="24"/>
              </w:rPr>
              <w:t>1、规格要求：采用非X86多核架构设计并型号官网可查</w:t>
            </w:r>
            <w:r>
              <w:rPr>
                <w:rFonts w:hint="eastAsia" w:ascii="宋体" w:hAnsi="宋体" w:eastAsia="宋体" w:cs="宋体"/>
                <w:b/>
                <w:bCs/>
                <w:sz w:val="24"/>
                <w:szCs w:val="24"/>
              </w:rPr>
              <w:t>（要求提供官网链接和截图证明）；</w:t>
            </w:r>
            <w:r>
              <w:rPr>
                <w:rFonts w:hint="eastAsia" w:ascii="宋体" w:hAnsi="宋体" w:eastAsia="宋体" w:cs="宋体"/>
                <w:sz w:val="24"/>
                <w:szCs w:val="24"/>
              </w:rPr>
              <w:t>吞吐量≥2.5G，支持审计≥1000人；支持≥10千兆电口+4个千兆光口；存储容量≥1TB；实配3年特征库升级授权；</w:t>
            </w:r>
          </w:p>
          <w:p>
            <w:pPr>
              <w:widowControl/>
              <w:snapToGrid w:val="0"/>
              <w:rPr>
                <w:rFonts w:hint="eastAsia" w:ascii="宋体" w:hAnsi="宋体" w:eastAsia="宋体" w:cs="宋体"/>
                <w:b/>
                <w:bCs/>
                <w:sz w:val="24"/>
                <w:szCs w:val="24"/>
              </w:rPr>
            </w:pPr>
            <w:r>
              <w:rPr>
                <w:rFonts w:hint="eastAsia" w:ascii="宋体" w:hAnsi="宋体" w:eastAsia="宋体" w:cs="宋体"/>
                <w:sz w:val="24"/>
                <w:szCs w:val="24"/>
              </w:rPr>
              <w:t>2、支持配置基于用户和应用均为任意的7元组的IPv6策略，支持全IPV6能力，产品能力包含上网行为审计、上网行为控制、流量控制、认证、日志、报表等</w:t>
            </w:r>
            <w:r>
              <w:rPr>
                <w:rFonts w:hint="eastAsia" w:ascii="宋体" w:hAnsi="宋体" w:eastAsia="宋体" w:cs="宋体"/>
                <w:b/>
                <w:bCs/>
                <w:sz w:val="24"/>
                <w:szCs w:val="24"/>
              </w:rPr>
              <w:t>（提供功能截图）；</w:t>
            </w:r>
          </w:p>
          <w:p>
            <w:pPr>
              <w:widowControl/>
              <w:snapToGrid w:val="0"/>
              <w:rPr>
                <w:rFonts w:hint="eastAsia" w:ascii="宋体" w:hAnsi="宋体" w:eastAsia="宋体" w:cs="宋体"/>
                <w:b/>
                <w:bCs/>
                <w:sz w:val="24"/>
                <w:szCs w:val="24"/>
              </w:rPr>
            </w:pPr>
            <w:r>
              <w:rPr>
                <w:rFonts w:hint="eastAsia" w:ascii="宋体" w:hAnsi="宋体" w:eastAsia="宋体" w:cs="宋体"/>
                <w:sz w:val="24"/>
                <w:szCs w:val="24"/>
              </w:rPr>
              <w:t>3、基于社区的网络特性，要求支持4G扩展网卡运行IPsecVPN、流量限额、服务器负载均衡、广告推送以及应用缓存、APP动态缓存等功能</w:t>
            </w:r>
            <w:r>
              <w:rPr>
                <w:rFonts w:hint="eastAsia" w:ascii="宋体" w:hAnsi="宋体" w:eastAsia="宋体" w:cs="宋体"/>
                <w:b/>
                <w:bCs/>
                <w:sz w:val="24"/>
                <w:szCs w:val="24"/>
              </w:rPr>
              <w:t>（要求提供封面具有CMA或CNAS标志的权威检测机构的检测报告结果页复印件）；</w:t>
            </w:r>
          </w:p>
          <w:p>
            <w:pPr>
              <w:widowControl/>
              <w:snapToGrid w:val="0"/>
              <w:rPr>
                <w:rFonts w:hint="eastAsia" w:ascii="宋体" w:hAnsi="宋体" w:eastAsia="宋体" w:cs="宋体"/>
                <w:sz w:val="24"/>
                <w:szCs w:val="24"/>
              </w:rPr>
            </w:pPr>
            <w:r>
              <w:rPr>
                <w:rFonts w:hint="eastAsia" w:ascii="宋体" w:hAnsi="宋体" w:eastAsia="宋体" w:cs="宋体"/>
                <w:sz w:val="24"/>
                <w:szCs w:val="24"/>
              </w:rPr>
              <w:t>4、支持首页大屏展示网络状态、包括在线用户、审计日志类别及数量、流量分析、违规用户信息（策略违规、共享违规、限额违规）等，支持显示系统信息、实时流量、系统资源、接口状态、用户TOP流量、应用TOP流量统计、系统日志信息、审计日志信息等；</w:t>
            </w:r>
          </w:p>
          <w:p>
            <w:pPr>
              <w:widowControl/>
              <w:snapToGrid w:val="0"/>
              <w:rPr>
                <w:rFonts w:hint="eastAsia" w:ascii="宋体" w:hAnsi="宋体" w:eastAsia="宋体" w:cs="宋体"/>
                <w:sz w:val="24"/>
                <w:szCs w:val="24"/>
              </w:rPr>
            </w:pPr>
            <w:r>
              <w:rPr>
                <w:rFonts w:hint="eastAsia" w:ascii="宋体" w:hAnsi="宋体" w:eastAsia="宋体" w:cs="宋体"/>
                <w:sz w:val="24"/>
                <w:szCs w:val="24"/>
              </w:rPr>
              <w:t>5、支持单用户全天行为分析报表，一个界面同时展示用户名、用户组、在线时长、虚拟身份（如QQ号码、微博账号等）、日志关联情况、全天流量使用分布、网站访问类别分布、全天关键网络行为轴等信息，支持对单用户进行网站访问质量检测</w:t>
            </w:r>
            <w:r>
              <w:rPr>
                <w:rFonts w:hint="eastAsia" w:ascii="宋体" w:hAnsi="宋体" w:eastAsia="宋体" w:cs="宋体"/>
                <w:b/>
                <w:bCs/>
                <w:sz w:val="24"/>
                <w:szCs w:val="24"/>
              </w:rPr>
              <w:t>（提供功能截图）；</w:t>
            </w:r>
            <w:r>
              <w:rPr>
                <w:rFonts w:hint="eastAsia" w:ascii="宋体" w:hAnsi="宋体" w:eastAsia="宋体" w:cs="宋体"/>
                <w:sz w:val="24"/>
                <w:szCs w:val="24"/>
              </w:rPr>
              <w:t>支持小时/天/周为单位的用户流量、应用流量、设备流量趋势图、列表TOP统计展示；支持用户虚拟身份画像，以时间轴的形式展示用户上网行为轨迹</w:t>
            </w:r>
            <w:r>
              <w:rPr>
                <w:rFonts w:hint="eastAsia" w:ascii="宋体" w:hAnsi="宋体" w:eastAsia="宋体" w:cs="宋体"/>
                <w:b/>
                <w:bCs/>
                <w:sz w:val="24"/>
                <w:szCs w:val="24"/>
              </w:rPr>
              <w:t>（提供功能截图）；</w:t>
            </w:r>
          </w:p>
          <w:p>
            <w:pPr>
              <w:widowControl/>
              <w:snapToGrid w:val="0"/>
              <w:rPr>
                <w:rFonts w:hint="eastAsia" w:ascii="宋体" w:hAnsi="宋体" w:eastAsia="宋体" w:cs="宋体"/>
                <w:sz w:val="24"/>
                <w:szCs w:val="24"/>
              </w:rPr>
            </w:pPr>
            <w:r>
              <w:rPr>
                <w:rFonts w:hint="eastAsia" w:ascii="宋体" w:hAnsi="宋体" w:eastAsia="宋体" w:cs="宋体"/>
                <w:sz w:val="24"/>
                <w:szCs w:val="24"/>
              </w:rPr>
              <w:t>6、针对特定无应用指纹的应用：迅雷、P2P下载支持行为模式的智能识别</w:t>
            </w:r>
            <w:r>
              <w:rPr>
                <w:rFonts w:hint="eastAsia" w:ascii="宋体" w:hAnsi="宋体" w:eastAsia="宋体" w:cs="宋体"/>
                <w:b/>
                <w:bCs/>
                <w:sz w:val="24"/>
                <w:szCs w:val="24"/>
              </w:rPr>
              <w:t>（提供功能截图）；</w:t>
            </w:r>
          </w:p>
          <w:p>
            <w:pPr>
              <w:widowControl/>
              <w:snapToGrid w:val="0"/>
              <w:rPr>
                <w:rFonts w:hint="eastAsia" w:ascii="宋体" w:hAnsi="宋体" w:eastAsia="宋体" w:cs="宋体"/>
                <w:sz w:val="24"/>
                <w:szCs w:val="24"/>
              </w:rPr>
            </w:pPr>
            <w:r>
              <w:rPr>
                <w:rFonts w:hint="eastAsia" w:ascii="宋体" w:hAnsi="宋体" w:eastAsia="宋体" w:cs="宋体"/>
                <w:sz w:val="24"/>
                <w:szCs w:val="24"/>
              </w:rPr>
              <w:t>7、支持对内网资产的IP、用户、部门、操作系统、重要程度、可用服务、是否可信进行统一梳理，发现问题资产支持阻断IP</w:t>
            </w:r>
            <w:r>
              <w:rPr>
                <w:rFonts w:hint="eastAsia" w:ascii="宋体" w:hAnsi="宋体" w:eastAsia="宋体" w:cs="宋体"/>
                <w:b/>
                <w:bCs/>
                <w:sz w:val="24"/>
                <w:szCs w:val="24"/>
              </w:rPr>
              <w:t>（提供功能截图）；</w:t>
            </w:r>
          </w:p>
          <w:p>
            <w:pPr>
              <w:widowControl/>
              <w:snapToGrid w:val="0"/>
              <w:rPr>
                <w:rFonts w:hint="eastAsia" w:ascii="宋体" w:hAnsi="宋体" w:eastAsia="宋体" w:cs="宋体"/>
                <w:sz w:val="24"/>
                <w:szCs w:val="24"/>
              </w:rPr>
            </w:pPr>
            <w:r>
              <w:rPr>
                <w:rFonts w:hint="eastAsia" w:ascii="宋体" w:hAnsi="宋体" w:eastAsia="宋体" w:cs="宋体"/>
                <w:sz w:val="24"/>
                <w:szCs w:val="24"/>
              </w:rPr>
              <w:t>8、</w:t>
            </w:r>
            <w:r>
              <w:rPr>
                <w:rFonts w:hint="eastAsia" w:asciiTheme="minorEastAsia" w:hAnsiTheme="minorEastAsia" w:eastAsiaTheme="minorEastAsia"/>
                <w:kern w:val="0"/>
                <w:sz w:val="24"/>
              </w:rPr>
              <w:t>★</w:t>
            </w:r>
            <w:r>
              <w:rPr>
                <w:rFonts w:hint="eastAsia" w:ascii="宋体" w:hAnsi="宋体" w:eastAsia="宋体" w:cs="宋体"/>
                <w:sz w:val="24"/>
                <w:szCs w:val="24"/>
              </w:rPr>
              <w:t>支持扩展终端水印功能，可实现对终端实现水印策略下发和调控</w:t>
            </w:r>
            <w:r>
              <w:rPr>
                <w:rFonts w:hint="eastAsia" w:ascii="宋体" w:hAnsi="宋体" w:eastAsia="宋体" w:cs="宋体"/>
                <w:b/>
                <w:bCs/>
                <w:sz w:val="24"/>
                <w:szCs w:val="24"/>
              </w:rPr>
              <w:t>（要求提供封面具有CMA或CNAS标志的权威检测机构的检测报告结果页复印件）；</w:t>
            </w:r>
          </w:p>
          <w:p>
            <w:pPr>
              <w:widowControl/>
              <w:numPr>
                <w:ilvl w:val="0"/>
                <w:numId w:val="3"/>
              </w:numPr>
              <w:snapToGrid w:val="0"/>
              <w:rPr>
                <w:rFonts w:hint="eastAsia" w:ascii="宋体" w:hAnsi="宋体" w:eastAsia="宋体" w:cs="宋体"/>
                <w:b/>
                <w:bCs/>
                <w:sz w:val="24"/>
                <w:szCs w:val="24"/>
              </w:rPr>
            </w:pPr>
            <w:r>
              <w:rPr>
                <w:rFonts w:hint="eastAsia" w:ascii="宋体" w:hAnsi="宋体" w:eastAsia="宋体" w:cs="宋体"/>
                <w:b/>
                <w:bCs/>
                <w:sz w:val="24"/>
                <w:szCs w:val="24"/>
              </w:rPr>
              <w:t>兼容性要求：要求与核心交换机同一品牌</w:t>
            </w:r>
            <w:r>
              <w:rPr>
                <w:rFonts w:hint="eastAsia" w:ascii="宋体" w:hAnsi="宋体" w:eastAsia="宋体" w:cs="宋体"/>
                <w:b/>
                <w:bCs/>
                <w:sz w:val="24"/>
                <w:szCs w:val="24"/>
                <w:lang w:eastAsia="zh-CN"/>
              </w:rPr>
              <w:t>；</w:t>
            </w:r>
          </w:p>
          <w:p>
            <w:pPr>
              <w:pStyle w:val="2"/>
              <w:numPr>
                <w:ilvl w:val="0"/>
                <w:numId w:val="3"/>
              </w:numPr>
              <w:rPr>
                <w:rFonts w:hint="eastAsia" w:ascii="宋体" w:hAnsi="宋体" w:eastAsia="宋体" w:cs="宋体"/>
                <w:sz w:val="24"/>
                <w:szCs w:val="24"/>
              </w:rPr>
            </w:pPr>
            <w:r>
              <w:rPr>
                <w:rFonts w:hint="eastAsia" w:ascii="宋体" w:hAnsi="宋体" w:eastAsia="宋体" w:cs="宋体"/>
                <w:b/>
                <w:bCs/>
                <w:color w:val="000000"/>
                <w:kern w:val="0"/>
                <w:sz w:val="24"/>
                <w:szCs w:val="24"/>
                <w:lang w:bidi="ar"/>
              </w:rPr>
              <w:t>3年整机质保，3年免费上门服务，投标时提供质保服务承诺</w:t>
            </w:r>
            <w:r>
              <w:rPr>
                <w:rFonts w:hint="eastAsia" w:ascii="宋体" w:hAnsi="宋体" w:eastAsia="宋体" w:cs="宋体"/>
                <w:b/>
                <w:bCs/>
                <w:color w:val="000000"/>
                <w:kern w:val="0"/>
                <w:sz w:val="24"/>
                <w:szCs w:val="24"/>
                <w:lang w:val="en-US" w:eastAsia="zh-CN" w:bidi="ar"/>
              </w:rPr>
              <w:t>函</w:t>
            </w:r>
            <w:r>
              <w:rPr>
                <w:rFonts w:hint="eastAsia" w:ascii="宋体" w:hAnsi="宋体" w:eastAsia="宋体" w:cs="宋体"/>
                <w:b/>
                <w:bCs/>
                <w:color w:val="000000"/>
                <w:kern w:val="0"/>
                <w:sz w:val="24"/>
                <w:szCs w:val="24"/>
                <w:lang w:bidi="ar"/>
              </w:rPr>
              <w:t>。</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6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万兆光模块</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SFP+ 万兆模块(1310nm,10km,LC)</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只</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65</w:t>
            </w:r>
          </w:p>
        </w:tc>
      </w:tr>
      <w:tr>
        <w:tblPrEx>
          <w:tblCellMar>
            <w:top w:w="0" w:type="dxa"/>
            <w:left w:w="108" w:type="dxa"/>
            <w:bottom w:w="0" w:type="dxa"/>
            <w:right w:w="108" w:type="dxa"/>
          </w:tblCellMar>
        </w:tblPrEx>
        <w:trPr>
          <w:trHeight w:val="6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15</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智能远程运维</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1、支持云端SaaS部署，根据用户业务需求，弹性提供数据存储空间，支持不同账户分级权限、不同功能灵活分配，支持通过4G加密隧道对用户信息系统基础设施进行远程维护管理</w:t>
            </w:r>
          </w:p>
          <w:p>
            <w:pPr>
              <w:widowControl/>
              <w:snapToGrid w:val="0"/>
              <w:rPr>
                <w:rFonts w:hint="eastAsia" w:ascii="宋体" w:hAnsi="宋体" w:eastAsia="宋体" w:cs="宋体"/>
                <w:b/>
                <w:bCs/>
                <w:kern w:val="0"/>
                <w:sz w:val="24"/>
                <w:szCs w:val="24"/>
              </w:rPr>
            </w:pPr>
            <w:r>
              <w:rPr>
                <w:rFonts w:hint="eastAsia" w:ascii="宋体" w:hAnsi="宋体" w:eastAsia="宋体" w:cs="宋体"/>
                <w:kern w:val="0"/>
                <w:sz w:val="24"/>
                <w:szCs w:val="24"/>
              </w:rPr>
              <w:t>★2、运维探针：基于LINUX内核系统，ARM架构，内置4G模块，支持7模全网通，1个RJ45网口，1个USB接口，1个RS232接口，1个RS485接口，1个自弹式SIM卡槽；支持TFTP功能，磁盘空间≥300M（</w:t>
            </w:r>
            <w:r>
              <w:rPr>
                <w:rFonts w:hint="eastAsia" w:ascii="宋体" w:hAnsi="宋体" w:eastAsia="宋体" w:cs="宋体"/>
                <w:b/>
                <w:bCs/>
                <w:kern w:val="0"/>
                <w:sz w:val="24"/>
                <w:szCs w:val="24"/>
              </w:rPr>
              <w:t>要求提供以上功能产品彩页及存储空间容量截图）；</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3、支持丰富的用户访问方式，PC机，IOS系统APP，安卓系统APP、微信小程序等；</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4、符合ITIL管理规范，支持一般IT服务流程，也可定制客户服务流程；</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5、支持多节点，无层次限制创建、删除、修改等服务流程管理；</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6、支持通过云端进行网络抓包、网络故障诊断、设备软件版本备份、升级功能；</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7、支持终端用户自服务服务请求提交功能；</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8、支持通过微信公众号进入小程序，并通过小程序在线提交工单功能，支持工单重新分配、工单升级、工单统计功能；</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9、提供客户关系维护模块，基于合同、基于服务级别的管理；</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10、提供服务单管理功能，自动追踪工单执行情况，并且有相关的统计、分析能力；</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11、支持终端设备的地图定位功能，支持终端设备在线状态显示；</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12、支持ssh、telnet隧道创建，支持自定义tcp/ip隧道创建，支持加密隧道创建数≥10个，支持隧道连接数统计，支持隧道流量监控</w:t>
            </w:r>
            <w:r>
              <w:rPr>
                <w:rFonts w:hint="eastAsia" w:ascii="宋体" w:hAnsi="宋体" w:eastAsia="宋体" w:cs="宋体"/>
                <w:b/>
                <w:bCs/>
                <w:kern w:val="0"/>
                <w:sz w:val="24"/>
                <w:szCs w:val="24"/>
              </w:rPr>
              <w:t>（要求提供功能截图）</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13、支持调试过程的云端录像审计功能，支持在线录像回放；</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14、支持根据硬件厂商设备序列号查询服务合同、维保信息等</w:t>
            </w:r>
            <w:r>
              <w:rPr>
                <w:rFonts w:hint="eastAsia" w:ascii="宋体" w:hAnsi="宋体" w:eastAsia="宋体" w:cs="宋体"/>
                <w:b/>
                <w:bCs/>
                <w:kern w:val="0"/>
                <w:sz w:val="24"/>
                <w:szCs w:val="24"/>
              </w:rPr>
              <w:t>（要求提供功能截图）</w:t>
            </w:r>
          </w:p>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15、支持硬件厂商工程师直接提供远程服务，支持临时组建专家团队进行多人会诊，支持通过系统不同级别管理员综合派单，使工程师能够快速接收对应工单，并实现远程登录设备，支持通过手机APP或公众号快速提交/派发工单，并实时查询工单处理进展，支持1年7×24小时远程技术支持，支持远程调试过程实时共享查看。</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项</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6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16</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kern w:val="0"/>
                <w:sz w:val="24"/>
                <w:szCs w:val="24"/>
              </w:rPr>
            </w:pPr>
            <w:r>
              <w:rPr>
                <w:rFonts w:hint="eastAsia" w:ascii="宋体" w:hAnsi="宋体" w:eastAsia="宋体" w:cs="宋体"/>
                <w:kern w:val="0"/>
                <w:sz w:val="24"/>
                <w:szCs w:val="24"/>
              </w:rPr>
              <w:t>安全运维设备</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eastAsia="宋体" w:cs="宋体"/>
                <w:sz w:val="24"/>
                <w:szCs w:val="24"/>
              </w:rPr>
            </w:pPr>
            <w:r>
              <w:rPr>
                <w:rFonts w:hint="eastAsia" w:ascii="宋体" w:hAnsi="宋体" w:eastAsia="宋体" w:cs="宋体"/>
                <w:sz w:val="24"/>
                <w:szCs w:val="24"/>
              </w:rPr>
              <w:t>1、身份认证硬件Key：配备2个身份认证硬件Key；</w:t>
            </w:r>
          </w:p>
          <w:p>
            <w:pPr>
              <w:widowControl/>
              <w:snapToGrid w:val="0"/>
              <w:rPr>
                <w:rFonts w:hint="eastAsia" w:ascii="宋体" w:hAnsi="宋体" w:eastAsia="宋体" w:cs="宋体"/>
                <w:sz w:val="24"/>
                <w:szCs w:val="24"/>
              </w:rPr>
            </w:pPr>
            <w:r>
              <w:rPr>
                <w:rFonts w:hint="eastAsia" w:ascii="宋体" w:hAnsi="宋体" w:eastAsia="宋体" w:cs="宋体"/>
                <w:sz w:val="24"/>
                <w:szCs w:val="24"/>
              </w:rPr>
              <w:t>2、安全功能：</w:t>
            </w:r>
            <w:r>
              <w:rPr>
                <w:rFonts w:hint="eastAsia" w:ascii="宋体" w:hAnsi="宋体" w:eastAsia="宋体" w:cs="宋体"/>
                <w:sz w:val="24"/>
                <w:szCs w:val="24"/>
              </w:rPr>
              <w:tab/>
            </w:r>
            <w:r>
              <w:rPr>
                <w:rFonts w:hint="eastAsia" w:ascii="宋体" w:hAnsi="宋体" w:eastAsia="宋体" w:cs="宋体"/>
                <w:sz w:val="24"/>
                <w:szCs w:val="24"/>
              </w:rPr>
              <w:t>支持数据立即销毁与定时销毁、备份/恢复、端口管理、安全日志等功能，实现在存储介质上划分出具备隐藏功能的存储空间，且该隐藏存储空间不可被格式化；</w:t>
            </w:r>
          </w:p>
          <w:p>
            <w:pPr>
              <w:widowControl/>
              <w:snapToGrid w:val="0"/>
              <w:rPr>
                <w:rFonts w:hint="eastAsia" w:ascii="宋体" w:hAnsi="宋体" w:eastAsia="宋体" w:cs="宋体"/>
                <w:sz w:val="24"/>
                <w:szCs w:val="24"/>
              </w:rPr>
            </w:pPr>
            <w:r>
              <w:rPr>
                <w:rFonts w:hint="eastAsia" w:ascii="宋体" w:hAnsi="宋体" w:eastAsia="宋体" w:cs="宋体"/>
                <w:sz w:val="24"/>
                <w:szCs w:val="24"/>
              </w:rPr>
              <w:t>3、操作系统：</w:t>
            </w:r>
            <w:r>
              <w:rPr>
                <w:rFonts w:hint="eastAsia" w:ascii="宋体" w:hAnsi="宋体" w:eastAsia="宋体" w:cs="宋体"/>
                <w:sz w:val="24"/>
                <w:szCs w:val="24"/>
              </w:rPr>
              <w:tab/>
            </w:r>
            <w:r>
              <w:rPr>
                <w:rFonts w:hint="eastAsia" w:ascii="宋体" w:hAnsi="宋体" w:eastAsia="宋体" w:cs="宋体"/>
                <w:sz w:val="24"/>
                <w:szCs w:val="24"/>
              </w:rPr>
              <w:t>支持 UOS/中科方德/WIN11，</w:t>
            </w:r>
            <w:r>
              <w:rPr>
                <w:rFonts w:hint="eastAsia" w:ascii="宋体" w:hAnsi="宋体" w:eastAsia="宋体" w:cs="宋体"/>
                <w:b/>
                <w:bCs/>
                <w:sz w:val="24"/>
                <w:szCs w:val="24"/>
              </w:rPr>
              <w:t>并能提供国产操作系统相互认证证书；</w:t>
            </w:r>
          </w:p>
          <w:p>
            <w:pPr>
              <w:widowControl/>
              <w:snapToGrid w:val="0"/>
              <w:rPr>
                <w:rFonts w:hint="eastAsia" w:ascii="宋体" w:hAnsi="宋体" w:eastAsia="宋体" w:cs="宋体"/>
                <w:b/>
                <w:bCs/>
                <w:sz w:val="24"/>
                <w:szCs w:val="24"/>
                <w:highlight w:val="none"/>
              </w:rPr>
            </w:pPr>
            <w:r>
              <w:rPr>
                <w:rFonts w:hint="eastAsia" w:ascii="宋体" w:hAnsi="宋体" w:eastAsia="宋体" w:cs="宋体"/>
                <w:b/>
                <w:bCs/>
                <w:sz w:val="24"/>
                <w:szCs w:val="24"/>
              </w:rPr>
              <w:t>4、★</w:t>
            </w:r>
            <w:r>
              <w:rPr>
                <w:rFonts w:hint="eastAsia" w:ascii="宋体" w:hAnsi="宋体" w:eastAsia="宋体" w:cs="宋体"/>
                <w:sz w:val="24"/>
                <w:szCs w:val="24"/>
              </w:rPr>
              <w:t>支持对用户</w:t>
            </w:r>
            <w:r>
              <w:rPr>
                <w:rFonts w:hint="eastAsia" w:ascii="宋体" w:hAnsi="宋体" w:eastAsia="宋体" w:cs="宋体"/>
                <w:sz w:val="24"/>
                <w:szCs w:val="24"/>
                <w:highlight w:val="none"/>
              </w:rPr>
              <w:t>的敏感数据提供芯片级数据防护，提供对敏感数据进行隐藏、销毁等防护手段</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支持数据销毁，实现秒级数据销毁，可提供立即销毁、定时销毁等，真正做到及时止损，支持对用户的隐私数据提供芯片级数据防护，提供对隐私数据进行隐藏、销毁等防护手段</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投标时</w:t>
            </w:r>
            <w:r>
              <w:rPr>
                <w:rFonts w:hint="eastAsia" w:ascii="宋体" w:hAnsi="宋体" w:eastAsia="宋体" w:cs="宋体"/>
                <w:b/>
                <w:bCs/>
                <w:sz w:val="24"/>
                <w:szCs w:val="24"/>
                <w:highlight w:val="none"/>
              </w:rPr>
              <w:t>提供</w:t>
            </w:r>
            <w:r>
              <w:rPr>
                <w:rFonts w:hint="eastAsia" w:ascii="宋体" w:hAnsi="宋体" w:eastAsia="宋体" w:cs="宋体"/>
                <w:b/>
                <w:bCs/>
                <w:sz w:val="24"/>
                <w:szCs w:val="24"/>
                <w:highlight w:val="none"/>
                <w:lang w:val="en-US" w:eastAsia="zh-CN"/>
              </w:rPr>
              <w:t>相关证明材料；</w:t>
            </w:r>
          </w:p>
          <w:p>
            <w:pPr>
              <w:widowControl/>
              <w:snapToGrid w:val="0"/>
              <w:rPr>
                <w:rFonts w:hint="eastAsia" w:ascii="宋体" w:hAnsi="宋体" w:eastAsia="宋体" w:cs="宋体"/>
                <w:sz w:val="24"/>
                <w:szCs w:val="24"/>
              </w:rPr>
            </w:pPr>
            <w:r>
              <w:rPr>
                <w:rFonts w:hint="eastAsia" w:ascii="宋体" w:hAnsi="宋体" w:eastAsia="宋体" w:cs="宋体"/>
                <w:b/>
                <w:bCs/>
                <w:sz w:val="24"/>
                <w:szCs w:val="24"/>
                <w:highlight w:val="none"/>
              </w:rPr>
              <w:t>5、</w:t>
            </w:r>
            <w:r>
              <w:rPr>
                <w:rFonts w:hint="eastAsia" w:ascii="宋体" w:hAnsi="宋体" w:eastAsia="宋体" w:cs="宋体"/>
                <w:b/>
                <w:bCs/>
                <w:kern w:val="0"/>
                <w:sz w:val="24"/>
                <w:szCs w:val="24"/>
              </w:rPr>
              <w:t>要求提供封面具有CMA或CNAS标志的权威检测机构的检测报告</w:t>
            </w:r>
            <w:r>
              <w:rPr>
                <w:rFonts w:hint="eastAsia" w:ascii="宋体" w:hAnsi="宋体" w:eastAsia="宋体" w:cs="宋体"/>
                <w:sz w:val="24"/>
                <w:szCs w:val="24"/>
              </w:rPr>
              <w:t>。</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66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17</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文档管理主机</w:t>
            </w:r>
          </w:p>
        </w:tc>
        <w:tc>
          <w:tcPr>
            <w:tcW w:w="608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1、配置≥2颗Intel 4210R CPU，每颗CPU核心数≥10核，每颗CPU主频≥2.4GHz，每颗CPU三级缓存≥13.75MB；</w:t>
            </w:r>
          </w:p>
          <w:p>
            <w:pPr>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2、配置≥128GB DDR4内存，支持≥24个内存插槽，最大可支持2TB内存容量，支持内存ECC保护、内存镜像、内存热备；</w:t>
            </w:r>
          </w:p>
          <w:p>
            <w:pPr>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3、配置两块480G SSD硬盘；</w:t>
            </w:r>
          </w:p>
          <w:p>
            <w:pPr>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4、配置八口 sas Raid卡，做Raid0 1 10等；</w:t>
            </w:r>
          </w:p>
          <w:p>
            <w:pPr>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5、配置I350芯片高端双口千兆网卡，配置双口万兆光纤网卡；</w:t>
            </w:r>
          </w:p>
          <w:p>
            <w:pPr>
              <w:jc w:val="left"/>
              <w:rPr>
                <w:rFonts w:hint="eastAsia" w:ascii="宋体" w:hAnsi="宋体" w:eastAsia="宋体" w:cs="宋体"/>
                <w:b/>
                <w:bCs/>
                <w:color w:val="000000"/>
                <w:kern w:val="0"/>
                <w:sz w:val="24"/>
                <w:szCs w:val="24"/>
                <w:lang w:bidi="ar"/>
              </w:rPr>
            </w:pPr>
            <w:r>
              <w:rPr>
                <w:rFonts w:hint="eastAsia" w:ascii="宋体" w:hAnsi="宋体" w:eastAsia="宋体" w:cs="宋体"/>
                <w:color w:val="000000"/>
                <w:kern w:val="0"/>
                <w:sz w:val="24"/>
                <w:szCs w:val="24"/>
                <w:lang w:bidi="ar"/>
              </w:rPr>
              <w:t>6、配置热插拔铂金1+1冗余电源，单个电源功率≥550W，提供文档管理主机电源认证，支持400W BBU电池单元，提供二次备援功能支持400W BBU电池单元，提供二次备援功能，</w:t>
            </w:r>
            <w:r>
              <w:rPr>
                <w:rFonts w:hint="eastAsia" w:ascii="宋体" w:hAnsi="宋体" w:eastAsia="宋体" w:cs="宋体"/>
                <w:b/>
                <w:bCs/>
                <w:color w:val="000000"/>
                <w:kern w:val="0"/>
                <w:sz w:val="24"/>
                <w:szCs w:val="24"/>
                <w:lang w:bidi="ar"/>
              </w:rPr>
              <w:t>并提供支持该配置证明文件；</w:t>
            </w:r>
          </w:p>
          <w:p>
            <w:pPr>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7、支持离线光诊断功能，可断电环境下诊断主板关键信息故障；黑匣子日志、故障截屏、开机自检代码，有效判断分析软硬件故障；</w:t>
            </w:r>
          </w:p>
          <w:p>
            <w:pPr>
              <w:pStyle w:val="2"/>
              <w:spacing w:line="240" w:lineRule="auto"/>
              <w:rPr>
                <w:rFonts w:hint="eastAsia" w:ascii="宋体" w:hAnsi="宋体" w:eastAsia="宋体" w:cs="宋体"/>
                <w:snapToGrid/>
                <w:color w:val="000000"/>
                <w:kern w:val="0"/>
                <w:sz w:val="24"/>
                <w:szCs w:val="24"/>
                <w:lang w:val="en-US" w:bidi="ar"/>
              </w:rPr>
            </w:pPr>
            <w:r>
              <w:rPr>
                <w:rFonts w:hint="eastAsia" w:ascii="宋体" w:hAnsi="宋体" w:eastAsia="宋体" w:cs="宋体"/>
                <w:snapToGrid/>
                <w:color w:val="000000"/>
                <w:kern w:val="0"/>
                <w:sz w:val="24"/>
                <w:szCs w:val="24"/>
                <w:lang w:val="en-US" w:bidi="ar"/>
              </w:rPr>
              <w:t>8、主板支持双SD卡插槽，可实现存储系统日志及BMC日志，存储的日志条，</w:t>
            </w:r>
            <w:r>
              <w:rPr>
                <w:rFonts w:hint="eastAsia" w:ascii="宋体" w:hAnsi="宋体" w:eastAsia="宋体" w:cs="宋体"/>
                <w:b/>
                <w:bCs/>
                <w:snapToGrid/>
                <w:color w:val="000000"/>
                <w:kern w:val="0"/>
                <w:sz w:val="24"/>
                <w:szCs w:val="24"/>
                <w:lang w:val="en-US" w:bidi="ar"/>
              </w:rPr>
              <w:t>须提供功能截图；</w:t>
            </w:r>
          </w:p>
          <w:p>
            <w:pPr>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支持独立的远程管理控制端口，实现与操作系统无关的远程对主机的完全控制，远程开机、关机、重启、虚拟设备挂载等操作；实时监控主机内部关键部件运行状态和温度信息，CPU、内存、硬盘、风扇、电源、扩展卡；</w:t>
            </w:r>
          </w:p>
          <w:p>
            <w:pPr>
              <w:jc w:val="left"/>
              <w:rPr>
                <w:rFonts w:hint="eastAsia" w:ascii="宋体" w:hAnsi="宋体" w:eastAsia="宋体" w:cs="宋体"/>
                <w:b/>
                <w:bCs/>
                <w:color w:val="000000"/>
                <w:kern w:val="0"/>
                <w:sz w:val="24"/>
                <w:szCs w:val="24"/>
                <w:lang w:bidi="ar"/>
              </w:rPr>
            </w:pPr>
            <w:r>
              <w:rPr>
                <w:rFonts w:hint="eastAsia" w:ascii="宋体" w:hAnsi="宋体" w:eastAsia="宋体" w:cs="宋体"/>
                <w:color w:val="000000"/>
                <w:kern w:val="0"/>
                <w:sz w:val="24"/>
                <w:szCs w:val="24"/>
                <w:lang w:bidi="ar"/>
              </w:rPr>
              <w:t>10、配置同品牌大数据数据交互功能模块（基于oozie_sqoop）</w:t>
            </w:r>
            <w:r>
              <w:rPr>
                <w:rFonts w:hint="eastAsia" w:ascii="宋体" w:hAnsi="宋体" w:eastAsia="宋体" w:cs="宋体"/>
                <w:b/>
                <w:bCs/>
                <w:color w:val="000000"/>
                <w:kern w:val="0"/>
                <w:sz w:val="24"/>
                <w:szCs w:val="24"/>
                <w:lang w:bidi="ar"/>
              </w:rPr>
              <w:t>提供功能截图；</w:t>
            </w:r>
          </w:p>
          <w:p>
            <w:pPr>
              <w:jc w:val="left"/>
              <w:rPr>
                <w:rFonts w:hint="eastAsia" w:ascii="宋体" w:hAnsi="宋体" w:eastAsia="宋体" w:cs="宋体"/>
                <w:kern w:val="0"/>
                <w:sz w:val="24"/>
                <w:szCs w:val="24"/>
              </w:rPr>
            </w:pPr>
            <w:r>
              <w:rPr>
                <w:rFonts w:hint="eastAsia" w:ascii="宋体" w:hAnsi="宋体" w:eastAsia="宋体" w:cs="宋体"/>
                <w:color w:val="000000"/>
                <w:kern w:val="0"/>
                <w:sz w:val="24"/>
                <w:szCs w:val="24"/>
                <w:lang w:bidi="ar"/>
              </w:rPr>
              <w:t>11、</w:t>
            </w:r>
            <w:r>
              <w:rPr>
                <w:rFonts w:hint="eastAsia" w:ascii="宋体" w:hAnsi="宋体" w:eastAsia="宋体" w:cs="宋体"/>
                <w:b/>
                <w:bCs/>
                <w:kern w:val="0"/>
                <w:sz w:val="24"/>
                <w:szCs w:val="24"/>
              </w:rPr>
              <w:t>安全防护软件：</w:t>
            </w:r>
            <w:r>
              <w:rPr>
                <w:rFonts w:hint="eastAsia" w:ascii="宋体" w:hAnsi="宋体" w:eastAsia="宋体" w:cs="宋体"/>
                <w:kern w:val="0"/>
                <w:sz w:val="24"/>
                <w:szCs w:val="24"/>
              </w:rPr>
              <w:t>提供</w:t>
            </w:r>
            <w:r>
              <w:rPr>
                <w:rFonts w:hint="eastAsia" w:ascii="宋体" w:hAnsi="宋体" w:eastAsia="宋体" w:cs="宋体"/>
                <w:color w:val="000000"/>
                <w:sz w:val="24"/>
                <w:szCs w:val="24"/>
              </w:rPr>
              <w:t>文档管理主机</w:t>
            </w:r>
            <w:r>
              <w:rPr>
                <w:rFonts w:hint="eastAsia" w:ascii="宋体" w:hAnsi="宋体" w:eastAsia="宋体" w:cs="宋体"/>
                <w:color w:val="000000"/>
                <w:kern w:val="0"/>
                <w:sz w:val="24"/>
                <w:szCs w:val="24"/>
                <w:lang w:bidi="ar"/>
              </w:rPr>
              <w:t>兼容</w:t>
            </w:r>
            <w:r>
              <w:rPr>
                <w:rFonts w:hint="eastAsia" w:ascii="宋体" w:hAnsi="宋体" w:eastAsia="宋体" w:cs="宋体"/>
                <w:kern w:val="0"/>
                <w:sz w:val="24"/>
                <w:szCs w:val="24"/>
              </w:rPr>
              <w:t>软件，</w:t>
            </w:r>
            <w:r>
              <w:rPr>
                <w:rFonts w:hint="eastAsia" w:ascii="宋体" w:hAnsi="宋体" w:eastAsia="宋体" w:cs="宋体"/>
                <w:b/>
                <w:bCs/>
                <w:kern w:val="0"/>
                <w:sz w:val="24"/>
                <w:szCs w:val="24"/>
              </w:rPr>
              <w:t>并提供软件主界面截图，功能如下：</w:t>
            </w:r>
            <w:r>
              <w:rPr>
                <w:rFonts w:hint="eastAsia" w:ascii="宋体" w:hAnsi="宋体" w:eastAsia="宋体" w:cs="宋体"/>
                <w:kern w:val="0"/>
                <w:sz w:val="24"/>
                <w:szCs w:val="24"/>
              </w:rPr>
              <w:t xml:space="preserve">                                                                  1）主机优化功能，提升主机系统安全</w:t>
            </w:r>
            <w:r>
              <w:rPr>
                <w:rFonts w:hint="eastAsia" w:ascii="宋体" w:hAnsi="宋体" w:eastAsia="宋体" w:cs="宋体"/>
                <w:b/>
                <w:bCs/>
                <w:kern w:val="0"/>
                <w:sz w:val="24"/>
                <w:szCs w:val="24"/>
              </w:rPr>
              <w:t>（提供截图）</w:t>
            </w:r>
            <w:r>
              <w:rPr>
                <w:rFonts w:hint="eastAsia" w:ascii="宋体" w:hAnsi="宋体" w:eastAsia="宋体" w:cs="宋体"/>
                <w:kern w:val="0"/>
                <w:sz w:val="24"/>
                <w:szCs w:val="24"/>
              </w:rPr>
              <w:t>；</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2）网络防火墙功能，三层防护层层过滤，为主机网络安全保驾护航</w:t>
            </w:r>
            <w:r>
              <w:rPr>
                <w:rFonts w:hint="eastAsia" w:ascii="宋体" w:hAnsi="宋体" w:eastAsia="宋体" w:cs="宋体"/>
                <w:b/>
                <w:bCs/>
                <w:kern w:val="0"/>
                <w:sz w:val="24"/>
                <w:szCs w:val="24"/>
              </w:rPr>
              <w:t>（提供截图）</w:t>
            </w:r>
            <w:r>
              <w:rPr>
                <w:rFonts w:hint="eastAsia" w:ascii="宋体" w:hAnsi="宋体" w:eastAsia="宋体" w:cs="宋体"/>
                <w:kern w:val="0"/>
                <w:sz w:val="24"/>
                <w:szCs w:val="24"/>
              </w:rPr>
              <w:t>；</w:t>
            </w:r>
          </w:p>
          <w:p>
            <w:pPr>
              <w:jc w:val="left"/>
              <w:rPr>
                <w:rFonts w:hint="eastAsia" w:ascii="宋体" w:hAnsi="宋体" w:eastAsia="宋体" w:cs="宋体"/>
                <w:kern w:val="0"/>
                <w:sz w:val="24"/>
                <w:szCs w:val="24"/>
              </w:rPr>
            </w:pPr>
            <w:r>
              <w:rPr>
                <w:rFonts w:hint="eastAsia" w:ascii="宋体" w:hAnsi="宋体" w:eastAsia="宋体" w:cs="宋体"/>
                <w:kern w:val="0"/>
                <w:sz w:val="24"/>
                <w:szCs w:val="24"/>
              </w:rPr>
              <w:t>3）数据保护功能，防止数据恶意窃取及篡改</w:t>
            </w:r>
            <w:r>
              <w:rPr>
                <w:rFonts w:hint="eastAsia" w:ascii="宋体" w:hAnsi="宋体" w:eastAsia="宋体" w:cs="宋体"/>
                <w:b/>
                <w:bCs/>
                <w:kern w:val="0"/>
                <w:sz w:val="24"/>
                <w:szCs w:val="24"/>
              </w:rPr>
              <w:t>（提供截图）</w:t>
            </w:r>
            <w:r>
              <w:rPr>
                <w:rFonts w:hint="eastAsia" w:ascii="宋体" w:hAnsi="宋体" w:eastAsia="宋体" w:cs="宋体"/>
                <w:kern w:val="0"/>
                <w:sz w:val="24"/>
                <w:szCs w:val="24"/>
              </w:rPr>
              <w:t>；</w:t>
            </w:r>
          </w:p>
          <w:p>
            <w:pPr>
              <w:widowControl/>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4）日志审计功能，防护日志记录主机被攻击情况</w:t>
            </w:r>
            <w:r>
              <w:rPr>
                <w:rFonts w:hint="eastAsia" w:ascii="宋体" w:hAnsi="宋体" w:eastAsia="宋体" w:cs="宋体"/>
                <w:b/>
                <w:bCs/>
                <w:kern w:val="0"/>
                <w:sz w:val="24"/>
                <w:szCs w:val="24"/>
              </w:rPr>
              <w:t>（提供截图）</w:t>
            </w:r>
            <w:r>
              <w:rPr>
                <w:rFonts w:hint="eastAsia" w:ascii="宋体" w:hAnsi="宋体" w:eastAsia="宋体" w:cs="宋体"/>
                <w:kern w:val="0"/>
                <w:sz w:val="24"/>
                <w:szCs w:val="24"/>
              </w:rPr>
              <w:t>；</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b/>
                <w:bCs/>
                <w:color w:val="000000"/>
                <w:kern w:val="0"/>
                <w:sz w:val="24"/>
                <w:szCs w:val="24"/>
                <w:lang w:bidi="ar"/>
              </w:rPr>
              <w:t>12、3年整机质保，3年免费上门服务，投标时提供质保服务承诺</w:t>
            </w:r>
            <w:r>
              <w:rPr>
                <w:rFonts w:hint="eastAsia" w:ascii="宋体" w:hAnsi="宋体" w:eastAsia="宋体" w:cs="宋体"/>
                <w:b/>
                <w:bCs/>
                <w:color w:val="000000"/>
                <w:kern w:val="0"/>
                <w:sz w:val="24"/>
                <w:szCs w:val="24"/>
                <w:lang w:val="en-US" w:eastAsia="zh-CN" w:bidi="ar"/>
              </w:rPr>
              <w:t>函</w:t>
            </w:r>
            <w:r>
              <w:rPr>
                <w:rFonts w:hint="eastAsia" w:ascii="宋体" w:hAnsi="宋体" w:eastAsia="宋体" w:cs="宋体"/>
                <w:b/>
                <w:bCs/>
                <w:color w:val="000000"/>
                <w:kern w:val="0"/>
                <w:sz w:val="24"/>
                <w:szCs w:val="24"/>
                <w:lang w:bidi="ar"/>
              </w:rPr>
              <w:t>。</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3</w:t>
            </w:r>
          </w:p>
        </w:tc>
      </w:tr>
      <w:tr>
        <w:tblPrEx>
          <w:tblCellMar>
            <w:top w:w="0" w:type="dxa"/>
            <w:left w:w="108" w:type="dxa"/>
            <w:bottom w:w="0" w:type="dxa"/>
            <w:right w:w="108" w:type="dxa"/>
          </w:tblCellMar>
        </w:tblPrEx>
        <w:trPr>
          <w:trHeight w:val="66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18</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文档管理系统</w:t>
            </w:r>
          </w:p>
        </w:tc>
        <w:tc>
          <w:tcPr>
            <w:tcW w:w="6084" w:type="dxa"/>
            <w:tcBorders>
              <w:top w:val="single" w:color="000000" w:sz="4" w:space="0"/>
              <w:left w:val="single" w:color="000000" w:sz="4" w:space="0"/>
              <w:bottom w:val="single" w:color="000000" w:sz="4" w:space="0"/>
              <w:right w:val="single" w:color="000000" w:sz="4" w:space="0"/>
            </w:tcBorders>
            <w:vAlign w:val="center"/>
          </w:tcPr>
          <w:p>
            <w:pPr>
              <w:spacing w:line="276" w:lineRule="auto"/>
              <w:rPr>
                <w:rFonts w:hint="eastAsia" w:ascii="宋体" w:hAnsi="宋体" w:eastAsia="宋体" w:cs="宋体"/>
                <w:sz w:val="24"/>
                <w:szCs w:val="24"/>
              </w:rPr>
            </w:pPr>
            <w:r>
              <w:rPr>
                <w:rFonts w:hint="eastAsia" w:ascii="宋体" w:hAnsi="宋体" w:eastAsia="宋体" w:cs="宋体"/>
                <w:sz w:val="24"/>
                <w:szCs w:val="24"/>
              </w:rPr>
              <w:t>1. 产品配置：本次配置3套文档管理系统软件组成集群，配置300用户授权，系统管理可以通过登录Web，统一管理集群系统、云共享服务（包括创建用户部门、自定义文档库、权限管理、访问控制、安全访问管理控制等、访问日志）</w:t>
            </w:r>
            <w:r>
              <w:rPr>
                <w:rFonts w:hint="eastAsia" w:ascii="宋体" w:hAnsi="宋体" w:eastAsia="宋体" w:cs="宋体"/>
                <w:b/>
                <w:bCs/>
                <w:sz w:val="24"/>
                <w:szCs w:val="24"/>
              </w:rPr>
              <w:t>，提供系统功能界面截图；</w:t>
            </w:r>
          </w:p>
          <w:p>
            <w:pPr>
              <w:spacing w:line="276" w:lineRule="auto"/>
              <w:rPr>
                <w:rFonts w:hint="eastAsia" w:ascii="宋体" w:hAnsi="宋体" w:eastAsia="宋体" w:cs="宋体"/>
                <w:sz w:val="24"/>
                <w:szCs w:val="24"/>
              </w:rPr>
            </w:pPr>
            <w:r>
              <w:rPr>
                <w:rFonts w:hint="eastAsia" w:ascii="宋体" w:hAnsi="宋体" w:eastAsia="宋体" w:cs="宋体"/>
                <w:sz w:val="24"/>
                <w:szCs w:val="24"/>
              </w:rPr>
              <w:t>3.产品架构：要求采用开放的云存储集群架构，支持Scale-Out方式扩展，采用分布式数据处理机制，实现数据的并行处理，支持文件重复数据删除技术，相同的文件只上传一次，对于重复上传者而言实现文件的秒传。</w:t>
            </w:r>
            <w:r>
              <w:rPr>
                <w:rFonts w:hint="eastAsia" w:ascii="宋体" w:hAnsi="宋体" w:eastAsia="宋体" w:cs="宋体"/>
                <w:b/>
                <w:bCs/>
                <w:sz w:val="24"/>
                <w:szCs w:val="24"/>
              </w:rPr>
              <w:t>需提供数据重删操作界面截图；</w:t>
            </w:r>
          </w:p>
          <w:p>
            <w:pPr>
              <w:spacing w:line="276" w:lineRule="auto"/>
              <w:rPr>
                <w:rFonts w:hint="eastAsia" w:ascii="宋体" w:hAnsi="宋体" w:eastAsia="宋体" w:cs="宋体"/>
                <w:sz w:val="24"/>
                <w:szCs w:val="24"/>
              </w:rPr>
            </w:pPr>
            <w:r>
              <w:rPr>
                <w:rFonts w:hint="eastAsia" w:ascii="宋体" w:hAnsi="宋体" w:eastAsia="宋体" w:cs="宋体"/>
                <w:sz w:val="24"/>
                <w:szCs w:val="24"/>
              </w:rPr>
              <w:t>4.客户端兼容性：支持Windows客户端、移动客户端（Android、IOS）、Web、MAC OS、office插件（必须兼容MS Office 2006以上）、钉钉访问；</w:t>
            </w:r>
          </w:p>
          <w:p>
            <w:pPr>
              <w:spacing w:line="276" w:lineRule="auto"/>
              <w:rPr>
                <w:rFonts w:hint="eastAsia" w:ascii="宋体" w:hAnsi="宋体" w:eastAsia="宋体" w:cs="宋体"/>
                <w:sz w:val="24"/>
                <w:szCs w:val="24"/>
              </w:rPr>
            </w:pPr>
            <w:r>
              <w:rPr>
                <w:rFonts w:hint="eastAsia" w:ascii="宋体" w:hAnsi="宋体" w:eastAsia="宋体" w:cs="宋体"/>
                <w:sz w:val="24"/>
                <w:szCs w:val="24"/>
              </w:rPr>
              <w:t>5.报表管理：系统管理员可以通过登录Web了解整个集群的运转绩效，要求包括在线人数监控、文件分类数量统计、文件操作变化统计，可以提供实时、每日、每月及年度的报表；</w:t>
            </w:r>
          </w:p>
          <w:p>
            <w:pPr>
              <w:spacing w:line="276" w:lineRule="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sz w:val="24"/>
                <w:szCs w:val="24"/>
              </w:rPr>
              <w:t>★</w:t>
            </w:r>
            <w:r>
              <w:rPr>
                <w:rFonts w:hint="eastAsia" w:ascii="宋体" w:hAnsi="宋体" w:eastAsia="宋体" w:cs="宋体"/>
                <w:sz w:val="24"/>
                <w:szCs w:val="24"/>
              </w:rPr>
              <w:t>6.安全特性：支持软WORM归档固化特性，通过对象文件系统层，实现归档电子资料的安全存储，存储后的数据不可被修改，后端通过切片后使用AES256进行高度加密。归档资料需要通过MD5值校验；支持用户绑定设备访问策略，避免用户使用非法设备访问内部业务数据，支持存储加密，支持SM4国密算法，</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须</w:t>
            </w:r>
            <w:r>
              <w:rPr>
                <w:rFonts w:hint="eastAsia" w:ascii="宋体" w:hAnsi="宋体" w:eastAsia="宋体" w:cs="宋体"/>
                <w:b/>
                <w:bCs/>
                <w:color w:val="000000" w:themeColor="text1"/>
                <w:sz w:val="24"/>
                <w:szCs w:val="24"/>
                <w:highlight w:val="none"/>
                <w14:textFill>
                  <w14:solidFill>
                    <w14:schemeClr w14:val="tx1"/>
                  </w14:solidFill>
                </w14:textFill>
              </w:rPr>
              <w:t>提供WORM归档</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及</w:t>
            </w:r>
            <w:r>
              <w:rPr>
                <w:rFonts w:hint="eastAsia" w:ascii="宋体" w:hAnsi="宋体" w:eastAsia="宋体" w:cs="宋体"/>
                <w:b/>
                <w:bCs/>
                <w:color w:val="000000" w:themeColor="text1"/>
                <w:sz w:val="24"/>
                <w:szCs w:val="24"/>
                <w:highlight w:val="none"/>
                <w14:textFill>
                  <w14:solidFill>
                    <w14:schemeClr w14:val="tx1"/>
                  </w14:solidFill>
                </w14:textFill>
              </w:rPr>
              <w:t>加密算法界面截图；</w:t>
            </w:r>
          </w:p>
          <w:p>
            <w:pPr>
              <w:spacing w:line="276" w:lineRule="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sz w:val="24"/>
                <w:szCs w:val="24"/>
              </w:rPr>
              <w:t>7. 共享特性：支持自定义共享（以内链的方式）、HTTP共享链接（外链的方式）共享的策略。共享（以内链的方式）策略包括如共享者、可以配置的权限、默认访问权限、权限有效期等；HTTP共享策略包括共享者、可配置的访问权限、默认访问权限、HTTP共享有效期、访问密码、HTTP共享打开次数等。一旦设定后，该共享者就只能按照该策略去进行分享。用户将文件或文件夹共享给他人后，可以对已共享的HTTP共享文件的访问情况进行统计，支持查看访问者的IP、预览次数、下载次数，支持HTTP共享预览/下载水印功能，后台开关控制是否允许普通用户设置HTTP共享预览/下载水印，如果后台允许，则用户开启HTTP共享时可以使用功能，被分享着预览/下载文件时会附带水印</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提供HTTP共享外链及共享水印操作界面截图；</w:t>
            </w:r>
          </w:p>
          <w:p>
            <w:pPr>
              <w:spacing w:line="276"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8.在线协作：支持在PC客户端，网页客户端在线编辑保存文件，音视频文件无需下载即可通过浏览器和移动客户端在线播放，并且支持视频播放的版权水印，保护视频内容版权，支持把会议资料开启共享，提供二维码，与会者在微信上扫描二维码，可在线预览会议资料，形成无纸化会议，支持管理员新建、编辑、删除文件编目。文件所有者、创建者、修改者进行编辑/查看文件编目。并且，全文检索时，支持文件编目的组合搜索。文档删除后自动移动至回收站中存放，可还原文件，回收站按文档库分类呈现，且可以支持文件名、删除位置和删除者的搜索，以便更好的找回误删除文件。系统回收站页面新增搜索入口，可基于系统回收站的名称进行搜索；子页面中可基于文档名称、删除者、原位置进行搜索。文件数据保留时间单位的细粒度新增，分别为日、月、周、年。</w:t>
            </w:r>
            <w:r>
              <w:rPr>
                <w:rFonts w:hint="eastAsia" w:ascii="宋体" w:hAnsi="宋体" w:eastAsia="宋体" w:cs="宋体"/>
                <w:b/>
                <w:bCs/>
                <w:color w:val="000000" w:themeColor="text1"/>
                <w:sz w:val="24"/>
                <w:szCs w:val="24"/>
                <w14:textFill>
                  <w14:solidFill>
                    <w14:schemeClr w14:val="tx1"/>
                  </w14:solidFill>
                </w14:textFill>
              </w:rPr>
              <w:t>提供在线文件编辑、视频在线带水印预览、二维码共享、文件二级回收站操作界面截图；</w:t>
            </w:r>
          </w:p>
          <w:p>
            <w:pPr>
              <w:spacing w:line="276"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9.网络传输：支持网速限制策略，管理员可以选择开启文件传输网速限制，设置特定用户或某部门的所有用户的文件传输速度上限，充分利用宽带资源；在开启秒传机制的前提下，管理员可在【文档同步策略】中控制是否开启跨站点秒传，对于大文件的上传、下载，可以随时中断，重新连接后可以继续之前的同步数据，避免重复上传下载，减少带宽，提升用户体验，</w:t>
            </w:r>
            <w:r>
              <w:rPr>
                <w:rFonts w:hint="eastAsia" w:ascii="宋体" w:hAnsi="宋体" w:eastAsia="宋体" w:cs="宋体"/>
                <w:b/>
                <w:bCs/>
                <w:color w:val="000000" w:themeColor="text1"/>
                <w:sz w:val="24"/>
                <w:szCs w:val="24"/>
                <w14:textFill>
                  <w14:solidFill>
                    <w14:schemeClr w14:val="tx1"/>
                  </w14:solidFill>
                </w14:textFill>
              </w:rPr>
              <w:t>提供限速策略配置软件功能截图；</w:t>
            </w:r>
          </w:p>
          <w:p>
            <w:pPr>
              <w:spacing w:line="276" w:lineRule="auto"/>
              <w:rPr>
                <w:rFonts w:hint="eastAsia" w:ascii="宋体" w:hAnsi="宋体" w:eastAsia="宋体" w:cs="宋体"/>
                <w:sz w:val="24"/>
                <w:szCs w:val="24"/>
              </w:rPr>
            </w:pPr>
            <w:r>
              <w:rPr>
                <w:rFonts w:hint="eastAsia" w:ascii="宋体" w:hAnsi="宋体" w:eastAsia="宋体" w:cs="宋体"/>
                <w:sz w:val="24"/>
                <w:szCs w:val="24"/>
              </w:rPr>
              <w:t>10.用户组织架构管理：采用灵活的组织架构，既可以构建符合企业分层管理的用户结构，也可以构建灵活的多用户组织单元：用户组织之间相互独立，分层管理（用户、文档、行为日志）；同一个用户可以加入多用户组织，实现跨组织共享；系统支持Windows域用户导入管理。系统管理员可导入域用户及域组织结构，并可将域用户与本地用户进行统一管理，执行编辑、修改、删除等操作，且并不影响Windows域中的用户数据；支持三员管理结构，系统管理员负责系统运维、安全保密员负责组织文档管理授权与普通用户文档操作日志审计、安全审计员负责系统、权限与管理员操作日志审计，管理架构可在系统初始化时配置；支持管理员批量冻结/解冻用户，被冻结的用户只可预览和下载文档，不可上传、编辑、修改、共享。（被冻结用户不可登录系统）；支持离职员工文档一键快速交接。</w:t>
            </w:r>
            <w:r>
              <w:rPr>
                <w:rFonts w:hint="eastAsia" w:ascii="宋体" w:hAnsi="宋体" w:eastAsia="宋体" w:cs="宋体"/>
                <w:b/>
                <w:bCs/>
                <w:color w:val="000000" w:themeColor="text1"/>
                <w:sz w:val="24"/>
                <w:szCs w:val="24"/>
                <w14:textFill>
                  <w14:solidFill>
                    <w14:schemeClr w14:val="tx1"/>
                  </w14:solidFill>
                </w14:textFill>
              </w:rPr>
              <w:t>提供组织管理、批量冻结用户、一键交接软件功能截图；</w:t>
            </w:r>
          </w:p>
          <w:p>
            <w:pPr>
              <w:spacing w:line="276" w:lineRule="auto"/>
              <w:rPr>
                <w:rFonts w:hint="eastAsia" w:ascii="宋体" w:hAnsi="宋体" w:eastAsia="宋体" w:cs="宋体"/>
                <w:sz w:val="24"/>
                <w:szCs w:val="24"/>
                <w:lang w:eastAsia="zh-CN"/>
              </w:rPr>
            </w:pPr>
            <w:r>
              <w:rPr>
                <w:rFonts w:hint="eastAsia" w:ascii="宋体" w:hAnsi="宋体" w:eastAsia="宋体" w:cs="宋体"/>
                <w:sz w:val="24"/>
                <w:szCs w:val="24"/>
              </w:rPr>
              <w:t>11.权限管控及访问控制：要求能够支持同时基于文件及文件夹的多级细粒度权限配置，控制用户对文件及文件夹的显示、预览、下载、上传、修改、删除等权限，同时支持对文件的二级所有权限控制，实现所有权限的下放。支持权限有效期，过期后自动回收权限；支持移动设备远程数据擦除功能和设备禁用功能；当移动设备丢失时，移动端数据会被擦除并强制退出；也可对设备强制禁用；支持指定人员绑定机器的MAC地址、IP地址段，避免敏感用户的数据，通过外部访问操作，对于这些人员，只能在特定区域或者机器，或者接入VPN或者虚拟桌面后，模拟内部环境来操作文档数据；支持限制指定文档库在指定IP地址段内访问，避免重要数据被有文件权限的用户在外部访问，对于这些人员，只能在特定区域或者机器，或者接入VPN或者虚拟桌面后，模拟内部环境来操作文档数据；支持禁止同一账号多地同时登录，支持对登录客户端的类型进行限制，如禁止Web客户端、移动Web客户端、Mac客户端、Windows客户端、iOS客户端、Android客户端登录。</w:t>
            </w:r>
            <w:r>
              <w:rPr>
                <w:rFonts w:hint="eastAsia" w:ascii="宋体" w:hAnsi="宋体" w:eastAsia="宋体" w:cs="宋体"/>
                <w:b/>
                <w:bCs/>
                <w:color w:val="000000" w:themeColor="text1"/>
                <w:sz w:val="24"/>
                <w:szCs w:val="24"/>
                <w14:textFill>
                  <w14:solidFill>
                    <w14:schemeClr w14:val="tx1"/>
                  </w14:solidFill>
                </w14:textFill>
              </w:rPr>
              <w:t>提供权限管控、远程擦除数据、Mac地址绑定、禁用某一类型客户端软件功能截图</w:t>
            </w:r>
            <w:r>
              <w:rPr>
                <w:rFonts w:hint="eastAsia" w:ascii="宋体" w:hAnsi="宋体" w:eastAsia="宋体" w:cs="宋体"/>
                <w:b/>
                <w:bCs/>
                <w:color w:val="000000" w:themeColor="text1"/>
                <w:sz w:val="24"/>
                <w:szCs w:val="24"/>
                <w:lang w:eastAsia="zh-CN"/>
                <w14:textFill>
                  <w14:solidFill>
                    <w14:schemeClr w14:val="tx1"/>
                  </w14:solidFill>
                </w14:textFill>
              </w:rPr>
              <w:t>。</w:t>
            </w:r>
          </w:p>
          <w:p>
            <w:pPr>
              <w:spacing w:line="276"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lang w:val="en-US"/>
              </w:rPr>
              <w:t>12</w:t>
            </w:r>
            <w:r>
              <w:rPr>
                <w:rFonts w:hint="eastAsia" w:ascii="宋体" w:hAnsi="宋体" w:eastAsia="宋体" w:cs="宋体"/>
                <w:sz w:val="24"/>
                <w:szCs w:val="24"/>
              </w:rPr>
              <w:t>.Windows客户端：Windows客户端复制、移动、重命名的文件夹，可以直接在云端映射操作，无须重新下载上传，不会作为新的文件存在，要求本地操作能应用到云端的原文件，无需落地直接在云端变动。Windows客户端提供两种删除模式：Windows本地自带的删除操作是删除本地的缓存，侧边栏和右键菜单的云端删除为删除云端数据；持虚拟盘模式，完全Windows使用体验，不改变原有用户使用文件资料的习惯，直接在Windows文件夹下面看到云端文件/夹，直接操作云端文件/夹，无需通过单独客户端界面操作；支持PC客户端的手动锁定协作机制，有修改权限用户打开文档时可手动锁定/解锁编辑。对于已经锁定的文件，所有者可进行【抢锁】操作，抢锁后，锁定者独占编辑，其他用户只可读。用户可以对自己锁定的文件进行管理；MAC客户端支持虚拟盘模式，完全Finder使用体验，不改变原有用户使用文件资料的习惯，直接在Finder文件夹下面看到云端文件/夹，直接操作云端文件/夹，无需通过单独客户端界面操作，MAC客户端复制、移动、重命名的文件/夹，可以直接在云端映射操作，无须重新下载上传，不会作为新的文件存在，要求本地操作能应用到云端的原文件，无需落地直接在云端变动，</w:t>
            </w:r>
            <w:r>
              <w:rPr>
                <w:rFonts w:hint="eastAsia" w:ascii="宋体" w:hAnsi="宋体" w:eastAsia="宋体" w:cs="宋体"/>
                <w:b/>
                <w:bCs/>
                <w:color w:val="000000" w:themeColor="text1"/>
                <w:sz w:val="24"/>
                <w:szCs w:val="24"/>
                <w14:textFill>
                  <w14:solidFill>
                    <w14:schemeClr w14:val="tx1"/>
                  </w14:solidFill>
                </w14:textFill>
              </w:rPr>
              <w:t>提供本地和云端删除、文件手动锁软件操作界面截图；</w:t>
            </w:r>
          </w:p>
          <w:p>
            <w:pPr>
              <w:spacing w:line="276" w:lineRule="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sz w:val="24"/>
                <w:szCs w:val="24"/>
              </w:rPr>
              <w:t>13.文档安全特性：支持文档预览水印，包括自定义水印、用户名水印和时间水印，支持自定义水印版式、字号、颜色等；防泄密策略支持水印策略。水印类型包含Word 、Excel、PPT、PDF、Txt、图片；支持用户名水印、自定义水印和时间水印；用户可以自定义水印样式以及水印文档范围，在范围内的文件预览或下载时会携带水印。文件所有者/修改者能够下载到原文件，文件非修改者可以下载到pdf格式的水印文件；当有用户通过HTTP共享方式将文件外发给外部人员时，支持对外文件内容进行留底，可对外部人员查看或下载的文件内容进行审查和取证，支持一键清除超出范围的历史HTTP共享</w:t>
            </w:r>
            <w:r>
              <w:rPr>
                <w:rFonts w:hint="eastAsia" w:ascii="宋体" w:hAnsi="宋体" w:eastAsia="宋体" w:cs="宋体"/>
                <w:color w:val="auto"/>
                <w:sz w:val="24"/>
                <w:szCs w:val="24"/>
              </w:rPr>
              <w:t>，</w:t>
            </w:r>
            <w:r>
              <w:rPr>
                <w:rFonts w:hint="eastAsia" w:ascii="宋体" w:hAnsi="宋体" w:eastAsia="宋体" w:cs="宋体"/>
                <w:b/>
                <w:bCs/>
                <w:color w:val="000000" w:themeColor="text1"/>
                <w:sz w:val="24"/>
                <w:szCs w:val="24"/>
                <w14:textFill>
                  <w14:solidFill>
                    <w14:schemeClr w14:val="tx1"/>
                  </w14:solidFill>
                </w14:textFill>
              </w:rPr>
              <w:t>提供文件水印软件操作界面截图</w:t>
            </w:r>
            <w:r>
              <w:rPr>
                <w:rFonts w:hint="eastAsia" w:ascii="宋体" w:hAnsi="宋体" w:eastAsia="宋体" w:cs="宋体"/>
                <w:b/>
                <w:bCs/>
                <w:color w:val="000000" w:themeColor="text1"/>
                <w:sz w:val="24"/>
                <w:szCs w:val="24"/>
                <w:lang w:eastAsia="zh-CN"/>
                <w14:textFill>
                  <w14:solidFill>
                    <w14:schemeClr w14:val="tx1"/>
                  </w14:solidFill>
                </w14:textFill>
              </w:rPr>
              <w:t>；</w:t>
            </w:r>
          </w:p>
          <w:p>
            <w:pPr>
              <w:spacing w:line="276" w:lineRule="auto"/>
              <w:rPr>
                <w:rFonts w:hint="eastAsia" w:ascii="宋体" w:hAnsi="宋体" w:eastAsia="宋体" w:cs="宋体"/>
                <w:b/>
                <w:bCs/>
                <w:color w:val="000000" w:themeColor="text1"/>
                <w:sz w:val="24"/>
                <w:szCs w:val="24"/>
                <w:lang w:val="en-US"/>
                <w14:textFill>
                  <w14:solidFill>
                    <w14:schemeClr w14:val="tx1"/>
                  </w14:solidFill>
                </w14:textFill>
              </w:rPr>
            </w:pPr>
            <w:r>
              <w:rPr>
                <w:rFonts w:hint="eastAsia" w:ascii="宋体" w:hAnsi="宋体" w:eastAsia="宋体" w:cs="宋体"/>
                <w:sz w:val="24"/>
                <w:szCs w:val="24"/>
              </w:rPr>
              <w:t>14.日志管理：支持双因子认证登录方式，包括短信验证码认证、图形验证、动态密码验证三种方式，防止撞库攻击与密码暴力破解；支持丰富的审计日志功能，包括系统管理、人员组织授权、文件操作、权限配置、上传下载、文件访问均有日志记录审计，日志可加密导出，长期归档，不可被篡改、删除；支持文档交换前自动触发敏感内容检测，管理员可事先自定义敏感内容关键字，当检测到交换的文档包含定义的敏感信息，自动进入到审核员进行审核，审核不通过的文档自动隔离；支持基于日志的文件安全分析和行为分析，包括运维监控、敏感文件分析、热门用户/资源、文档点击率及访问人员、文档修订情况、敏感用户监控、警告操作审计、文件外发风险控制、文件历史时间；</w:t>
            </w:r>
            <w:r>
              <w:rPr>
                <w:rFonts w:hint="eastAsia" w:ascii="宋体" w:hAnsi="宋体" w:eastAsia="宋体" w:cs="宋体"/>
                <w:b/>
                <w:bCs/>
                <w:color w:val="000000" w:themeColor="text1"/>
                <w:sz w:val="24"/>
                <w:szCs w:val="24"/>
                <w14:textFill>
                  <w14:solidFill>
                    <w14:schemeClr w14:val="tx1"/>
                  </w14:solidFill>
                </w14:textFill>
              </w:rPr>
              <w:t>提供双因子登录认证、日志审计、敏感文件过滤软件操作界面截图</w:t>
            </w:r>
          </w:p>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sz w:val="24"/>
                <w:szCs w:val="24"/>
              </w:rPr>
              <w:t>15.</w:t>
            </w:r>
            <w:r>
              <w:rPr>
                <w:rFonts w:hint="eastAsia" w:ascii="宋体" w:hAnsi="宋体" w:eastAsia="宋体" w:cs="宋体"/>
                <w:color w:val="000000"/>
                <w:sz w:val="24"/>
                <w:szCs w:val="24"/>
              </w:rPr>
              <w:t xml:space="preserve"> </w:t>
            </w:r>
            <w:r>
              <w:rPr>
                <w:rFonts w:hint="eastAsia" w:ascii="宋体" w:hAnsi="宋体" w:eastAsia="宋体" w:cs="宋体"/>
                <w:b/>
                <w:bCs/>
                <w:color w:val="000000"/>
                <w:sz w:val="24"/>
                <w:szCs w:val="24"/>
              </w:rPr>
              <w:t>投标时须提供</w:t>
            </w:r>
            <w:r>
              <w:rPr>
                <w:rFonts w:hint="eastAsia" w:ascii="宋体" w:hAnsi="宋体" w:eastAsia="宋体" w:cs="宋体"/>
                <w:b/>
                <w:bCs/>
                <w:color w:val="000000"/>
                <w:sz w:val="24"/>
                <w:szCs w:val="24"/>
                <w:lang w:val="en-US" w:eastAsia="zh-CN"/>
              </w:rPr>
              <w:t>三年售后</w:t>
            </w:r>
            <w:r>
              <w:rPr>
                <w:rFonts w:hint="eastAsia" w:ascii="宋体" w:hAnsi="宋体" w:eastAsia="宋体" w:cs="宋体"/>
                <w:b/>
                <w:bCs/>
                <w:color w:val="000000"/>
                <w:sz w:val="24"/>
                <w:szCs w:val="24"/>
              </w:rPr>
              <w:t>服务承诺</w:t>
            </w:r>
            <w:r>
              <w:rPr>
                <w:rFonts w:hint="eastAsia" w:ascii="宋体" w:hAnsi="宋体" w:eastAsia="宋体" w:cs="宋体"/>
                <w:b/>
                <w:bCs/>
                <w:color w:val="000000"/>
                <w:sz w:val="24"/>
                <w:szCs w:val="24"/>
                <w:lang w:val="en-US" w:eastAsia="zh-CN"/>
              </w:rPr>
              <w:t>函</w:t>
            </w:r>
            <w:r>
              <w:rPr>
                <w:rFonts w:hint="eastAsia" w:ascii="宋体" w:hAnsi="宋体" w:eastAsia="宋体" w:cs="宋体"/>
                <w:b/>
                <w:bCs/>
                <w:color w:val="000000"/>
                <w:sz w:val="24"/>
                <w:szCs w:val="24"/>
              </w:rPr>
              <w:t>。</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套</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w:t>
            </w:r>
          </w:p>
        </w:tc>
      </w:tr>
      <w:tr>
        <w:tblPrEx>
          <w:tblCellMar>
            <w:top w:w="0" w:type="dxa"/>
            <w:left w:w="108" w:type="dxa"/>
            <w:bottom w:w="0" w:type="dxa"/>
            <w:right w:w="108" w:type="dxa"/>
          </w:tblCellMar>
        </w:tblPrEx>
        <w:trPr>
          <w:trHeight w:val="364"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19</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文档管理系统定制开发</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sz w:val="24"/>
                <w:szCs w:val="24"/>
              </w:rPr>
              <w:t>投标人可自行前往勘察现场，了解学校定制需求，定制与开发扩展及二次开发内容本次项目要求个性化配置：★1、可以对Web客户端、Windows客户端、Mac客户端、iOS客户端、Android客户端进行个性化配置，包括产品名称、界面主题颜色、产品logo、登录背景图、应用程序图标、默认主机地址、缓存路径等，</w:t>
            </w:r>
            <w:r>
              <w:rPr>
                <w:rFonts w:hint="eastAsia" w:ascii="宋体" w:hAnsi="宋体" w:eastAsia="宋体" w:cs="宋体"/>
                <w:b/>
                <w:bCs/>
                <w:color w:val="000000" w:themeColor="text1"/>
                <w:sz w:val="24"/>
                <w:szCs w:val="24"/>
                <w14:textFill>
                  <w14:solidFill>
                    <w14:schemeClr w14:val="tx1"/>
                  </w14:solidFill>
                </w14:textFill>
              </w:rPr>
              <w:t>投标时需提供客户端定制界面截图。</w:t>
            </w:r>
          </w:p>
          <w:p>
            <w:pPr>
              <w:widowControl/>
              <w:jc w:val="left"/>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sz w:val="24"/>
                <w:szCs w:val="24"/>
              </w:rPr>
              <w:t>★2、支持自主配置Web客户端、Windows客户端的备案号，配置完成后，登录页面的备案号为超链接形式，可以链接至工信部的查询网站；</w:t>
            </w:r>
            <w:r>
              <w:rPr>
                <w:rFonts w:hint="eastAsia" w:ascii="宋体" w:hAnsi="宋体" w:eastAsia="宋体" w:cs="宋体"/>
                <w:b/>
                <w:bCs/>
                <w:color w:val="000000" w:themeColor="text1"/>
                <w:sz w:val="24"/>
                <w:szCs w:val="24"/>
                <w14:textFill>
                  <w14:solidFill>
                    <w14:schemeClr w14:val="tx1"/>
                  </w14:solidFill>
                </w14:textFill>
              </w:rPr>
              <w:t>投标时需提供相配置界面截图。</w:t>
            </w:r>
          </w:p>
          <w:p>
            <w:pPr>
              <w:widowControl/>
              <w:jc w:val="left"/>
              <w:textAlignment w:val="center"/>
              <w:rPr>
                <w:rFonts w:hint="eastAsia" w:ascii="宋体" w:hAnsi="宋体" w:eastAsia="宋体" w:cs="宋体"/>
                <w:sz w:val="24"/>
                <w:szCs w:val="24"/>
                <w:lang w:eastAsia="zh-CN"/>
              </w:rPr>
            </w:pPr>
            <w:r>
              <w:rPr>
                <w:rFonts w:hint="eastAsia" w:ascii="宋体" w:hAnsi="宋体" w:eastAsia="宋体" w:cs="宋体"/>
                <w:b/>
                <w:bCs/>
                <w:sz w:val="24"/>
                <w:szCs w:val="24"/>
              </w:rPr>
              <w:t>3、要求与钉钉进行集成开发对接，在钉钉客户端中实现校园网盘集成，在钉钉中可以直接查看校园网盘内资料，免密登录，PC端登录可扫码认证入口，可实现扫码登录</w:t>
            </w:r>
            <w:r>
              <w:rPr>
                <w:rFonts w:hint="eastAsia" w:ascii="宋体" w:hAnsi="宋体" w:eastAsia="宋体" w:cs="宋体"/>
                <w:sz w:val="24"/>
                <w:szCs w:val="24"/>
              </w:rPr>
              <w:t>（投标时需提供对接方案）</w:t>
            </w:r>
            <w:r>
              <w:rPr>
                <w:rFonts w:hint="eastAsia" w:ascii="宋体" w:hAnsi="宋体" w:eastAsia="宋体" w:cs="宋体"/>
                <w:sz w:val="24"/>
                <w:szCs w:val="24"/>
                <w:lang w:eastAsia="zh-CN"/>
              </w:rPr>
              <w:t>；</w:t>
            </w:r>
          </w:p>
          <w:p>
            <w:pPr>
              <w:widowControl/>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rPr>
              <w:t>4、</w:t>
            </w:r>
            <w:r>
              <w:rPr>
                <w:rFonts w:hint="eastAsia" w:ascii="宋体" w:hAnsi="宋体" w:eastAsia="宋体" w:cs="宋体"/>
                <w:sz w:val="24"/>
                <w:szCs w:val="24"/>
                <w:lang w:val="en-US" w:eastAsia="zh-CN"/>
              </w:rPr>
              <w:t>要求定制开发集成服务为至少满足2个工程师现场驻校开发，开发服务不少于30天驻校服务。</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项</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r>
      <w:tr>
        <w:tblPrEx>
          <w:tblCellMar>
            <w:top w:w="0" w:type="dxa"/>
            <w:left w:w="108" w:type="dxa"/>
            <w:bottom w:w="0" w:type="dxa"/>
            <w:right w:w="108" w:type="dxa"/>
          </w:tblCellMar>
        </w:tblPrEx>
        <w:trPr>
          <w:trHeight w:val="364"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20</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文档管理系统组织架构拆分服务</w:t>
            </w:r>
          </w:p>
        </w:tc>
        <w:tc>
          <w:tcPr>
            <w:tcW w:w="608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宋体" w:hAnsi="宋体" w:eastAsia="宋体" w:cs="宋体"/>
                <w:snapToGrid/>
                <w:sz w:val="24"/>
                <w:szCs w:val="24"/>
                <w:lang w:val="en-US"/>
              </w:rPr>
            </w:pPr>
            <w:r>
              <w:rPr>
                <w:rFonts w:hint="eastAsia" w:ascii="宋体" w:hAnsi="宋体" w:eastAsia="宋体" w:cs="宋体"/>
                <w:snapToGrid/>
                <w:sz w:val="24"/>
                <w:szCs w:val="24"/>
                <w:lang w:val="en-US"/>
              </w:rPr>
              <w:t>基于校园文档管理需求，本次共配置300用户授权，3套软件集群。本次项目实施采用西溪校区统一组织架构管理，基于学校发展，后期需拆分为两个校区单独组织管理服务，投标时需提供详细技术解决方案和说明。</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项</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r>
      <w:tr>
        <w:tblPrEx>
          <w:tblCellMar>
            <w:top w:w="0" w:type="dxa"/>
            <w:left w:w="108" w:type="dxa"/>
            <w:bottom w:w="0" w:type="dxa"/>
            <w:right w:w="108" w:type="dxa"/>
          </w:tblCellMar>
        </w:tblPrEx>
        <w:trPr>
          <w:trHeight w:val="66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21</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文档数据存储</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1、存储系统应为统一存储架构，同时支持SAN、NAS，NAS功能应为非网关实现方式；硬件采用全模块架构冗余设计，无单一故障点；</w:t>
            </w:r>
          </w:p>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2、多控制器架构，64位X86架构多核处理器，控制器之间支持缓存镜像；最大支持16控制器；</w:t>
            </w:r>
          </w:p>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本次配置≥两个存储控制器，且单机箱两控制器间采用PCI-E互联；</w:t>
            </w:r>
          </w:p>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3、双控制器配置128GB Cache（缓存不包含SSD磁盘、高速Flash及NAS控制器缓存）；</w:t>
            </w:r>
          </w:p>
          <w:p>
            <w:pPr>
              <w:widowControl/>
              <w:jc w:val="left"/>
              <w:textAlignment w:val="center"/>
              <w:rPr>
                <w:rFonts w:hint="eastAsia" w:ascii="宋体" w:hAnsi="宋体" w:eastAsia="宋体" w:cs="宋体"/>
                <w:b/>
                <w:bCs/>
                <w:color w:val="000000"/>
                <w:kern w:val="0"/>
                <w:sz w:val="24"/>
                <w:szCs w:val="24"/>
                <w:lang w:bidi="ar"/>
              </w:rPr>
            </w:pPr>
            <w:r>
              <w:rPr>
                <w:rFonts w:hint="eastAsia" w:ascii="宋体" w:hAnsi="宋体" w:eastAsia="宋体" w:cs="宋体"/>
                <w:color w:val="000000"/>
                <w:kern w:val="0"/>
                <w:sz w:val="24"/>
                <w:szCs w:val="24"/>
                <w:lang w:bidi="ar"/>
              </w:rPr>
              <w:t>4、支持SSD二级缓存技术，加速数据读取速度，降低应用延迟，不接受通过存储分层方式实现</w:t>
            </w:r>
            <w:r>
              <w:rPr>
                <w:rFonts w:hint="eastAsia" w:ascii="宋体" w:hAnsi="宋体" w:eastAsia="宋体" w:cs="宋体"/>
                <w:b/>
                <w:bCs/>
                <w:color w:val="000000"/>
                <w:kern w:val="0"/>
                <w:sz w:val="24"/>
                <w:szCs w:val="24"/>
                <w:lang w:bidi="ar"/>
              </w:rPr>
              <w:t>（提供SSD缓存加速功能管理界面截图）；</w:t>
            </w:r>
          </w:p>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5、配置 BBU + Flash 永久电池保护模组；</w:t>
            </w:r>
          </w:p>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6、配置接口10GbE≥4个，1GbE≥14个，16Gb FC≥8个，双控最大支持≥34个接口；</w:t>
            </w:r>
          </w:p>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7、本次配置12块8TB 2.5吋10K 12Gb SAS硬盘,两块960G SSD硬盘；</w:t>
            </w:r>
          </w:p>
          <w:p>
            <w:pPr>
              <w:widowControl/>
              <w:jc w:val="left"/>
              <w:textAlignment w:val="center"/>
              <w:rPr>
                <w:rFonts w:hint="eastAsia" w:ascii="宋体" w:hAnsi="宋体" w:eastAsia="宋体" w:cs="宋体"/>
                <w:b/>
                <w:bCs/>
                <w:color w:val="000000"/>
                <w:kern w:val="0"/>
                <w:sz w:val="24"/>
                <w:szCs w:val="24"/>
                <w:lang w:bidi="ar"/>
              </w:rPr>
            </w:pPr>
            <w:r>
              <w:rPr>
                <w:rFonts w:hint="eastAsia" w:ascii="宋体" w:hAnsi="宋体" w:eastAsia="宋体" w:cs="宋体"/>
                <w:color w:val="000000"/>
                <w:kern w:val="0"/>
                <w:sz w:val="24"/>
                <w:szCs w:val="24"/>
                <w:lang w:bidi="ar"/>
              </w:rPr>
              <w:t>8、支持三重检验的RAID方式，允许同一个RAID组中任意三块硬盘同时发生物理故障</w:t>
            </w:r>
            <w:r>
              <w:rPr>
                <w:rFonts w:hint="eastAsia" w:ascii="宋体" w:hAnsi="宋体" w:eastAsia="宋体" w:cs="宋体"/>
                <w:b/>
                <w:bCs/>
                <w:color w:val="000000"/>
                <w:kern w:val="0"/>
                <w:sz w:val="24"/>
                <w:szCs w:val="24"/>
                <w:lang w:bidi="ar"/>
              </w:rPr>
              <w:t>（提供存储管理界面截图）</w:t>
            </w:r>
          </w:p>
          <w:p>
            <w:pPr>
              <w:widowControl/>
              <w:jc w:val="left"/>
              <w:textAlignment w:val="center"/>
              <w:rPr>
                <w:rFonts w:hint="eastAsia" w:ascii="宋体" w:hAnsi="宋体" w:eastAsia="宋体" w:cs="宋体"/>
                <w:b/>
                <w:bCs/>
                <w:color w:val="000000"/>
                <w:kern w:val="0"/>
                <w:sz w:val="24"/>
                <w:szCs w:val="24"/>
                <w:lang w:bidi="ar"/>
              </w:rPr>
            </w:pPr>
            <w:r>
              <w:rPr>
                <w:rFonts w:hint="eastAsia" w:ascii="宋体" w:hAnsi="宋体" w:eastAsia="宋体" w:cs="宋体"/>
                <w:color w:val="000000"/>
                <w:kern w:val="0"/>
                <w:sz w:val="24"/>
                <w:szCs w:val="24"/>
                <w:lang w:bidi="ar"/>
              </w:rPr>
              <w:t>9、配置快照功能：单个LUN支持快照数≥2048个</w:t>
            </w:r>
            <w:r>
              <w:rPr>
                <w:rFonts w:hint="eastAsia" w:ascii="宋体" w:hAnsi="宋体" w:eastAsia="宋体" w:cs="宋体"/>
                <w:b/>
                <w:bCs/>
                <w:color w:val="000000"/>
                <w:kern w:val="0"/>
                <w:sz w:val="24"/>
                <w:szCs w:val="24"/>
                <w:lang w:bidi="ar"/>
              </w:rPr>
              <w:t>（提供存储管理界面截图）；</w:t>
            </w:r>
          </w:p>
          <w:p>
            <w:pPr>
              <w:widowControl/>
              <w:jc w:val="left"/>
              <w:textAlignment w:val="center"/>
              <w:rPr>
                <w:rFonts w:hint="eastAsia" w:ascii="宋体" w:hAnsi="宋体" w:eastAsia="宋体" w:cs="宋体"/>
                <w:b/>
                <w:bCs/>
                <w:color w:val="000000"/>
                <w:kern w:val="0"/>
                <w:sz w:val="24"/>
                <w:szCs w:val="24"/>
                <w:lang w:bidi="ar"/>
              </w:rPr>
            </w:pPr>
            <w:r>
              <w:rPr>
                <w:rFonts w:hint="eastAsia" w:ascii="宋体" w:hAnsi="宋体" w:eastAsia="宋体" w:cs="宋体"/>
                <w:color w:val="000000"/>
                <w:kern w:val="0"/>
                <w:sz w:val="24"/>
                <w:szCs w:val="24"/>
                <w:lang w:bidi="ar"/>
              </w:rPr>
              <w:t>10、支持系统定时自动创建快照，且定时快照策略可通过存储自身管理软件配置，定时快照最小时间间隔≤1分钟</w:t>
            </w:r>
            <w:r>
              <w:rPr>
                <w:rFonts w:hint="eastAsia" w:ascii="宋体" w:hAnsi="宋体" w:eastAsia="宋体" w:cs="宋体"/>
                <w:b/>
                <w:bCs/>
                <w:color w:val="000000"/>
                <w:kern w:val="0"/>
                <w:sz w:val="24"/>
                <w:szCs w:val="24"/>
                <w:lang w:bidi="ar"/>
              </w:rPr>
              <w:t>（提供存储管理界面截图）；</w:t>
            </w:r>
          </w:p>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11、配置克隆功能，可基于源卷创建数据副本以重新定义数据用途，用于备份、测试开发、信息分析或数据挖掘等</w:t>
            </w:r>
            <w:r>
              <w:rPr>
                <w:rFonts w:hint="eastAsia" w:ascii="宋体" w:hAnsi="宋体" w:eastAsia="宋体" w:cs="宋体"/>
                <w:b/>
                <w:bCs/>
                <w:color w:val="000000"/>
                <w:kern w:val="0"/>
                <w:sz w:val="24"/>
                <w:szCs w:val="24"/>
                <w:lang w:bidi="ar"/>
              </w:rPr>
              <w:t>（提供存储管理界面截图）；</w:t>
            </w:r>
          </w:p>
          <w:p>
            <w:pPr>
              <w:widowControl/>
              <w:jc w:val="left"/>
              <w:textAlignment w:val="center"/>
              <w:rPr>
                <w:rFonts w:hint="eastAsia" w:ascii="宋体" w:hAnsi="宋体" w:eastAsia="宋体" w:cs="宋体"/>
                <w:b/>
                <w:bCs/>
                <w:color w:val="000000"/>
                <w:kern w:val="0"/>
                <w:sz w:val="24"/>
                <w:szCs w:val="24"/>
                <w:lang w:bidi="ar"/>
              </w:rPr>
            </w:pPr>
            <w:r>
              <w:rPr>
                <w:rFonts w:hint="eastAsia" w:ascii="宋体" w:hAnsi="宋体" w:eastAsia="宋体" w:cs="宋体"/>
                <w:color w:val="000000"/>
                <w:kern w:val="0"/>
                <w:sz w:val="24"/>
                <w:szCs w:val="24"/>
                <w:lang w:bidi="ar"/>
              </w:rPr>
              <w:t>12、配置卷镜像功能，可实现跨存储池的实时数据镜像、故障自动切换，确保业务连续性</w:t>
            </w:r>
            <w:r>
              <w:rPr>
                <w:rFonts w:hint="eastAsia" w:ascii="宋体" w:hAnsi="宋体" w:eastAsia="宋体" w:cs="宋体"/>
                <w:b/>
                <w:bCs/>
                <w:color w:val="000000"/>
                <w:kern w:val="0"/>
                <w:sz w:val="24"/>
                <w:szCs w:val="24"/>
                <w:lang w:bidi="ar"/>
              </w:rPr>
              <w:t>（提供存储管理界面截图）；</w:t>
            </w:r>
          </w:p>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13、配置数据迁移功能，可在线将数据卷转移至其他存储池中，迁移过程中业务无中断</w:t>
            </w:r>
            <w:r>
              <w:rPr>
                <w:rFonts w:hint="eastAsia" w:ascii="宋体" w:hAnsi="宋体" w:eastAsia="宋体" w:cs="宋体"/>
                <w:b/>
                <w:bCs/>
                <w:color w:val="000000"/>
                <w:kern w:val="0"/>
                <w:sz w:val="24"/>
                <w:szCs w:val="24"/>
                <w:lang w:bidi="ar"/>
              </w:rPr>
              <w:t>（提供管理界面截图）；</w:t>
            </w:r>
          </w:p>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14、配置自动精简功能，实现存储设备的容量按需动态扩展；</w:t>
            </w:r>
          </w:p>
          <w:p>
            <w:pPr>
              <w:widowControl/>
              <w:jc w:val="left"/>
              <w:textAlignment w:val="center"/>
              <w:rPr>
                <w:rFonts w:hint="eastAsia" w:ascii="宋体" w:hAnsi="宋体" w:eastAsia="宋体" w:cs="宋体"/>
                <w:b/>
                <w:bCs/>
                <w:color w:val="000000"/>
                <w:kern w:val="0"/>
                <w:sz w:val="24"/>
                <w:szCs w:val="24"/>
                <w:lang w:bidi="ar"/>
              </w:rPr>
            </w:pPr>
            <w:r>
              <w:rPr>
                <w:rFonts w:hint="eastAsia" w:ascii="宋体" w:hAnsi="宋体" w:eastAsia="宋体" w:cs="宋体"/>
                <w:color w:val="000000"/>
                <w:kern w:val="0"/>
                <w:sz w:val="24"/>
                <w:szCs w:val="24"/>
                <w:lang w:bidi="ar"/>
              </w:rPr>
              <w:t>15、配置QoS功能，支持卷级别的针对不同IO类型（读、写可分别限制）的IOPS或者MBps限制，保障优先级更高的业务系统优先使用存储资源池</w:t>
            </w:r>
            <w:r>
              <w:rPr>
                <w:rFonts w:hint="eastAsia" w:ascii="宋体" w:hAnsi="宋体" w:eastAsia="宋体" w:cs="宋体"/>
                <w:b/>
                <w:bCs/>
                <w:color w:val="000000"/>
                <w:kern w:val="0"/>
                <w:sz w:val="24"/>
                <w:szCs w:val="24"/>
                <w:lang w:bidi="ar"/>
              </w:rPr>
              <w:t>（提供存储管理界面截图）；</w:t>
            </w:r>
          </w:p>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16、配置自动分层功能，根据数据活跃度自动迁移数据所在位置，完成与不同存储介质的动态匹配。能够以4MB～64MB的热点颗粒度为单位进行自动分级调整，用户可自定义I/O监控策略及数据迁移策略，支持定时监控、周期性监控、定时迁移、周期性迁移，具备至少3层分级（SSD、SAS、NL-SAS），</w:t>
            </w:r>
            <w:r>
              <w:rPr>
                <w:rFonts w:hint="eastAsia" w:ascii="宋体" w:hAnsi="宋体" w:eastAsia="宋体" w:cs="宋体"/>
                <w:b/>
                <w:bCs/>
                <w:color w:val="000000"/>
                <w:kern w:val="0"/>
                <w:sz w:val="24"/>
                <w:szCs w:val="24"/>
                <w:lang w:bidi="ar"/>
              </w:rPr>
              <w:t>提供存储管理界面截图；</w:t>
            </w:r>
          </w:p>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17、配置存储级双活容灾功能，四控制器集群可以跨地域进行部署，实现关键数据自动实时双写到两个存储系统中，保证两份数据严格的物理隔离，同时保证两份数据自动实时同步；</w:t>
            </w:r>
          </w:p>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具备故障自动切换功能，减少人工干预，提升业务连续性；</w:t>
            </w:r>
          </w:p>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为了双活方案架构简单，同时保证可靠性及性能，与现有的存储无需借助额外的存储虚拟化网关实现双活级联（</w:t>
            </w:r>
            <w:r>
              <w:rPr>
                <w:rFonts w:hint="eastAsia" w:ascii="宋体" w:hAnsi="宋体" w:eastAsia="宋体" w:cs="宋体"/>
                <w:b/>
                <w:bCs/>
                <w:color w:val="000000"/>
                <w:kern w:val="0"/>
                <w:sz w:val="24"/>
                <w:szCs w:val="24"/>
                <w:lang w:bidi="ar"/>
              </w:rPr>
              <w:t>提供存储双活功能管理界面截图）；</w:t>
            </w:r>
          </w:p>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18、支持基于IP的远程复制功能，不需要引入存储阵列之外的任何软件或硬件，能够提供1:2、连跳、64对1点的复制功能，且无须额外的协议转换设备；可通过图形化管理界面自定义远程数据异步传输时间间隔，异步传输时间间隔可达到≤10秒</w:t>
            </w:r>
            <w:r>
              <w:rPr>
                <w:rFonts w:hint="eastAsia" w:ascii="宋体" w:hAnsi="宋体" w:eastAsia="宋体" w:cs="宋体"/>
                <w:b/>
                <w:bCs/>
                <w:color w:val="000000"/>
                <w:kern w:val="0"/>
                <w:sz w:val="24"/>
                <w:szCs w:val="24"/>
                <w:lang w:bidi="ar"/>
              </w:rPr>
              <w:t>（提供管理界面截图）；</w:t>
            </w:r>
          </w:p>
          <w:p>
            <w:pPr>
              <w:widowControl/>
              <w:jc w:val="left"/>
              <w:textAlignment w:val="center"/>
              <w:rPr>
                <w:rFonts w:hint="eastAsia" w:ascii="宋体" w:hAnsi="宋体" w:eastAsia="宋体" w:cs="宋体"/>
                <w:b/>
                <w:bCs/>
                <w:color w:val="000000"/>
                <w:kern w:val="0"/>
                <w:sz w:val="24"/>
                <w:szCs w:val="24"/>
                <w:lang w:bidi="ar"/>
              </w:rPr>
            </w:pPr>
            <w:r>
              <w:rPr>
                <w:rFonts w:hint="eastAsia" w:ascii="宋体" w:hAnsi="宋体" w:eastAsia="宋体" w:cs="宋体"/>
                <w:color w:val="000000"/>
                <w:kern w:val="0"/>
                <w:sz w:val="24"/>
                <w:szCs w:val="24"/>
                <w:lang w:bidi="ar"/>
              </w:rPr>
              <w:t>19、配置审计日志功能，能够记录用户关键活动和操作行为，包括登录和注销、增加/删除用户和用户属性的变更、角色权限变更、系统配置参数的修改等</w:t>
            </w:r>
            <w:r>
              <w:rPr>
                <w:rFonts w:hint="eastAsia" w:ascii="宋体" w:hAnsi="宋体" w:eastAsia="宋体" w:cs="宋体"/>
                <w:b/>
                <w:bCs/>
                <w:color w:val="000000"/>
                <w:kern w:val="0"/>
                <w:sz w:val="24"/>
                <w:szCs w:val="24"/>
                <w:lang w:bidi="ar"/>
              </w:rPr>
              <w:t>（提供第三方评测机构签字盖章的测试报告复印件）；</w:t>
            </w:r>
          </w:p>
          <w:p>
            <w:pPr>
              <w:widowControl/>
              <w:jc w:val="left"/>
              <w:textAlignment w:val="center"/>
              <w:rPr>
                <w:rFonts w:hint="eastAsia" w:ascii="宋体" w:hAnsi="宋体" w:eastAsia="宋体" w:cs="宋体"/>
                <w:b/>
                <w:bCs/>
                <w:color w:val="000000"/>
                <w:kern w:val="0"/>
                <w:sz w:val="24"/>
                <w:szCs w:val="24"/>
                <w:lang w:bidi="ar"/>
              </w:rPr>
            </w:pPr>
            <w:r>
              <w:rPr>
                <w:rFonts w:hint="eastAsia" w:ascii="宋体" w:hAnsi="宋体" w:eastAsia="宋体" w:cs="宋体"/>
                <w:color w:val="000000"/>
                <w:kern w:val="0"/>
                <w:sz w:val="24"/>
                <w:szCs w:val="24"/>
                <w:lang w:bidi="ar"/>
              </w:rPr>
              <w:t>20、支持性能监控功能，可监控数据LUN或FC端口的IOPS、带宽及延时数据，可查看系统性能数据</w:t>
            </w:r>
            <w:r>
              <w:rPr>
                <w:rFonts w:hint="eastAsia" w:ascii="宋体" w:hAnsi="宋体" w:eastAsia="宋体" w:cs="宋体"/>
                <w:b/>
                <w:bCs/>
                <w:color w:val="000000"/>
                <w:kern w:val="0"/>
                <w:sz w:val="24"/>
                <w:szCs w:val="24"/>
                <w:lang w:bidi="ar"/>
              </w:rPr>
              <w:t>（提供管理界面截图）；</w:t>
            </w:r>
          </w:p>
          <w:p>
            <w:pPr>
              <w:widowControl/>
              <w:jc w:val="left"/>
              <w:textAlignment w:val="center"/>
              <w:rPr>
                <w:rFonts w:hint="eastAsia" w:ascii="宋体" w:hAnsi="宋体" w:eastAsia="宋体" w:cs="宋体"/>
                <w:b/>
                <w:bCs/>
                <w:color w:val="000000"/>
                <w:kern w:val="0"/>
                <w:sz w:val="24"/>
                <w:szCs w:val="24"/>
                <w:lang w:bidi="ar"/>
              </w:rPr>
            </w:pPr>
            <w:r>
              <w:rPr>
                <w:rFonts w:hint="eastAsia" w:ascii="宋体" w:hAnsi="宋体" w:eastAsia="宋体" w:cs="宋体"/>
                <w:color w:val="000000"/>
                <w:kern w:val="0"/>
                <w:sz w:val="24"/>
                <w:szCs w:val="24"/>
                <w:lang w:bidi="ar"/>
              </w:rPr>
              <w:t>21、</w:t>
            </w:r>
            <w:r>
              <w:rPr>
                <w:rFonts w:hint="eastAsia" w:ascii="宋体" w:hAnsi="宋体" w:eastAsia="宋体" w:cs="宋体"/>
                <w:b/>
                <w:bCs/>
                <w:color w:val="000000"/>
                <w:kern w:val="0"/>
                <w:sz w:val="24"/>
                <w:szCs w:val="24"/>
                <w:lang w:bidi="ar"/>
              </w:rPr>
              <w:t>提供具备第三方权威机构出具的安全测试报告，测试内容包括安全功能和安全性风险测试，提供测试报告复印件；</w:t>
            </w:r>
          </w:p>
          <w:p>
            <w:pPr>
              <w:widowControl/>
              <w:jc w:val="left"/>
              <w:textAlignment w:val="center"/>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22、提供第三方权威机构出具的环境适应性测试报告，测试内容包括不同环境条件下（包括：温度、湿度、振动、冲击、碰撞等）产品的适应情况测试，提供测试报告复印件</w:t>
            </w:r>
          </w:p>
          <w:p>
            <w:pPr>
              <w:widowControl/>
              <w:jc w:val="left"/>
              <w:textAlignment w:val="center"/>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23、要求产品通过3C认证、节能认证、环境标志认证</w:t>
            </w:r>
          </w:p>
          <w:p>
            <w:pPr>
              <w:widowControl/>
              <w:jc w:val="left"/>
              <w:textAlignment w:val="center"/>
              <w:rPr>
                <w:rFonts w:hint="eastAsia" w:ascii="宋体" w:hAnsi="宋体" w:eastAsia="宋体" w:cs="宋体"/>
                <w:sz w:val="24"/>
                <w:szCs w:val="24"/>
                <w:lang w:val="en-US" w:eastAsia="zh-CN"/>
              </w:rPr>
            </w:pPr>
            <w:r>
              <w:rPr>
                <w:rFonts w:hint="eastAsia" w:ascii="宋体" w:hAnsi="宋体" w:eastAsia="宋体" w:cs="宋体"/>
                <w:b/>
                <w:bCs/>
                <w:color w:val="000000"/>
                <w:kern w:val="0"/>
                <w:sz w:val="24"/>
                <w:szCs w:val="24"/>
                <w:lang w:bidi="ar"/>
              </w:rPr>
              <w:t>24、3年整机质保，3年免费上门服务，投标时提供质保服务承诺</w:t>
            </w:r>
            <w:r>
              <w:rPr>
                <w:rFonts w:hint="eastAsia" w:ascii="宋体" w:hAnsi="宋体" w:eastAsia="宋体" w:cs="宋体"/>
                <w:b/>
                <w:bCs/>
                <w:color w:val="000000"/>
                <w:kern w:val="0"/>
                <w:sz w:val="24"/>
                <w:szCs w:val="24"/>
                <w:lang w:val="en-US" w:eastAsia="zh-CN" w:bidi="ar"/>
              </w:rPr>
              <w:t>函。</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台</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r>
      <w:tr>
        <w:tblPrEx>
          <w:tblCellMar>
            <w:top w:w="0" w:type="dxa"/>
            <w:left w:w="108" w:type="dxa"/>
            <w:bottom w:w="0" w:type="dxa"/>
            <w:right w:w="108" w:type="dxa"/>
          </w:tblCellMar>
        </w:tblPrEx>
        <w:trPr>
          <w:trHeight w:val="98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21</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终端安全管理系统</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1、控制中心支持根据客户端点数的增加支持横向扩展，操作系统支持Windows Server 2008 R2/2012/2012 R2/2016的64位版本（简体中文版）；</w:t>
            </w:r>
          </w:p>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sz w:val="24"/>
                <w:szCs w:val="24"/>
              </w:rPr>
              <w:t>支持CentOS 7、Redhat 7等Linux系统；</w:t>
            </w:r>
            <w:r>
              <w:rPr>
                <w:rFonts w:hint="eastAsia" w:ascii="宋体" w:hAnsi="宋体" w:eastAsia="宋体" w:cs="宋体"/>
                <w:color w:val="000000"/>
                <w:kern w:val="0"/>
                <w:sz w:val="24"/>
                <w:szCs w:val="24"/>
                <w:lang w:bidi="ar"/>
              </w:rPr>
              <w:t>本次授权数和服务要求如下：50个PC客户端授权。</w:t>
            </w:r>
          </w:p>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模块包括：防病毒+补丁管理+运维管控+移动介质存储管理+三年软件升级服务；</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2、控制中心支持安装在虚拟机上；</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3、操作系统：</w:t>
            </w:r>
          </w:p>
          <w:p>
            <w:pPr>
              <w:bidi w:val="0"/>
              <w:rPr>
                <w:rFonts w:hint="eastAsia" w:ascii="宋体" w:hAnsi="宋体" w:eastAsia="宋体" w:cs="宋体"/>
                <w:sz w:val="24"/>
                <w:szCs w:val="24"/>
              </w:rPr>
            </w:pPr>
            <w:r>
              <w:rPr>
                <w:rFonts w:hint="eastAsia" w:ascii="宋体" w:hAnsi="宋体" w:eastAsia="宋体" w:cs="宋体"/>
                <w:sz w:val="24"/>
                <w:szCs w:val="24"/>
              </w:rPr>
              <w:t>Windows XP_SP3及以/WindowsVista/Windows7/Windows 10；</w:t>
            </w:r>
          </w:p>
          <w:p>
            <w:pPr>
              <w:bidi w:val="0"/>
              <w:rPr>
                <w:rFonts w:hint="eastAsia" w:ascii="宋体" w:hAnsi="宋体" w:eastAsia="宋体" w:cs="宋体"/>
                <w:sz w:val="24"/>
                <w:szCs w:val="24"/>
              </w:rPr>
            </w:pPr>
            <w:r>
              <w:rPr>
                <w:rFonts w:hint="eastAsia" w:ascii="宋体" w:hAnsi="宋体" w:eastAsia="宋体" w:cs="宋体"/>
                <w:sz w:val="24"/>
                <w:szCs w:val="24"/>
              </w:rPr>
              <w:t>Windows</w:t>
            </w:r>
            <w:r>
              <w:rPr>
                <w:rFonts w:hint="eastAsia" w:ascii="宋体" w:hAnsi="宋体" w:eastAsia="宋体" w:cs="宋体"/>
                <w:sz w:val="24"/>
                <w:szCs w:val="24"/>
                <w:lang w:val="en-US" w:eastAsia="zh-CN"/>
              </w:rPr>
              <w:t>S</w:t>
            </w:r>
            <w:r>
              <w:rPr>
                <w:rFonts w:hint="eastAsia" w:ascii="宋体" w:hAnsi="宋体" w:eastAsia="宋体" w:cs="宋体"/>
                <w:sz w:val="24"/>
                <w:szCs w:val="24"/>
              </w:rPr>
              <w:t>erver2003_SP2/WindowsServer2008/WindowsServer2012/WindowsServer 2016/Windows Server 2019；</w:t>
            </w:r>
          </w:p>
          <w:p>
            <w:pPr>
              <w:bidi w:val="0"/>
              <w:rPr>
                <w:rFonts w:hint="eastAsia" w:ascii="宋体" w:hAnsi="宋体" w:eastAsia="宋体" w:cs="宋体"/>
                <w:sz w:val="24"/>
                <w:szCs w:val="24"/>
              </w:rPr>
            </w:pPr>
            <w:r>
              <w:rPr>
                <w:rFonts w:hint="eastAsia" w:ascii="宋体" w:hAnsi="宋体" w:eastAsia="宋体" w:cs="宋体"/>
                <w:sz w:val="24"/>
                <w:szCs w:val="24"/>
              </w:rPr>
              <w:t>SUSE Linux/Red Hat Linux/CentOS/Ubuntu；</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4、支持按照终端类型/分组统计及分配管理每个功能的终端授权使用数量。</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5、产品全功能支持中英文自由切换。</w:t>
            </w:r>
            <w:r>
              <w:rPr>
                <w:rFonts w:hint="eastAsia" w:ascii="宋体" w:hAnsi="宋体" w:eastAsia="宋体" w:cs="宋体"/>
                <w:b/>
                <w:bCs/>
                <w:sz w:val="24"/>
                <w:szCs w:val="24"/>
              </w:rPr>
              <w:t>【提供功能截图】</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6、支持单个页面展示终端部署统计、终端安全趋势、终端状态（文件防护开启率、未安装补丁终端率、终端病毒更新率和终端版本更新率）、终端程序版本、终端在线统计、病毒库版本分布、安全更新和重要补丁安全趋势等信息，均可通过图形化展示。</w:t>
            </w:r>
            <w:r>
              <w:rPr>
                <w:rFonts w:hint="eastAsia" w:ascii="宋体" w:hAnsi="宋体" w:eastAsia="宋体" w:cs="宋体"/>
                <w:b/>
                <w:bCs/>
                <w:sz w:val="24"/>
                <w:szCs w:val="24"/>
              </w:rPr>
              <w:t>【提供功能截图】</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b/>
                <w:bCs/>
                <w:sz w:val="24"/>
                <w:szCs w:val="24"/>
              </w:rPr>
              <w:t>7、支持定时公告功能，可配置开机显示、周期显示和立即推送。提供功能截图</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8、支持对单个客户端进行维护，终端视角查看终端基本信息，包括计算机名、型号、IP、MAC地址、工作组、域信息、本次开机时间、上次关机时间、应用功能、在线状态、所有功能应用策略情况；</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硬件信息展示，包括CPU、主板、内存、磁盘存储、显卡、显示器、声卡、网卡等信息；</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实时进程信息展示，包括进程名称、PID、进程用户名、命令行、占用内存、CPU占用、MD5等信息；可直接在页面结束选中进程；网络信息展示。</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9、支持自动分组，按IP地址、CPU数量、MEM容量、主机名、计算机工作组等参数进行自动动态调整分组。</w:t>
            </w:r>
            <w:r>
              <w:rPr>
                <w:rFonts w:hint="eastAsia" w:ascii="宋体" w:hAnsi="宋体" w:eastAsia="宋体" w:cs="宋体"/>
                <w:b/>
                <w:bCs/>
                <w:sz w:val="24"/>
                <w:szCs w:val="24"/>
              </w:rPr>
              <w:t>【提供功能截图】</w:t>
            </w:r>
          </w:p>
          <w:p>
            <w:pPr>
              <w:pStyle w:val="962"/>
              <w:spacing w:before="48" w:after="48"/>
              <w:ind w:firstLine="0" w:firstLineChars="0"/>
              <w:rPr>
                <w:rFonts w:hint="eastAsia" w:ascii="宋体" w:hAnsi="宋体" w:eastAsia="宋体" w:cs="宋体"/>
                <w:b/>
                <w:bCs/>
                <w:sz w:val="24"/>
                <w:szCs w:val="24"/>
              </w:rPr>
            </w:pPr>
            <w:r>
              <w:rPr>
                <w:rFonts w:hint="eastAsia" w:ascii="宋体" w:hAnsi="宋体" w:eastAsia="宋体" w:cs="宋体"/>
                <w:sz w:val="24"/>
                <w:szCs w:val="24"/>
              </w:rPr>
              <w:t>10、管理控制中心当登录账号输入密码错误次数超过锁定阈值后账号将被锁定，且可设置锁定时间，该时间内账号登录请求不被接受。同时应支持双因子认证登录方式，提高安全性。</w:t>
            </w:r>
            <w:r>
              <w:rPr>
                <w:rFonts w:hint="eastAsia" w:ascii="宋体" w:hAnsi="宋体" w:eastAsia="宋体" w:cs="宋体"/>
                <w:b/>
                <w:bCs/>
                <w:sz w:val="24"/>
                <w:szCs w:val="24"/>
              </w:rPr>
              <w:t>【提供功能截图】</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11、客户端主程序、病毒库版本支持按分组和多批次进行灰度更新。支持设置不同终端类型设置和每批次观察时长。当检测到新版本将从第一批次重新观察。</w:t>
            </w:r>
            <w:r>
              <w:rPr>
                <w:rFonts w:hint="eastAsia" w:ascii="宋体" w:hAnsi="宋体" w:eastAsia="宋体" w:cs="宋体"/>
                <w:b/>
                <w:bCs/>
                <w:sz w:val="24"/>
                <w:szCs w:val="24"/>
              </w:rPr>
              <w:t>【提供功能截图】</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12、支持在线更新病毒库、补丁库、威胁情报等数据，并且支持“按月、按周、按天、按小时”灵活设置更新时间。支持隔离网环境更新数据。</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13、支持终端用户和管理员是一套账号管理系统，简化账号管理复杂度，一个账号解决所有身份认证，既可以用于终端登录，也可以用于管理管理中心。</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14、支持控制中心迁移、数据备份、数据恢复；支持多升级主机；</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支持自定义告警规则，例如系统一段时间内病毒和未知文件超过一定数量后会通过邮件发送给收件人查阅。支持邮件和云平台的短信告警通知。</w:t>
            </w:r>
            <w:r>
              <w:rPr>
                <w:rFonts w:hint="eastAsia" w:ascii="宋体" w:hAnsi="宋体" w:eastAsia="宋体" w:cs="宋体"/>
                <w:b/>
                <w:bCs/>
                <w:sz w:val="24"/>
                <w:szCs w:val="24"/>
              </w:rPr>
              <w:t>【提供功能截图】</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15、支持终端密码保护功能，支持终端“防退出”密码保护、“防卸载”密码保护、防安装密码保护，终端防退出密码和终端防卸载密码支持哈希算法和国密算法。支持设置自我保护功能，可有效防止客户端进程被恶意终止、注入、提高客户端进程、数据、配置的安全性。</w:t>
            </w:r>
            <w:r>
              <w:rPr>
                <w:rFonts w:hint="eastAsia" w:ascii="宋体" w:hAnsi="宋体" w:eastAsia="宋体" w:cs="宋体"/>
                <w:b/>
                <w:bCs/>
                <w:sz w:val="24"/>
                <w:szCs w:val="24"/>
              </w:rPr>
              <w:t>【提供功能截图】</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16、支持扫描资源占用设置，可设置不限制、均衡型、低资源三种模式。</w:t>
            </w:r>
            <w:r>
              <w:rPr>
                <w:rFonts w:hint="eastAsia" w:ascii="宋体" w:hAnsi="宋体" w:eastAsia="宋体" w:cs="宋体"/>
                <w:b/>
                <w:bCs/>
                <w:sz w:val="24"/>
                <w:szCs w:val="24"/>
              </w:rPr>
              <w:t>【提供功能截图】</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17、支持僵尸网络攻击防护，对流出本机的网络包数据和行为进行检测，根据策略在网络层拦截后门攻击、C2连接等威胁。</w:t>
            </w:r>
            <w:r>
              <w:rPr>
                <w:rFonts w:hint="eastAsia" w:ascii="宋体" w:hAnsi="宋体" w:eastAsia="宋体" w:cs="宋体"/>
                <w:b/>
                <w:bCs/>
                <w:sz w:val="24"/>
                <w:szCs w:val="24"/>
              </w:rPr>
              <w:t>【提供功能截图】</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18、支持对Windows操作系统、IE、.NET Framework、Office、Adobe Flash Player、Adobe Acrobat和Adobe Acrobat Reader DC、硬件驱动更新等软件进行补丁修复。</w:t>
            </w:r>
            <w:r>
              <w:rPr>
                <w:rFonts w:hint="eastAsia" w:ascii="宋体" w:hAnsi="宋体" w:eastAsia="宋体" w:cs="宋体"/>
                <w:b/>
                <w:bCs/>
                <w:sz w:val="24"/>
                <w:szCs w:val="24"/>
              </w:rPr>
              <w:t>【提供功能截图】</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19、支持按补丁类型和级别修复，补丁级别需包括：安全更新、重要补丁、功能补丁、可选补丁。支持仅安装指定补丁设置</w:t>
            </w:r>
            <w:r>
              <w:rPr>
                <w:rFonts w:hint="eastAsia" w:ascii="宋体" w:hAnsi="宋体" w:eastAsia="宋体" w:cs="宋体"/>
                <w:b/>
                <w:bCs/>
                <w:sz w:val="24"/>
                <w:szCs w:val="24"/>
              </w:rPr>
              <w:t>。【提供功能截图】</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20、支持按终端统计补丁安装和生效情况，支持按照终端维度统计，统计每台终端的各个级别的补丁未安装数量，以及已安装、已安装未生效、已排除的总数量，支持强制停止安装和卸载补丁，并支持导出统计报表。</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21、支持对停服系统补丁管理，支持统计即将停服的操作系统，显示操作系统、版本类型、系统位数、停服日期、终端数和升级建议，可直接下发策略进行升级。</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22、支持终端进程红名单、黑名单、白名单功能。可设置核心进程必须运行，也可保护核心进程不被结束，违规并告警。</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23、支持统计终端的出口地址列表，搜集终端连接的无线信号信息统一展示，标识出ssid可连通互联网，可连通主机的情况，汇总展示内网终端上报的进程信息，支持设置进程匹配规则，其它业务可直接调用创建好的进程规则或者进程分组。</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24、支持对互联网出口地址探测，支持对违规的互联网出口进行发现、断开网络、终端锁屏、断网+锁屏处理。支持例外白名单添加。</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25、支持对终端节能管理，支持对长时间运行、定时关机、空闲节能、工作时间外开机等节能类型设定策略，支持仅提示、关机、注销、锁定、关闭显示器、锁定+关闭显示器、休眠和睡眠处理。并支持提示倒计时弹窗，可设置在终端取消后下一次提醒时间。</w:t>
            </w:r>
            <w:r>
              <w:rPr>
                <w:rFonts w:hint="eastAsia" w:ascii="宋体" w:hAnsi="宋体" w:eastAsia="宋体" w:cs="宋体"/>
                <w:b/>
                <w:bCs/>
                <w:sz w:val="24"/>
                <w:szCs w:val="24"/>
              </w:rPr>
              <w:t>【提供功能截图】</w:t>
            </w:r>
          </w:p>
          <w:p>
            <w:pPr>
              <w:pStyle w:val="962"/>
              <w:spacing w:before="48" w:after="48"/>
              <w:ind w:firstLine="0" w:firstLineChars="0"/>
              <w:rPr>
                <w:rFonts w:hint="eastAsia" w:ascii="宋体" w:hAnsi="宋体" w:eastAsia="宋体" w:cs="宋体"/>
                <w:sz w:val="24"/>
                <w:szCs w:val="24"/>
              </w:rPr>
            </w:pPr>
            <w:r>
              <w:rPr>
                <w:rFonts w:hint="eastAsia" w:ascii="宋体" w:hAnsi="宋体" w:eastAsia="宋体" w:cs="宋体"/>
                <w:sz w:val="24"/>
                <w:szCs w:val="24"/>
              </w:rPr>
              <w:t>26、支持与本方案中配置的防火墙联动，实现基于终端健康状态的访问控制；并支持阻断“高风险”终端网络活动的同时，提示被阻断原因及重定向自定义网址。</w:t>
            </w:r>
            <w:r>
              <w:rPr>
                <w:rFonts w:hint="eastAsia" w:ascii="宋体" w:hAnsi="宋体" w:eastAsia="宋体" w:cs="宋体"/>
                <w:b/>
                <w:bCs/>
                <w:sz w:val="24"/>
                <w:szCs w:val="24"/>
              </w:rPr>
              <w:t>（投标文件需要提供能够体现上述功能及配置选项的截图）</w:t>
            </w:r>
            <w:r>
              <w:rPr>
                <w:rFonts w:hint="eastAsia" w:ascii="宋体" w:hAnsi="宋体" w:eastAsia="宋体" w:cs="宋体"/>
                <w:sz w:val="24"/>
                <w:szCs w:val="24"/>
              </w:rPr>
              <w:t>。</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套</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r>
      <w:tr>
        <w:tblPrEx>
          <w:tblCellMar>
            <w:top w:w="0" w:type="dxa"/>
            <w:left w:w="108" w:type="dxa"/>
            <w:bottom w:w="0" w:type="dxa"/>
            <w:right w:w="108" w:type="dxa"/>
          </w:tblCellMar>
        </w:tblPrEx>
        <w:trPr>
          <w:trHeight w:val="666"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22</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交换机管理图形化展示系统</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adjustRightInd/>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b/>
                <w:bCs/>
                <w:color w:val="000000"/>
                <w:kern w:val="0"/>
                <w:sz w:val="24"/>
                <w:szCs w:val="24"/>
                <w:lang w:bidi="ar"/>
              </w:rPr>
              <w:t>★</w:t>
            </w:r>
            <w:r>
              <w:rPr>
                <w:rFonts w:hint="eastAsia" w:ascii="宋体" w:hAnsi="宋体" w:eastAsia="宋体" w:cs="宋体"/>
                <w:color w:val="000000"/>
                <w:kern w:val="0"/>
                <w:sz w:val="24"/>
                <w:szCs w:val="24"/>
                <w:lang w:bidi="ar"/>
              </w:rPr>
              <w:t>1.采用国产X86芯片，每颗CPU物理核心数8核，每颗CPU主频2.8GHz，所有核心智能频率可提升至3.4GHz，最高加速频率智能频率可提升至3.7GHz，每颗CPU三级缓存16MB，支持超线程技术，线程16，TDP 95W；</w:t>
            </w:r>
            <w:r>
              <w:rPr>
                <w:rFonts w:hint="eastAsia" w:ascii="宋体" w:hAnsi="宋体" w:eastAsia="宋体" w:cs="宋体"/>
                <w:b/>
                <w:bCs/>
                <w:color w:val="000000"/>
                <w:kern w:val="0"/>
                <w:sz w:val="24"/>
                <w:szCs w:val="24"/>
                <w:lang w:bidi="ar"/>
              </w:rPr>
              <w:t>提供国产x86处理器证明函，证明函中至少包含芯片内置安全Boot ROM，采用国密算法等内容；</w:t>
            </w:r>
          </w:p>
          <w:p>
            <w:pPr>
              <w:pStyle w:val="2"/>
              <w:autoSpaceDE/>
              <w:autoSpaceDN/>
              <w:adjustRightInd/>
              <w:spacing w:line="240" w:lineRule="auto"/>
              <w:rPr>
                <w:rFonts w:hint="eastAsia" w:ascii="宋体" w:hAnsi="宋体" w:eastAsia="宋体" w:cs="宋体"/>
                <w:color w:val="000000"/>
                <w:kern w:val="0"/>
                <w:sz w:val="24"/>
                <w:szCs w:val="24"/>
                <w:lang w:val="en-US" w:bidi="ar"/>
              </w:rPr>
            </w:pPr>
            <w:r>
              <w:rPr>
                <w:rFonts w:hint="eastAsia" w:ascii="宋体" w:hAnsi="宋体" w:eastAsia="宋体" w:cs="宋体"/>
                <w:color w:val="000000"/>
                <w:kern w:val="0"/>
                <w:sz w:val="24"/>
                <w:szCs w:val="24"/>
                <w:lang w:val="en-US" w:bidi="ar"/>
              </w:rPr>
              <w:t>2</w:t>
            </w: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val="en-US" w:bidi="ar"/>
              </w:rPr>
              <w:t>配置16GB内存容量，最大扩容128GB内存，支持内存Register ECC保护、内存镜像、内存热备；</w:t>
            </w:r>
          </w:p>
          <w:p>
            <w:pPr>
              <w:pStyle w:val="3"/>
              <w:spacing w:line="240" w:lineRule="auto"/>
              <w:ind w:firstLine="0"/>
              <w:rPr>
                <w:rFonts w:hint="eastAsia" w:ascii="宋体" w:hAnsi="宋体" w:eastAsia="宋体" w:cs="宋体"/>
                <w:color w:val="000000"/>
                <w:kern w:val="0"/>
                <w:sz w:val="24"/>
                <w:szCs w:val="24"/>
                <w:lang w:val="en-US" w:bidi="ar"/>
              </w:rPr>
            </w:pPr>
            <w:r>
              <w:rPr>
                <w:rFonts w:hint="eastAsia" w:ascii="宋体" w:hAnsi="宋体" w:eastAsia="宋体" w:cs="宋体"/>
                <w:color w:val="000000"/>
                <w:kern w:val="0"/>
                <w:sz w:val="24"/>
                <w:szCs w:val="24"/>
                <w:lang w:val="en-US" w:bidi="ar"/>
              </w:rPr>
              <w:t>3</w:t>
            </w: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val="en-US" w:bidi="ar"/>
              </w:rPr>
              <w:t>容量满足256G SSD固态硬盘+1T SATA硬盘；</w:t>
            </w:r>
          </w:p>
          <w:p>
            <w:pPr>
              <w:pStyle w:val="3"/>
              <w:spacing w:line="240" w:lineRule="auto"/>
              <w:ind w:firstLine="0"/>
              <w:rPr>
                <w:rFonts w:hint="eastAsia" w:ascii="宋体" w:hAnsi="宋体" w:eastAsia="宋体" w:cs="宋体"/>
                <w:color w:val="000000"/>
                <w:kern w:val="0"/>
                <w:sz w:val="24"/>
                <w:szCs w:val="24"/>
                <w:lang w:val="en-US" w:bidi="ar"/>
              </w:rPr>
            </w:pPr>
            <w:r>
              <w:rPr>
                <w:rFonts w:hint="eastAsia" w:ascii="宋体" w:hAnsi="宋体" w:eastAsia="宋体" w:cs="宋体"/>
                <w:color w:val="000000"/>
                <w:kern w:val="0"/>
                <w:sz w:val="24"/>
                <w:szCs w:val="24"/>
                <w:lang w:val="en-US" w:bidi="ar"/>
              </w:rPr>
              <w:t>4</w:t>
            </w: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val="en-US" w:bidi="ar"/>
              </w:rPr>
              <w:t>不少于6个千兆网口，支持网络唤醒，网络冗余，负载均衡等网络高级特性；</w:t>
            </w:r>
          </w:p>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5.展示当前交换机各端口流量，设备负载等信息，可自动聚合分析，将若干个任意端口流量叠加综合分析，并可回放任意时间交换机任意端口的流量状态，充分协助学校信息化管理。</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套</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iCs/>
                <w:color w:val="0000FF"/>
                <w:sz w:val="24"/>
                <w:szCs w:val="24"/>
              </w:rPr>
            </w:pPr>
            <w:r>
              <w:rPr>
                <w:rFonts w:hint="eastAsia" w:ascii="宋体" w:hAnsi="宋体" w:eastAsia="宋体" w:cs="宋体"/>
                <w:color w:val="000000"/>
                <w:kern w:val="0"/>
                <w:sz w:val="24"/>
                <w:szCs w:val="24"/>
                <w:lang w:bidi="ar"/>
              </w:rPr>
              <w:t>1</w:t>
            </w:r>
          </w:p>
        </w:tc>
      </w:tr>
      <w:tr>
        <w:tblPrEx>
          <w:tblCellMar>
            <w:top w:w="0" w:type="dxa"/>
            <w:left w:w="108" w:type="dxa"/>
            <w:bottom w:w="0" w:type="dxa"/>
            <w:right w:w="108" w:type="dxa"/>
          </w:tblCellMar>
        </w:tblPrEx>
        <w:trPr>
          <w:trHeight w:val="8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23</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日志管理分析系统</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color w:val="000000"/>
                <w:sz w:val="24"/>
                <w:szCs w:val="24"/>
              </w:rPr>
            </w:pPr>
            <w:r>
              <w:rPr>
                <w:rFonts w:hint="eastAsia" w:ascii="宋体" w:hAnsi="宋体" w:eastAsia="宋体" w:cs="宋体"/>
                <w:color w:val="000000"/>
                <w:kern w:val="0"/>
                <w:sz w:val="24"/>
                <w:szCs w:val="24"/>
                <w:lang w:bidi="ar"/>
              </w:rPr>
              <w:t>1·6千兆网口，1T 企业级硬盘，包含基础系统软件一套2·日志分析涵盖机器数据收集、索引、搜索、监控、分析、可视化、告警等功能。搜索结果可以对文档（而非成行成列的数据）进行索引、搜索、排序、过滤。可以生成美观的可视化仪表盘</w:t>
            </w:r>
            <w:r>
              <w:rPr>
                <w:rFonts w:hint="eastAsia" w:ascii="宋体" w:hAnsi="宋体" w:eastAsia="宋体" w:cs="宋体"/>
                <w:b/>
                <w:bCs/>
                <w:color w:val="000000"/>
                <w:kern w:val="0"/>
                <w:sz w:val="24"/>
                <w:szCs w:val="24"/>
                <w:lang w:bidi="ar"/>
              </w:rPr>
              <w:t>(需提供截图证明材料)；</w:t>
            </w:r>
          </w:p>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2·可视化对象可以根据搜索、查看和与存储结果进行交互。</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3·可执行先进的数据分析和可视化多种格式的数据，如图表、表格、地图等。数据收集阶段可以选择执行标准化模式或字段拆分模式。具体实现的功能需包含：日志聚合功能，搜索功能，提取意义；</w:t>
            </w:r>
          </w:p>
          <w:p>
            <w:pPr>
              <w:widowControl/>
              <w:jc w:val="left"/>
              <w:textAlignment w:val="center"/>
              <w:rPr>
                <w:rFonts w:hint="eastAsia" w:ascii="宋体" w:hAnsi="宋体" w:eastAsia="宋体" w:cs="宋体"/>
                <w:b/>
                <w:bCs/>
                <w:color w:val="000000"/>
                <w:sz w:val="24"/>
                <w:szCs w:val="24"/>
              </w:rPr>
            </w:pPr>
            <w:r>
              <w:rPr>
                <w:rFonts w:hint="eastAsia" w:ascii="宋体" w:hAnsi="宋体" w:eastAsia="宋体" w:cs="宋体"/>
                <w:color w:val="000000"/>
                <w:kern w:val="0"/>
                <w:sz w:val="24"/>
                <w:szCs w:val="24"/>
                <w:lang w:bidi="ar"/>
              </w:rPr>
              <w:t>4·对结果进行分组，联合，拆分和格式化，可视化功能</w:t>
            </w:r>
            <w:r>
              <w:rPr>
                <w:rFonts w:hint="eastAsia" w:ascii="宋体" w:hAnsi="宋体" w:eastAsia="宋体" w:cs="宋体"/>
                <w:b/>
                <w:bCs/>
                <w:color w:val="000000"/>
                <w:kern w:val="0"/>
                <w:sz w:val="24"/>
                <w:szCs w:val="24"/>
                <w:lang w:bidi="ar"/>
              </w:rPr>
              <w:t xml:space="preserve"> (需提供截图证明材料)；</w:t>
            </w:r>
          </w:p>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5·电子邮件提醒功能；</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6·本系统不得提供试用版，即不得仅限于500MB/天的日志处理量或使用天数限制。不得仅提供日志存放功能而不具有日志分析，图形化展示功能，</w:t>
            </w:r>
            <w:r>
              <w:rPr>
                <w:rFonts w:hint="eastAsia" w:ascii="宋体" w:hAnsi="宋体" w:eastAsia="宋体" w:cs="宋体"/>
                <w:color w:val="000000"/>
                <w:kern w:val="0"/>
                <w:sz w:val="24"/>
                <w:szCs w:val="24"/>
                <w:lang w:val="en-US" w:eastAsia="zh-CN" w:bidi="ar"/>
              </w:rPr>
              <w:t>要求</w:t>
            </w:r>
            <w:r>
              <w:rPr>
                <w:rFonts w:hint="eastAsia" w:ascii="宋体" w:hAnsi="宋体" w:eastAsia="宋体" w:cs="宋体"/>
                <w:color w:val="000000"/>
                <w:kern w:val="0"/>
                <w:sz w:val="24"/>
                <w:szCs w:val="24"/>
                <w:lang w:bidi="ar"/>
              </w:rPr>
              <w:t>学校目前所有IT设备日志均可接入该系统。</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套</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r>
      <w:tr>
        <w:tblPrEx>
          <w:tblCellMar>
            <w:top w:w="0" w:type="dxa"/>
            <w:left w:w="108" w:type="dxa"/>
            <w:bottom w:w="0" w:type="dxa"/>
            <w:right w:w="108" w:type="dxa"/>
          </w:tblCellMar>
        </w:tblPrEx>
        <w:trPr>
          <w:trHeight w:val="8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内网流量分析一体机</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1·符合国家安全可靠自主可信总体战略采用国产X86芯片，每颗CPU物理核心数8核，每颗CPU主频2.8GHz；提供国产x86处理器证明函，证明函中至少包含芯片内置安全Boot ROM，采用国密算法等内容；</w:t>
            </w:r>
          </w:p>
          <w:p>
            <w:pPr>
              <w:widowControl/>
              <w:jc w:val="left"/>
              <w:rPr>
                <w:rFonts w:hint="eastAsia" w:ascii="宋体" w:hAnsi="宋体" w:eastAsia="宋体" w:cs="宋体"/>
                <w:sz w:val="24"/>
                <w:szCs w:val="24"/>
              </w:rPr>
            </w:pPr>
            <w:r>
              <w:rPr>
                <w:rFonts w:hint="eastAsia" w:ascii="宋体" w:hAnsi="宋体" w:eastAsia="宋体" w:cs="宋体"/>
                <w:sz w:val="24"/>
                <w:szCs w:val="24"/>
              </w:rPr>
              <w:t>2·配置16GB 内存、240G SSD固态硬盘，集成 BMC 芯片，支持 IPMI2.0、SOL、KVM Over IP、虚拟媒介等高级管理功能 ，对外提供 1 个 1Gbps RJ45 管理口，可支持 NCSI 功能；</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3·不少于6个千兆网口，支持网络唤醒，网络冗余，负载均衡等网络高级特性；</w:t>
            </w:r>
          </w:p>
          <w:p>
            <w:pPr>
              <w:widowControl/>
              <w:jc w:val="left"/>
              <w:textAlignment w:val="center"/>
              <w:rPr>
                <w:rFonts w:hint="eastAsia" w:ascii="宋体" w:hAnsi="宋体" w:eastAsia="宋体" w:cs="宋体"/>
                <w:b/>
                <w:bCs/>
                <w:sz w:val="24"/>
                <w:szCs w:val="24"/>
              </w:rPr>
            </w:pPr>
            <w:r>
              <w:rPr>
                <w:rFonts w:hint="eastAsia" w:ascii="宋体" w:hAnsi="宋体" w:eastAsia="宋体" w:cs="宋体"/>
                <w:sz w:val="24"/>
                <w:szCs w:val="24"/>
              </w:rPr>
              <w:t>4·内网流量分析系统能做到识别内网流量，数据形式，以最直观的形式展示学校内网流量</w:t>
            </w:r>
            <w:r>
              <w:rPr>
                <w:rFonts w:hint="eastAsia" w:ascii="宋体" w:hAnsi="宋体" w:eastAsia="宋体" w:cs="宋体"/>
                <w:b/>
                <w:bCs/>
                <w:sz w:val="24"/>
                <w:szCs w:val="24"/>
              </w:rPr>
              <w:t>(需提供截图证明材料)；</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5·可基于各种网络维度</w:t>
            </w:r>
            <w:r>
              <w:rPr>
                <w:rFonts w:hint="eastAsia" w:ascii="宋体" w:hAnsi="宋体" w:eastAsia="宋体" w:cs="宋体"/>
                <w:b/>
                <w:bCs/>
                <w:sz w:val="24"/>
                <w:szCs w:val="24"/>
              </w:rPr>
              <w:t>(需提供截图证明材料)，</w:t>
            </w:r>
            <w:r>
              <w:rPr>
                <w:rFonts w:hint="eastAsia" w:ascii="宋体" w:hAnsi="宋体" w:eastAsia="宋体" w:cs="宋体"/>
                <w:sz w:val="24"/>
                <w:szCs w:val="24"/>
              </w:rPr>
              <w:t>如IP，协议，流量等参数进行美观的数据可视化，充分展示学校网络利用率，直观显示当前网络状态，回放流量及网络状况；</w:t>
            </w:r>
          </w:p>
          <w:p>
            <w:pPr>
              <w:widowControl/>
              <w:jc w:val="left"/>
              <w:textAlignment w:val="center"/>
              <w:rPr>
                <w:rFonts w:hint="eastAsia" w:ascii="宋体" w:hAnsi="宋体" w:eastAsia="宋体" w:cs="宋体"/>
                <w:b/>
                <w:bCs/>
                <w:sz w:val="24"/>
                <w:szCs w:val="24"/>
              </w:rPr>
            </w:pPr>
            <w:r>
              <w:rPr>
                <w:rFonts w:hint="eastAsia" w:ascii="宋体" w:hAnsi="宋体" w:eastAsia="宋体" w:cs="宋体"/>
                <w:sz w:val="24"/>
                <w:szCs w:val="24"/>
              </w:rPr>
              <w:t>6·内网流量分析不以镜像流量为基础</w:t>
            </w:r>
            <w:r>
              <w:rPr>
                <w:rFonts w:hint="eastAsia" w:ascii="宋体" w:hAnsi="宋体" w:eastAsia="宋体" w:cs="宋体"/>
                <w:b/>
                <w:bCs/>
                <w:sz w:val="24"/>
                <w:szCs w:val="24"/>
              </w:rPr>
              <w:t>(需提供截图证明材料)，</w:t>
            </w:r>
            <w:r>
              <w:rPr>
                <w:rFonts w:hint="eastAsia" w:ascii="宋体" w:hAnsi="宋体" w:eastAsia="宋体" w:cs="宋体"/>
                <w:sz w:val="24"/>
                <w:szCs w:val="24"/>
              </w:rPr>
              <w:t>不影响当前园区网络交换机负载。</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7·包括网页漏洞利用检测、webshell上传检测、网络攻击检测、威胁情报检测功能，提供离线pcap包导入检测、基础旁路阻断和基础SSL解密功能。吞吐1Gbps；包括威胁感知，威胁狩猎，响应处置，态势大屏等高级功能</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r>
      <w:tr>
        <w:tblPrEx>
          <w:tblCellMar>
            <w:top w:w="0" w:type="dxa"/>
            <w:left w:w="108" w:type="dxa"/>
            <w:bottom w:w="0" w:type="dxa"/>
            <w:right w:w="108" w:type="dxa"/>
          </w:tblCellMar>
        </w:tblPrEx>
        <w:trPr>
          <w:trHeight w:val="356"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25</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网络配置自动备份系统</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要求做到定时巡视两个新老机房所有网络设备，自动发现配置更改，并自动备份，以网页的形式展示备份结果，并自动分析设备配置版本之间差异</w:t>
            </w:r>
            <w:r>
              <w:rPr>
                <w:rFonts w:hint="eastAsia" w:ascii="宋体" w:hAnsi="宋体" w:eastAsia="宋体" w:cs="宋体"/>
                <w:b/>
                <w:bCs/>
                <w:color w:val="000000"/>
                <w:kern w:val="0"/>
                <w:sz w:val="24"/>
                <w:szCs w:val="24"/>
                <w:lang w:bidi="ar"/>
              </w:rPr>
              <w:t>(需提供截图证明材料)</w:t>
            </w:r>
            <w:r>
              <w:rPr>
                <w:rFonts w:hint="eastAsia" w:ascii="宋体" w:hAnsi="宋体" w:eastAsia="宋体" w:cs="宋体"/>
                <w:color w:val="000000"/>
                <w:kern w:val="0"/>
                <w:sz w:val="24"/>
                <w:szCs w:val="24"/>
                <w:lang w:bidi="ar"/>
              </w:rPr>
              <w:t>，可以直观的图形化形式展示。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套</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r>
      <w:tr>
        <w:tblPrEx>
          <w:tblCellMar>
            <w:top w:w="0" w:type="dxa"/>
            <w:left w:w="108" w:type="dxa"/>
            <w:bottom w:w="0" w:type="dxa"/>
            <w:right w:w="108" w:type="dxa"/>
          </w:tblCellMar>
        </w:tblPrEx>
        <w:trPr>
          <w:trHeight w:val="8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26</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信息化安全漏洞扫描平台</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1·符合国家安全可靠自主可信总体战略，采用国产X86芯片，每颗CPU物理核心数8核，每颗CPU主频2.8GHz；提供国产x86处理器证明函，证明函中至少包含芯片内置安全Boot ROM，采用国密算法等内容</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2·配置16GB 内存、240G SSD固态硬盘；</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3·不少于6个千兆网口，支持网络唤醒，网络冗余，负载均衡等网络高级特性</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4 · Web扫描域名无限制，Web扫描任务并发数为5个域名。系统扫描IP地址最大支持1024个，支持扫描A类、B类、C类地址，系统扫描支持50个IP地址并行扫描</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5·图形化界面，按部署任务自动进行漏洞扫描，并生成多种格式报告</w:t>
            </w:r>
            <w:r>
              <w:rPr>
                <w:rFonts w:hint="eastAsia" w:ascii="宋体" w:hAnsi="宋体" w:eastAsia="宋体" w:cs="宋体"/>
                <w:b/>
                <w:bCs/>
                <w:sz w:val="24"/>
                <w:szCs w:val="24"/>
              </w:rPr>
              <w:t>(需提供截图证明材料)</w:t>
            </w:r>
            <w:r>
              <w:rPr>
                <w:rFonts w:hint="eastAsia" w:ascii="宋体" w:hAnsi="宋体" w:eastAsia="宋体" w:cs="宋体"/>
                <w:sz w:val="24"/>
                <w:szCs w:val="24"/>
              </w:rPr>
              <w:t>，自动关联主流漏洞库和安全信息库，辅助学校做好信息安全工作。</w:t>
            </w:r>
          </w:p>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6·安全漏洞扫描特征库5年升级服务包。</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套</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r>
      <w:tr>
        <w:tblPrEx>
          <w:tblCellMar>
            <w:top w:w="0" w:type="dxa"/>
            <w:left w:w="108" w:type="dxa"/>
            <w:bottom w:w="0" w:type="dxa"/>
            <w:right w:w="108" w:type="dxa"/>
          </w:tblCellMar>
        </w:tblPrEx>
        <w:trPr>
          <w:trHeight w:val="8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27</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机柜</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
              </w:numPr>
              <w:jc w:val="left"/>
              <w:textAlignment w:val="center"/>
              <w:rPr>
                <w:rFonts w:hint="eastAsia" w:ascii="宋体" w:hAnsi="宋体" w:eastAsia="宋体" w:cs="宋体"/>
                <w:sz w:val="24"/>
                <w:szCs w:val="24"/>
              </w:rPr>
            </w:pPr>
            <w:r>
              <w:rPr>
                <w:rFonts w:hint="eastAsia" w:ascii="宋体" w:hAnsi="宋体" w:eastAsia="宋体" w:cs="宋体"/>
                <w:sz w:val="24"/>
                <w:szCs w:val="24"/>
              </w:rPr>
              <w:t>尺寸：600mm(W)*42U*1000mm(D)；</w:t>
            </w:r>
          </w:p>
          <w:p>
            <w:pPr>
              <w:widowControl/>
              <w:numPr>
                <w:ilvl w:val="0"/>
                <w:numId w:val="4"/>
              </w:numPr>
              <w:jc w:val="left"/>
              <w:textAlignment w:val="center"/>
              <w:rPr>
                <w:rFonts w:hint="eastAsia" w:ascii="宋体" w:hAnsi="宋体" w:eastAsia="宋体" w:cs="宋体"/>
                <w:sz w:val="24"/>
                <w:szCs w:val="24"/>
              </w:rPr>
            </w:pPr>
            <w:r>
              <w:rPr>
                <w:rFonts w:hint="eastAsia" w:ascii="宋体" w:hAnsi="宋体" w:eastAsia="宋体" w:cs="宋体"/>
                <w:sz w:val="24"/>
                <w:szCs w:val="24"/>
              </w:rPr>
              <w:t>前门：单开网孔门，</w:t>
            </w:r>
          </w:p>
          <w:p>
            <w:pPr>
              <w:widowControl/>
              <w:numPr>
                <w:ilvl w:val="0"/>
                <w:numId w:val="4"/>
              </w:numPr>
              <w:jc w:val="left"/>
              <w:textAlignment w:val="center"/>
              <w:rPr>
                <w:rFonts w:hint="eastAsia" w:ascii="宋体" w:hAnsi="宋体" w:eastAsia="宋体" w:cs="宋体"/>
                <w:sz w:val="24"/>
                <w:szCs w:val="24"/>
              </w:rPr>
            </w:pPr>
            <w:r>
              <w:rPr>
                <w:rFonts w:hint="eastAsia" w:ascii="宋体" w:hAnsi="宋体" w:eastAsia="宋体" w:cs="宋体"/>
                <w:sz w:val="24"/>
                <w:szCs w:val="24"/>
              </w:rPr>
              <w:t>后门：双开网孔门；</w:t>
            </w:r>
          </w:p>
          <w:p>
            <w:pPr>
              <w:widowControl/>
              <w:numPr>
                <w:ilvl w:val="0"/>
                <w:numId w:val="4"/>
              </w:numPr>
              <w:jc w:val="left"/>
              <w:textAlignment w:val="center"/>
              <w:rPr>
                <w:rFonts w:hint="eastAsia" w:ascii="宋体" w:hAnsi="宋体" w:eastAsia="宋体" w:cs="宋体"/>
                <w:sz w:val="24"/>
                <w:szCs w:val="24"/>
              </w:rPr>
            </w:pPr>
            <w:r>
              <w:rPr>
                <w:rFonts w:hint="eastAsia" w:ascii="宋体" w:hAnsi="宋体" w:eastAsia="宋体" w:cs="宋体"/>
                <w:sz w:val="24"/>
                <w:szCs w:val="24"/>
              </w:rPr>
              <w:t>含4个安装角轨；</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台</w:t>
            </w:r>
          </w:p>
        </w:tc>
        <w:tc>
          <w:tcPr>
            <w:tcW w:w="663" w:type="dxa"/>
            <w:tcBorders>
              <w:top w:val="single" w:color="000000" w:sz="4" w:space="0"/>
              <w:left w:val="single" w:color="000000" w:sz="4" w:space="0"/>
              <w:bottom w:val="single" w:color="000000" w:sz="4" w:space="0"/>
              <w:right w:val="single" w:color="000000" w:sz="4" w:space="0"/>
            </w:tcBorders>
            <w:vAlign w:val="center"/>
          </w:tcPr>
          <w:p>
            <w:pPr>
              <w:pStyle w:val="2"/>
              <w:rPr>
                <w:rFonts w:hint="eastAsia" w:ascii="宋体" w:hAnsi="宋体" w:eastAsia="宋体" w:cs="宋体"/>
                <w:sz w:val="24"/>
                <w:szCs w:val="24"/>
                <w:lang w:val="en-US"/>
              </w:rPr>
            </w:pPr>
            <w:r>
              <w:rPr>
                <w:rFonts w:hint="eastAsia" w:ascii="宋体" w:hAnsi="宋体" w:eastAsia="宋体" w:cs="宋体"/>
                <w:sz w:val="24"/>
                <w:szCs w:val="24"/>
                <w:lang w:val="en-US"/>
              </w:rPr>
              <w:t>3</w:t>
            </w:r>
          </w:p>
        </w:tc>
      </w:tr>
      <w:tr>
        <w:tblPrEx>
          <w:tblCellMar>
            <w:top w:w="0" w:type="dxa"/>
            <w:left w:w="108" w:type="dxa"/>
            <w:bottom w:w="0" w:type="dxa"/>
            <w:right w:w="108" w:type="dxa"/>
          </w:tblCellMar>
        </w:tblPrEx>
        <w:trPr>
          <w:trHeight w:val="8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28</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轻载固定承板</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5"/>
              </w:numPr>
              <w:jc w:val="left"/>
              <w:textAlignment w:val="center"/>
              <w:rPr>
                <w:rFonts w:hint="eastAsia" w:ascii="宋体" w:hAnsi="宋体" w:eastAsia="宋体" w:cs="宋体"/>
                <w:sz w:val="24"/>
                <w:szCs w:val="24"/>
              </w:rPr>
            </w:pPr>
            <w:r>
              <w:rPr>
                <w:rFonts w:hint="eastAsia" w:ascii="宋体" w:hAnsi="宋体" w:eastAsia="宋体" w:cs="宋体"/>
                <w:sz w:val="24"/>
                <w:szCs w:val="24"/>
              </w:rPr>
              <w:t>材质：冷轧钢板</w:t>
            </w:r>
          </w:p>
          <w:p>
            <w:pPr>
              <w:widowControl/>
              <w:numPr>
                <w:ilvl w:val="0"/>
                <w:numId w:val="5"/>
              </w:numPr>
              <w:jc w:val="left"/>
              <w:textAlignment w:val="center"/>
              <w:rPr>
                <w:rFonts w:hint="eastAsia" w:ascii="宋体" w:hAnsi="宋体" w:eastAsia="宋体" w:cs="宋体"/>
                <w:sz w:val="24"/>
                <w:szCs w:val="24"/>
              </w:rPr>
            </w:pPr>
            <w:r>
              <w:rPr>
                <w:rFonts w:hint="eastAsia" w:ascii="宋体" w:hAnsi="宋体" w:eastAsia="宋体" w:cs="宋体"/>
                <w:sz w:val="24"/>
                <w:szCs w:val="24"/>
              </w:rPr>
              <w:t>用途：提供非机架式设备放置平面</w:t>
            </w:r>
          </w:p>
          <w:p>
            <w:pPr>
              <w:widowControl/>
              <w:numPr>
                <w:ilvl w:val="0"/>
                <w:numId w:val="5"/>
              </w:numPr>
              <w:jc w:val="left"/>
              <w:textAlignment w:val="center"/>
              <w:rPr>
                <w:rFonts w:hint="eastAsia" w:ascii="宋体" w:hAnsi="宋体" w:eastAsia="宋体" w:cs="宋体"/>
                <w:sz w:val="24"/>
                <w:szCs w:val="24"/>
              </w:rPr>
            </w:pPr>
            <w:r>
              <w:rPr>
                <w:rFonts w:hint="eastAsia" w:ascii="宋体" w:hAnsi="宋体" w:eastAsia="宋体" w:cs="宋体"/>
                <w:sz w:val="24"/>
                <w:szCs w:val="24"/>
              </w:rPr>
              <w:t>柜深：1000mm</w:t>
            </w:r>
          </w:p>
          <w:p>
            <w:pPr>
              <w:widowControl/>
              <w:numPr>
                <w:ilvl w:val="0"/>
                <w:numId w:val="5"/>
              </w:numPr>
              <w:jc w:val="left"/>
              <w:textAlignment w:val="center"/>
              <w:rPr>
                <w:rFonts w:hint="eastAsia" w:ascii="宋体" w:hAnsi="宋体" w:eastAsia="宋体" w:cs="宋体"/>
                <w:sz w:val="24"/>
                <w:szCs w:val="24"/>
              </w:rPr>
            </w:pPr>
            <w:r>
              <w:rPr>
                <w:rFonts w:hint="eastAsia" w:ascii="宋体" w:hAnsi="宋体" w:eastAsia="宋体" w:cs="宋体"/>
                <w:sz w:val="24"/>
                <w:szCs w:val="24"/>
              </w:rPr>
              <w:t>承载重量≤50KGS</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块</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w:t>
            </w:r>
          </w:p>
        </w:tc>
      </w:tr>
      <w:tr>
        <w:tblPrEx>
          <w:tblCellMar>
            <w:top w:w="0" w:type="dxa"/>
            <w:left w:w="108" w:type="dxa"/>
            <w:bottom w:w="0" w:type="dxa"/>
            <w:right w:w="108" w:type="dxa"/>
          </w:tblCellMar>
        </w:tblPrEx>
        <w:trPr>
          <w:trHeight w:val="8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29</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重载固定承板</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6"/>
              </w:numPr>
              <w:jc w:val="left"/>
              <w:textAlignment w:val="center"/>
              <w:rPr>
                <w:rFonts w:hint="eastAsia" w:ascii="宋体" w:hAnsi="宋体" w:eastAsia="宋体" w:cs="宋体"/>
                <w:sz w:val="24"/>
                <w:szCs w:val="24"/>
              </w:rPr>
            </w:pPr>
            <w:r>
              <w:rPr>
                <w:rFonts w:hint="eastAsia" w:ascii="宋体" w:hAnsi="宋体" w:eastAsia="宋体" w:cs="宋体"/>
                <w:sz w:val="24"/>
                <w:szCs w:val="24"/>
              </w:rPr>
              <w:t>材质：冷轧钢板</w:t>
            </w:r>
          </w:p>
          <w:p>
            <w:pPr>
              <w:widowControl/>
              <w:numPr>
                <w:ilvl w:val="0"/>
                <w:numId w:val="6"/>
              </w:numPr>
              <w:jc w:val="left"/>
              <w:textAlignment w:val="center"/>
              <w:rPr>
                <w:rFonts w:hint="eastAsia" w:ascii="宋体" w:hAnsi="宋体" w:eastAsia="宋体" w:cs="宋体"/>
                <w:sz w:val="24"/>
                <w:szCs w:val="24"/>
              </w:rPr>
            </w:pPr>
            <w:r>
              <w:rPr>
                <w:rFonts w:hint="eastAsia" w:ascii="宋体" w:hAnsi="宋体" w:eastAsia="宋体" w:cs="宋体"/>
                <w:sz w:val="24"/>
                <w:szCs w:val="24"/>
              </w:rPr>
              <w:t>用途：提供非机架式设备放置平面</w:t>
            </w:r>
          </w:p>
          <w:p>
            <w:pPr>
              <w:widowControl/>
              <w:numPr>
                <w:ilvl w:val="0"/>
                <w:numId w:val="6"/>
              </w:numPr>
              <w:jc w:val="left"/>
              <w:textAlignment w:val="center"/>
              <w:rPr>
                <w:rFonts w:hint="eastAsia" w:ascii="宋体" w:hAnsi="宋体" w:eastAsia="宋体" w:cs="宋体"/>
                <w:sz w:val="24"/>
                <w:szCs w:val="24"/>
              </w:rPr>
            </w:pPr>
            <w:r>
              <w:rPr>
                <w:rFonts w:hint="eastAsia" w:ascii="宋体" w:hAnsi="宋体" w:eastAsia="宋体" w:cs="宋体"/>
                <w:sz w:val="24"/>
                <w:szCs w:val="24"/>
              </w:rPr>
              <w:t>柜深：1000mm</w:t>
            </w:r>
          </w:p>
          <w:p>
            <w:pPr>
              <w:widowControl/>
              <w:numPr>
                <w:ilvl w:val="0"/>
                <w:numId w:val="6"/>
              </w:numPr>
              <w:jc w:val="left"/>
              <w:textAlignment w:val="center"/>
              <w:rPr>
                <w:rFonts w:hint="eastAsia" w:ascii="宋体" w:hAnsi="宋体" w:eastAsia="宋体" w:cs="宋体"/>
                <w:sz w:val="24"/>
                <w:szCs w:val="24"/>
              </w:rPr>
            </w:pPr>
            <w:r>
              <w:rPr>
                <w:rFonts w:hint="eastAsia" w:ascii="宋体" w:hAnsi="宋体" w:eastAsia="宋体" w:cs="宋体"/>
                <w:sz w:val="24"/>
                <w:szCs w:val="24"/>
              </w:rPr>
              <w:t>承载重量≤100KGS</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块</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4"/>
                <w:szCs w:val="24"/>
              </w:rPr>
            </w:pPr>
          </w:p>
          <w:p>
            <w:pPr>
              <w:pStyle w:val="2"/>
              <w:rPr>
                <w:rFonts w:hint="eastAsia" w:ascii="宋体" w:hAnsi="宋体" w:eastAsia="宋体" w:cs="宋体"/>
                <w:sz w:val="24"/>
                <w:szCs w:val="24"/>
                <w:lang w:val="en-US"/>
              </w:rPr>
            </w:pPr>
            <w:r>
              <w:rPr>
                <w:rFonts w:hint="eastAsia" w:ascii="宋体" w:hAnsi="宋体" w:eastAsia="宋体" w:cs="宋体"/>
                <w:sz w:val="24"/>
                <w:szCs w:val="24"/>
                <w:lang w:val="en-US"/>
              </w:rPr>
              <w:t>6</w:t>
            </w:r>
          </w:p>
        </w:tc>
      </w:tr>
      <w:tr>
        <w:tblPrEx>
          <w:tblCellMar>
            <w:top w:w="0" w:type="dxa"/>
            <w:left w:w="108" w:type="dxa"/>
            <w:bottom w:w="0" w:type="dxa"/>
            <w:right w:w="108" w:type="dxa"/>
          </w:tblCellMar>
        </w:tblPrEx>
        <w:trPr>
          <w:trHeight w:val="8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31</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附件包</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7"/>
              </w:numPr>
              <w:jc w:val="left"/>
              <w:textAlignment w:val="center"/>
              <w:rPr>
                <w:rFonts w:hint="eastAsia" w:ascii="宋体" w:hAnsi="宋体" w:eastAsia="宋体" w:cs="宋体"/>
                <w:sz w:val="24"/>
                <w:szCs w:val="24"/>
              </w:rPr>
            </w:pPr>
            <w:r>
              <w:rPr>
                <w:rFonts w:hint="eastAsia" w:ascii="宋体" w:hAnsi="宋体" w:eastAsia="宋体" w:cs="宋体"/>
                <w:sz w:val="24"/>
                <w:szCs w:val="24"/>
              </w:rPr>
              <w:t>套件种类：卡式螺母，十字皇冠螺钉；</w:t>
            </w:r>
          </w:p>
          <w:p>
            <w:pPr>
              <w:widowControl/>
              <w:numPr>
                <w:ilvl w:val="0"/>
                <w:numId w:val="7"/>
              </w:numPr>
              <w:jc w:val="left"/>
              <w:textAlignment w:val="center"/>
              <w:rPr>
                <w:rFonts w:hint="eastAsia" w:ascii="宋体" w:hAnsi="宋体" w:eastAsia="宋体" w:cs="宋体"/>
                <w:sz w:val="24"/>
                <w:szCs w:val="24"/>
              </w:rPr>
            </w:pPr>
            <w:r>
              <w:rPr>
                <w:rFonts w:hint="eastAsia" w:ascii="宋体" w:hAnsi="宋体" w:eastAsia="宋体" w:cs="宋体"/>
                <w:sz w:val="24"/>
                <w:szCs w:val="24"/>
              </w:rPr>
              <w:t>包装方法：60个/套</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个</w:t>
            </w:r>
          </w:p>
        </w:tc>
        <w:tc>
          <w:tcPr>
            <w:tcW w:w="663" w:type="dxa"/>
            <w:tcBorders>
              <w:top w:val="single" w:color="000000" w:sz="4" w:space="0"/>
              <w:left w:val="single" w:color="000000" w:sz="4" w:space="0"/>
              <w:bottom w:val="single" w:color="000000" w:sz="4" w:space="0"/>
              <w:right w:val="single" w:color="000000" w:sz="4" w:space="0"/>
            </w:tcBorders>
            <w:vAlign w:val="center"/>
          </w:tcPr>
          <w:p>
            <w:pPr>
              <w:pStyle w:val="2"/>
              <w:rPr>
                <w:rFonts w:hint="eastAsia" w:ascii="宋体" w:hAnsi="宋体" w:eastAsia="宋体" w:cs="宋体"/>
                <w:sz w:val="24"/>
                <w:szCs w:val="24"/>
                <w:lang w:val="en-US"/>
              </w:rPr>
            </w:pPr>
            <w:r>
              <w:rPr>
                <w:rFonts w:hint="eastAsia" w:ascii="宋体" w:hAnsi="宋体" w:eastAsia="宋体" w:cs="宋体"/>
                <w:sz w:val="24"/>
                <w:szCs w:val="24"/>
                <w:lang w:val="en-US"/>
              </w:rPr>
              <w:t>6</w:t>
            </w:r>
          </w:p>
        </w:tc>
      </w:tr>
      <w:tr>
        <w:tblPrEx>
          <w:tblCellMar>
            <w:top w:w="0" w:type="dxa"/>
            <w:left w:w="108" w:type="dxa"/>
            <w:bottom w:w="0" w:type="dxa"/>
            <w:right w:w="108" w:type="dxa"/>
          </w:tblCellMar>
        </w:tblPrEx>
        <w:trPr>
          <w:trHeight w:val="8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32</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机架供电</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1.6位万用插座口+2位16A国标三扁插座口，带20KA防雷模块；</w:t>
            </w:r>
          </w:p>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2.标准电缆线长1.5米，32A电源线；</w:t>
            </w:r>
          </w:p>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3.用途：适用于19"机架安装。</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只</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10</w:t>
            </w:r>
          </w:p>
        </w:tc>
      </w:tr>
      <w:tr>
        <w:tblPrEx>
          <w:tblCellMar>
            <w:top w:w="0" w:type="dxa"/>
            <w:left w:w="108" w:type="dxa"/>
            <w:bottom w:w="0" w:type="dxa"/>
            <w:right w:w="108" w:type="dxa"/>
          </w:tblCellMar>
        </w:tblPrEx>
        <w:trPr>
          <w:trHeight w:val="8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33</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光跳线</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LC-LC  3米</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条</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110</w:t>
            </w:r>
          </w:p>
        </w:tc>
      </w:tr>
      <w:tr>
        <w:tblPrEx>
          <w:tblCellMar>
            <w:top w:w="0" w:type="dxa"/>
            <w:left w:w="108" w:type="dxa"/>
            <w:bottom w:w="0" w:type="dxa"/>
            <w:right w:w="108" w:type="dxa"/>
          </w:tblCellMar>
        </w:tblPrEx>
        <w:trPr>
          <w:trHeight w:val="8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4"/>
                <w:szCs w:val="24"/>
              </w:rPr>
            </w:pPr>
          </w:p>
          <w:p>
            <w:pPr>
              <w:pStyle w:val="2"/>
              <w:rPr>
                <w:rFonts w:hint="eastAsia" w:ascii="宋体" w:hAnsi="宋体" w:eastAsia="宋体" w:cs="宋体"/>
                <w:sz w:val="24"/>
                <w:szCs w:val="24"/>
                <w:lang w:val="en-US"/>
              </w:rPr>
            </w:pPr>
            <w:r>
              <w:rPr>
                <w:rFonts w:hint="eastAsia" w:ascii="宋体" w:hAnsi="宋体" w:eastAsia="宋体" w:cs="宋体"/>
                <w:sz w:val="24"/>
                <w:szCs w:val="24"/>
                <w:lang w:val="en-US"/>
              </w:rPr>
              <w:t>34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3米六类跳线</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 六类  3米</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根</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400</w:t>
            </w:r>
          </w:p>
        </w:tc>
      </w:tr>
      <w:tr>
        <w:tblPrEx>
          <w:tblCellMar>
            <w:top w:w="0" w:type="dxa"/>
            <w:left w:w="108" w:type="dxa"/>
            <w:bottom w:w="0" w:type="dxa"/>
            <w:right w:w="108" w:type="dxa"/>
          </w:tblCellMar>
        </w:tblPrEx>
        <w:trPr>
          <w:trHeight w:val="840" w:hRule="atLeast"/>
          <w:jc w:val="center"/>
        </w:trPr>
        <w:tc>
          <w:tcPr>
            <w:tcW w:w="505" w:type="dxa"/>
            <w:tcBorders>
              <w:top w:val="single" w:color="000000" w:sz="4" w:space="0"/>
              <w:left w:val="single" w:color="000000" w:sz="4" w:space="0"/>
              <w:bottom w:val="single" w:color="000000" w:sz="4" w:space="0"/>
              <w:right w:val="single" w:color="000000" w:sz="4" w:space="0"/>
            </w:tcBorders>
            <w:vAlign w:val="center"/>
          </w:tcPr>
          <w:p>
            <w:pPr>
              <w:pStyle w:val="2"/>
              <w:rPr>
                <w:rFonts w:hint="eastAsia" w:ascii="宋体" w:hAnsi="宋体" w:eastAsia="宋体" w:cs="宋体"/>
                <w:sz w:val="24"/>
                <w:szCs w:val="24"/>
                <w:lang w:val="en-US"/>
              </w:rPr>
            </w:pPr>
            <w:r>
              <w:rPr>
                <w:rFonts w:hint="eastAsia" w:ascii="宋体" w:hAnsi="宋体" w:eastAsia="宋体" w:cs="宋体"/>
                <w:sz w:val="24"/>
                <w:szCs w:val="24"/>
                <w:lang w:val="en-US"/>
              </w:rPr>
              <w:t>35</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广播室</w:t>
            </w:r>
            <w:r>
              <w:rPr>
                <w:rFonts w:hint="eastAsia" w:ascii="宋体" w:hAnsi="宋体" w:eastAsia="宋体" w:cs="宋体"/>
                <w:color w:val="000000"/>
                <w:kern w:val="0"/>
                <w:sz w:val="24"/>
                <w:szCs w:val="24"/>
                <w:lang w:val="en-US" w:eastAsia="zh-CN" w:bidi="ar"/>
              </w:rPr>
              <w:t>老</w:t>
            </w:r>
            <w:r>
              <w:rPr>
                <w:rFonts w:hint="eastAsia" w:ascii="宋体" w:hAnsi="宋体" w:eastAsia="宋体" w:cs="宋体"/>
                <w:color w:val="000000"/>
                <w:kern w:val="0"/>
                <w:sz w:val="24"/>
                <w:szCs w:val="24"/>
                <w:lang w:bidi="ar"/>
              </w:rPr>
              <w:t>机房迁移</w:t>
            </w:r>
          </w:p>
        </w:tc>
        <w:tc>
          <w:tcPr>
            <w:tcW w:w="6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广播原机房设备和数据无缝迁移到新广播机房(包含拆除、上架、数据调试扩容等）</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项</w:t>
            </w:r>
          </w:p>
        </w:tc>
        <w:tc>
          <w:tcPr>
            <w:tcW w:w="6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r>
    </w:tbl>
    <w:p>
      <w:pPr>
        <w:snapToGrid w:val="0"/>
        <w:spacing w:line="360" w:lineRule="auto"/>
        <w:rPr>
          <w:rFonts w:hint="eastAsia" w:ascii="宋体" w:hAnsi="宋体" w:eastAsia="宋体" w:cs="宋体"/>
          <w:sz w:val="24"/>
          <w:szCs w:val="24"/>
          <w:highlight w:val="none"/>
        </w:rPr>
      </w:pPr>
      <w:r>
        <w:rPr>
          <w:rFonts w:hint="eastAsia" w:ascii="宋体" w:hAnsi="宋体" w:eastAsia="宋体" w:cs="宋体"/>
          <w:b/>
          <w:bCs/>
          <w:sz w:val="24"/>
          <w:szCs w:val="24"/>
          <w:highlight w:val="none"/>
        </w:rPr>
        <w:t>注：具体相关材料及工作量请现场实地勘察测量包含于以上报价中，本项目为交钥匙工程，后期不得再行增补。</w:t>
      </w:r>
    </w:p>
    <w:p>
      <w:pPr>
        <w:widowControl/>
        <w:spacing w:line="360" w:lineRule="auto"/>
        <w:jc w:val="left"/>
        <w:rPr>
          <w:rFonts w:hint="eastAsia" w:ascii="宋体" w:hAnsi="宋体" w:eastAsia="宋体" w:cs="宋体"/>
          <w:b/>
          <w:sz w:val="24"/>
          <w:szCs w:val="24"/>
        </w:rPr>
      </w:pPr>
    </w:p>
    <w:p>
      <w:pPr>
        <w:widowControl/>
        <w:spacing w:line="360" w:lineRule="auto"/>
        <w:jc w:val="left"/>
        <w:rPr>
          <w:rFonts w:hint="eastAsia" w:ascii="宋体" w:hAnsi="宋体" w:eastAsia="宋体" w:cs="宋体"/>
          <w:b/>
          <w:sz w:val="24"/>
          <w:szCs w:val="24"/>
        </w:rPr>
      </w:pPr>
      <w:r>
        <w:rPr>
          <w:rFonts w:hint="eastAsia" w:ascii="宋体" w:hAnsi="宋体" w:eastAsia="宋体" w:cs="宋体"/>
          <w:b/>
          <w:sz w:val="24"/>
          <w:szCs w:val="24"/>
        </w:rPr>
        <w:t>特别说明：</w:t>
      </w:r>
    </w:p>
    <w:p>
      <w:pPr>
        <w:pStyle w:val="2"/>
        <w:rPr>
          <w:rFonts w:hint="eastAsia" w:ascii="宋体" w:hAnsi="宋体" w:eastAsia="宋体" w:cs="宋体"/>
          <w:b/>
          <w:sz w:val="24"/>
          <w:szCs w:val="24"/>
          <w:lang w:val="en-US"/>
        </w:rPr>
      </w:pPr>
      <w:r>
        <w:rPr>
          <w:rFonts w:hint="eastAsia" w:ascii="宋体" w:hAnsi="宋体" w:eastAsia="宋体" w:cs="宋体"/>
          <w:b/>
          <w:sz w:val="24"/>
          <w:szCs w:val="24"/>
          <w:lang w:val="en-US"/>
        </w:rPr>
        <w:t>● 相关线材等材料工程量以现场实地勘察测量值为准。</w:t>
      </w:r>
    </w:p>
    <w:p>
      <w:pPr>
        <w:pStyle w:val="2"/>
        <w:rPr>
          <w:rFonts w:hint="eastAsia" w:ascii="宋体" w:hAnsi="宋体" w:eastAsia="宋体" w:cs="宋体"/>
          <w:b/>
          <w:sz w:val="24"/>
          <w:szCs w:val="24"/>
        </w:rPr>
      </w:pPr>
      <w:r>
        <w:rPr>
          <w:rFonts w:hint="eastAsia" w:ascii="宋体" w:hAnsi="宋体" w:eastAsia="宋体" w:cs="宋体"/>
          <w:b/>
          <w:sz w:val="24"/>
          <w:szCs w:val="24"/>
          <w:lang w:val="en-US"/>
        </w:rPr>
        <w:t xml:space="preserve">● </w:t>
      </w:r>
      <w:r>
        <w:rPr>
          <w:rFonts w:hint="eastAsia" w:ascii="宋体" w:hAnsi="宋体" w:eastAsia="宋体" w:cs="宋体"/>
          <w:b/>
          <w:color w:val="000000"/>
          <w:sz w:val="24"/>
          <w:szCs w:val="24"/>
        </w:rPr>
        <w:t>上述表格为</w:t>
      </w:r>
      <w:r>
        <w:rPr>
          <w:rFonts w:hint="eastAsia" w:ascii="宋体" w:hAnsi="宋体" w:eastAsia="宋体" w:cs="宋体"/>
          <w:sz w:val="24"/>
          <w:szCs w:val="24"/>
        </w:rPr>
        <w:t>本项目的设备产品详细技术规格要求，投标人必须对技术要求有明确的响应，针对采购要求如实描述是否偏离。</w:t>
      </w:r>
      <w:r>
        <w:rPr>
          <w:rFonts w:hint="eastAsia" w:ascii="宋体" w:hAnsi="宋体" w:eastAsia="宋体" w:cs="宋体"/>
          <w:b/>
          <w:sz w:val="24"/>
          <w:szCs w:val="24"/>
        </w:rPr>
        <w:t>投标人可参考采购单位推荐的参数配置，也欢迎优于本项目技术需求且性能相当的产品参加。</w:t>
      </w:r>
    </w:p>
    <w:p>
      <w:pPr>
        <w:spacing w:line="360" w:lineRule="auto"/>
        <w:rPr>
          <w:rFonts w:hint="eastAsia" w:ascii="宋体" w:hAnsi="宋体" w:eastAsia="宋体" w:cs="宋体"/>
          <w:sz w:val="24"/>
          <w:szCs w:val="24"/>
        </w:rPr>
      </w:pPr>
      <w:r>
        <w:rPr>
          <w:rFonts w:hint="eastAsia" w:ascii="宋体" w:hAnsi="宋体" w:eastAsia="宋体" w:cs="宋体"/>
          <w:b/>
          <w:sz w:val="24"/>
          <w:szCs w:val="24"/>
        </w:rPr>
        <w:t xml:space="preserve">● </w:t>
      </w:r>
      <w:r>
        <w:rPr>
          <w:rFonts w:hint="eastAsia" w:ascii="宋体" w:hAnsi="宋体" w:eastAsia="宋体" w:cs="宋体"/>
          <w:sz w:val="24"/>
          <w:szCs w:val="24"/>
        </w:rPr>
        <w:t>投标方在招标前可自行前往现场实地勘察，以便充分了解现状和甲方需求，便于对项目做出合理规划，并在投标时给出合理化建议和设计，便于后期实施、维护。</w:t>
      </w:r>
    </w:p>
    <w:p>
      <w:pPr>
        <w:spacing w:line="360" w:lineRule="auto"/>
        <w:rPr>
          <w:rFonts w:hint="eastAsia" w:ascii="宋体" w:hAnsi="宋体" w:eastAsia="宋体" w:cs="宋体"/>
          <w:sz w:val="24"/>
          <w:szCs w:val="24"/>
        </w:rPr>
      </w:pPr>
      <w:r>
        <w:rPr>
          <w:rFonts w:hint="eastAsia" w:ascii="宋体" w:hAnsi="宋体" w:eastAsia="宋体" w:cs="宋体"/>
          <w:b/>
          <w:sz w:val="24"/>
          <w:szCs w:val="24"/>
        </w:rPr>
        <w:t xml:space="preserve">● </w:t>
      </w:r>
      <w:r>
        <w:rPr>
          <w:rFonts w:hint="eastAsia" w:ascii="宋体" w:hAnsi="宋体" w:eastAsia="宋体" w:cs="宋体"/>
          <w:sz w:val="24"/>
          <w:szCs w:val="24"/>
        </w:rPr>
        <w:t>中标人交货时应对提供的货物列出清单，在完全符合要求后，在交付清单上双方签字确认，如有产品达不到技术标准，采购人有权拒绝签字，直到符合技术要求，采购人才做交付验收，该清单作为验收必备技术文档。</w:t>
      </w:r>
    </w:p>
    <w:p>
      <w:pPr>
        <w:pStyle w:val="4"/>
        <w:keepNext w:val="0"/>
        <w:spacing w:line="360" w:lineRule="auto"/>
        <w:jc w:val="left"/>
        <w:rPr>
          <w:rFonts w:hint="eastAsia" w:ascii="宋体" w:hAnsi="宋体" w:eastAsia="宋体" w:cs="宋体"/>
          <w:sz w:val="24"/>
          <w:szCs w:val="24"/>
        </w:rPr>
      </w:pPr>
      <w:r>
        <w:rPr>
          <w:rFonts w:hint="eastAsia" w:ascii="宋体" w:hAnsi="宋体" w:eastAsia="宋体" w:cs="宋体"/>
          <w:sz w:val="24"/>
          <w:szCs w:val="24"/>
        </w:rPr>
        <w:t>四、其它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1、建设周期</w:t>
      </w:r>
    </w:p>
    <w:p>
      <w:pPr>
        <w:spacing w:line="360" w:lineRule="auto"/>
        <w:ind w:firstLine="481"/>
        <w:outlineLvl w:val="1"/>
        <w:rPr>
          <w:rFonts w:hint="eastAsia" w:ascii="宋体" w:hAnsi="宋体" w:eastAsia="宋体" w:cs="宋体"/>
          <w:sz w:val="24"/>
          <w:szCs w:val="24"/>
        </w:rPr>
      </w:pPr>
      <w:r>
        <w:rPr>
          <w:rFonts w:hint="eastAsia" w:ascii="宋体" w:hAnsi="宋体" w:eastAsia="宋体" w:cs="宋体"/>
          <w:sz w:val="24"/>
          <w:szCs w:val="24"/>
        </w:rPr>
        <w:t>为保证杭州市西溪中学新校区网络设备采购项目的顺利建设，本次设备采购、到货、安装、调试工作应在合同签订后</w:t>
      </w:r>
      <w:r>
        <w:rPr>
          <w:rFonts w:hint="eastAsia" w:ascii="宋体" w:hAnsi="宋体" w:eastAsia="宋体" w:cs="宋体"/>
          <w:b/>
          <w:sz w:val="24"/>
          <w:szCs w:val="24"/>
        </w:rPr>
        <w:t>30天</w:t>
      </w:r>
      <w:r>
        <w:rPr>
          <w:rFonts w:hint="eastAsia" w:ascii="宋体" w:hAnsi="宋体" w:eastAsia="宋体" w:cs="宋体"/>
          <w:sz w:val="24"/>
          <w:szCs w:val="24"/>
        </w:rPr>
        <w:t>内完成全部建设内容；正常试运行1个月，培训并交付使用，并制定相应的项目实施详细进度计划。</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2、培训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标人应对用户进行培训，并承担所有费用，使其能对设备进行日常的维护保养及能对一般故障进行维修，并向培训人员提供详细的技术维修及调试参数资料；中标人应对用户的操作人员进行技术操作培训并提供详细的操作手册，所有费用由中标人承担；  上述两种培训的培训方式、地点、人数、时间，投标商应在投标文件中详细说明。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3、安装、调试与验收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有责任检查安装现场是否符合产品安装条件，事先提出对安装的环境的要求。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涉及的设备由投标人负责测试、安装、调试和有关配置工作，投标人应提供详细的具有时效性的测试、安装、调试方案，经用户确认后，作为设备验收的标准，投标人应按上述方案完成测试、安装、调试和有关配置工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标人需保证设备均为制造商原产原装产品，保证所提供货物是全新的、未使用过的，并完全符合合同规定的质量、规格和性能的要求。货物到达用户指定的现场后，由投标人与用户共核对装箱单，共同开箱（若有争议，请质检机构检验确定），依照合同的货物清单清点，并进行签字确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项目实验过程中，若牵涉到与第三方产品集成工作，投标人应与其他供应商通力合作，并提供必要的技术支持。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投标人保证其提供的货物在正确安装、正常使用和保养条件下，在使用寿命期内具有满意的性能，投标人对由于产品设计、工艺或材料的缺陷而产生的故障负责与原制造厂商并协助解决。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标人承诺本次提供的所有设备满足标书要求，对标书中的变更修改内容以本合同的设备配置附件为准。投标人承诺所有的设备满足技术完整性要求。如有线缆、附件等遗漏，影响设备安装和运行，由投标人承担并负责解决。</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、售后服务：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（1）软件及设备质保期必须验收合格后≥3年，设施设备质保期满后提供上门服务，仅收取材料费（所有费用包含在投标总价中）；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（2）投标方在保修期内，应承诺提供7×24小时免备件费、免人工费、免服务费的服务，软硬件系统出现故障影响正常运行的，</w:t>
      </w:r>
      <w:r>
        <w:rPr>
          <w:rFonts w:hint="eastAsia" w:ascii="宋体" w:hAnsi="宋体" w:eastAsia="宋体" w:cs="宋体"/>
          <w:b/>
          <w:bCs/>
          <w:sz w:val="24"/>
          <w:szCs w:val="24"/>
        </w:rPr>
        <w:t>半小时内响应，2小时内到现场，4小时内解决问题</w:t>
      </w:r>
      <w:r>
        <w:rPr>
          <w:rFonts w:hint="eastAsia" w:ascii="宋体" w:hAnsi="宋体" w:eastAsia="宋体" w:cs="宋体"/>
          <w:b/>
          <w:bCs/>
          <w:kern w:val="0"/>
          <w:sz w:val="24"/>
          <w:szCs w:val="24"/>
          <w:lang w:val="zh-CN"/>
        </w:rPr>
        <w:t>。</w:t>
      </w:r>
      <w:r>
        <w:rPr>
          <w:rFonts w:hint="eastAsia" w:ascii="宋体" w:hAnsi="宋体" w:eastAsia="宋体" w:cs="宋体"/>
          <w:kern w:val="0"/>
          <w:sz w:val="24"/>
          <w:szCs w:val="24"/>
          <w:lang w:val="zh-CN"/>
        </w:rPr>
        <w:t>若</w:t>
      </w:r>
      <w:r>
        <w:rPr>
          <w:rFonts w:hint="default" w:ascii="宋体" w:hAnsi="宋体" w:cs="宋体"/>
          <w:kern w:val="0"/>
          <w:sz w:val="24"/>
          <w:szCs w:val="24"/>
          <w:lang w:val="en-US"/>
        </w:rPr>
        <w:t>12</w:t>
      </w:r>
      <w:r>
        <w:rPr>
          <w:rFonts w:hint="eastAsia" w:ascii="宋体" w:hAnsi="宋体" w:eastAsia="宋体" w:cs="宋体"/>
          <w:kern w:val="0"/>
          <w:sz w:val="24"/>
          <w:szCs w:val="24"/>
          <w:lang w:val="zh-CN"/>
        </w:rPr>
        <w:t>小时内不能解决问题的，必须提供备机或其他保障措施，以保证采购单位的正常使用。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（3）投标人应具有完善的售后服务体系，建有零配件仓库。投标人应提供质保期后的服务计划或建议，明确收费事项及标准；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（4）提供售后服务部门及维修网点的联系电话；</w:t>
      </w:r>
    </w:p>
    <w:p>
      <w:pPr>
        <w:ind w:firstLine="480" w:firstLineChars="200"/>
        <w:rPr>
          <w:rFonts w:hint="eastAsia" w:ascii="宋体" w:hAnsi="宋体" w:eastAsia="宋体" w:cs="宋体"/>
          <w:color w:val="auto"/>
          <w:sz w:val="24"/>
          <w:szCs w:val="24"/>
        </w:rPr>
      </w:pPr>
      <w:r>
        <w:rPr>
          <w:rFonts w:hint="eastAsia" w:ascii="宋体" w:hAnsi="宋体" w:eastAsia="宋体" w:cs="宋体"/>
          <w:sz w:val="24"/>
          <w:szCs w:val="24"/>
        </w:rPr>
        <w:t>（5）投标方的售后服务应以招标方能够获得系统良好的使用效果和技术支持为目的，投标方应随投标书提交一份售后服务和技术支持计划。</w:t>
      </w:r>
    </w:p>
    <w:p>
      <w:pPr>
        <w:rPr>
          <w:rFonts w:hint="eastAsia" w:ascii="宋体" w:hAnsi="宋体" w:eastAsia="宋体" w:cs="宋体"/>
          <w:color w:val="auto"/>
          <w:sz w:val="24"/>
          <w:szCs w:val="24"/>
        </w:rPr>
      </w:pPr>
    </w:p>
    <w:p>
      <w:pPr>
        <w:rPr>
          <w:rFonts w:hint="eastAsia"/>
          <w:color w:val="auto"/>
        </w:rPr>
      </w:pPr>
    </w:p>
    <w:p>
      <w:pPr>
        <w:rPr>
          <w:color w:val="auto"/>
        </w:rPr>
      </w:pPr>
    </w:p>
    <w:p>
      <w:pPr>
        <w:widowControl/>
        <w:ind w:firstLine="720" w:firstLineChars="300"/>
        <w:jc w:val="left"/>
        <w:rPr>
          <w:rFonts w:ascii="宋体" w:hAnsi="宋体" w:cs="宋体"/>
          <w:bCs/>
          <w:color w:val="auto"/>
          <w:sz w:val="24"/>
        </w:rPr>
      </w:pPr>
    </w:p>
    <w:p>
      <w:pPr>
        <w:rPr>
          <w:rFonts w:ascii="宋体" w:hAnsi="宋体" w:cs="宋体"/>
          <w:snapToGrid w:val="0"/>
          <w:color w:val="auto"/>
          <w:kern w:val="0"/>
          <w:sz w:val="24"/>
        </w:rPr>
      </w:pPr>
      <w:r>
        <w:rPr>
          <w:rFonts w:hint="eastAsia" w:ascii="宋体" w:hAnsi="宋体" w:cs="宋体"/>
          <w:snapToGrid w:val="0"/>
          <w:color w:val="auto"/>
          <w:kern w:val="0"/>
          <w:sz w:val="24"/>
        </w:rPr>
        <w:tab/>
      </w:r>
    </w:p>
    <w:p>
      <w:pPr>
        <w:spacing w:line="360" w:lineRule="auto"/>
        <w:jc w:val="center"/>
        <w:outlineLvl w:val="0"/>
        <w:rPr>
          <w:rFonts w:ascii="宋体" w:hAnsi="宋体" w:cs="宋体"/>
          <w:b/>
          <w:color w:val="auto"/>
          <w:sz w:val="36"/>
          <w:szCs w:val="36"/>
        </w:rPr>
      </w:pPr>
      <w:r>
        <w:rPr>
          <w:rFonts w:hint="eastAsia" w:ascii="宋体" w:hAnsi="宋体" w:cs="宋体"/>
          <w:b/>
          <w:color w:val="auto"/>
          <w:sz w:val="24"/>
        </w:rPr>
        <w:br w:type="page"/>
      </w:r>
      <w:r>
        <w:rPr>
          <w:rFonts w:hint="eastAsia" w:ascii="宋体" w:hAnsi="宋体" w:cs="宋体"/>
          <w:b/>
          <w:color w:val="auto"/>
          <w:sz w:val="36"/>
          <w:szCs w:val="36"/>
        </w:rPr>
        <w:t xml:space="preserve">第四部分   </w:t>
      </w:r>
      <w:bookmarkStart w:id="32" w:name="_Toc184313297"/>
      <w:bookmarkEnd w:id="32"/>
      <w:bookmarkStart w:id="33" w:name="_Toc184313269"/>
      <w:bookmarkEnd w:id="33"/>
      <w:bookmarkStart w:id="34" w:name="_Toc184310327"/>
      <w:bookmarkEnd w:id="34"/>
      <w:bookmarkStart w:id="35" w:name="_Toc184313302"/>
      <w:bookmarkEnd w:id="35"/>
      <w:bookmarkStart w:id="36" w:name="_Toc184314448"/>
      <w:bookmarkEnd w:id="36"/>
      <w:bookmarkStart w:id="37" w:name="_Toc184308070"/>
      <w:bookmarkEnd w:id="37"/>
      <w:bookmarkStart w:id="38" w:name="_Toc184308045"/>
      <w:bookmarkEnd w:id="38"/>
      <w:bookmarkStart w:id="39" w:name="_Toc184312110"/>
      <w:bookmarkEnd w:id="39"/>
      <w:bookmarkStart w:id="40" w:name="_Toc184308076"/>
      <w:bookmarkEnd w:id="40"/>
      <w:bookmarkStart w:id="41" w:name="_Toc184308072"/>
      <w:bookmarkEnd w:id="41"/>
      <w:bookmarkStart w:id="42" w:name="_Toc184313286"/>
      <w:bookmarkEnd w:id="42"/>
      <w:bookmarkStart w:id="43" w:name="_Toc184314437"/>
      <w:bookmarkEnd w:id="43"/>
      <w:bookmarkStart w:id="44" w:name="_Toc184314429"/>
      <w:bookmarkEnd w:id="44"/>
      <w:bookmarkStart w:id="45" w:name="_Toc184313252"/>
      <w:bookmarkEnd w:id="45"/>
      <w:bookmarkStart w:id="46" w:name="_Toc184308063"/>
      <w:bookmarkEnd w:id="46"/>
      <w:bookmarkStart w:id="47" w:name="_Toc184310330"/>
      <w:bookmarkEnd w:id="47"/>
      <w:bookmarkStart w:id="48" w:name="_Toc184313275"/>
      <w:bookmarkEnd w:id="48"/>
      <w:bookmarkStart w:id="49" w:name="_Toc184313278"/>
      <w:bookmarkEnd w:id="49"/>
      <w:bookmarkStart w:id="50" w:name="_Toc184313268"/>
      <w:bookmarkEnd w:id="50"/>
      <w:bookmarkStart w:id="51" w:name="_Toc184314464"/>
      <w:bookmarkEnd w:id="51"/>
      <w:bookmarkStart w:id="52" w:name="_Toc184310282"/>
      <w:bookmarkEnd w:id="52"/>
      <w:bookmarkStart w:id="53" w:name="_Toc184312080"/>
      <w:bookmarkEnd w:id="53"/>
      <w:bookmarkStart w:id="54" w:name="_Toc184312138"/>
      <w:bookmarkEnd w:id="54"/>
      <w:bookmarkStart w:id="55" w:name="_Toc184314456"/>
      <w:bookmarkEnd w:id="55"/>
      <w:bookmarkStart w:id="56" w:name="_Toc184313276"/>
      <w:bookmarkEnd w:id="56"/>
      <w:bookmarkStart w:id="57" w:name="_Toc184308074"/>
      <w:bookmarkEnd w:id="57"/>
      <w:bookmarkStart w:id="58" w:name="_Toc184308053"/>
      <w:bookmarkEnd w:id="58"/>
      <w:bookmarkStart w:id="59" w:name="_Toc184314430"/>
      <w:bookmarkEnd w:id="59"/>
      <w:bookmarkStart w:id="60" w:name="_Toc184310302"/>
      <w:bookmarkEnd w:id="60"/>
      <w:bookmarkStart w:id="61" w:name="_Toc184313309"/>
      <w:bookmarkEnd w:id="61"/>
      <w:bookmarkStart w:id="62" w:name="_Toc184308101"/>
      <w:bookmarkEnd w:id="62"/>
      <w:bookmarkStart w:id="63" w:name="_Toc184312124"/>
      <w:bookmarkEnd w:id="63"/>
      <w:bookmarkStart w:id="64" w:name="_Toc184312118"/>
      <w:bookmarkEnd w:id="64"/>
      <w:bookmarkStart w:id="65" w:name="_Toc184310306"/>
      <w:bookmarkEnd w:id="65"/>
      <w:bookmarkStart w:id="66" w:name="_Toc184313291"/>
      <w:bookmarkEnd w:id="66"/>
      <w:bookmarkStart w:id="67" w:name="_Toc184310298"/>
      <w:bookmarkEnd w:id="67"/>
      <w:bookmarkStart w:id="68" w:name="_Toc184308092"/>
      <w:bookmarkEnd w:id="68"/>
      <w:bookmarkStart w:id="69" w:name="_Toc184308107"/>
      <w:bookmarkEnd w:id="69"/>
      <w:bookmarkStart w:id="70" w:name="_Toc184308093"/>
      <w:bookmarkEnd w:id="70"/>
      <w:bookmarkStart w:id="71" w:name="_Toc184308104"/>
      <w:bookmarkEnd w:id="71"/>
      <w:bookmarkStart w:id="72" w:name="_Toc184308047"/>
      <w:bookmarkEnd w:id="72"/>
      <w:bookmarkStart w:id="73" w:name="_Toc184308095"/>
      <w:bookmarkEnd w:id="73"/>
      <w:bookmarkStart w:id="74" w:name="_Toc184312103"/>
      <w:bookmarkEnd w:id="74"/>
      <w:bookmarkStart w:id="75" w:name="_Toc184312133"/>
      <w:bookmarkEnd w:id="75"/>
      <w:bookmarkStart w:id="76" w:name="_Toc184314426"/>
      <w:bookmarkEnd w:id="76"/>
      <w:bookmarkStart w:id="77" w:name="_Toc184314481"/>
      <w:bookmarkEnd w:id="77"/>
      <w:bookmarkStart w:id="78" w:name="_Toc184310310"/>
      <w:bookmarkEnd w:id="78"/>
      <w:bookmarkStart w:id="79" w:name="_Toc184313255"/>
      <w:bookmarkEnd w:id="79"/>
      <w:bookmarkStart w:id="80" w:name="_Toc184313289"/>
      <w:bookmarkEnd w:id="80"/>
      <w:bookmarkStart w:id="81" w:name="_Toc184310294"/>
      <w:bookmarkEnd w:id="81"/>
      <w:bookmarkStart w:id="82" w:name="_Toc184312128"/>
      <w:bookmarkEnd w:id="82"/>
      <w:bookmarkStart w:id="83" w:name="_Toc184310295"/>
      <w:bookmarkEnd w:id="83"/>
      <w:bookmarkStart w:id="84" w:name="_Toc184313250"/>
      <w:bookmarkEnd w:id="84"/>
      <w:bookmarkStart w:id="85" w:name="_Toc184308097"/>
      <w:bookmarkEnd w:id="85"/>
      <w:bookmarkStart w:id="86" w:name="_Toc184312122"/>
      <w:bookmarkEnd w:id="86"/>
      <w:bookmarkStart w:id="87" w:name="_Toc184310281"/>
      <w:bookmarkEnd w:id="87"/>
      <w:bookmarkStart w:id="88" w:name="_Toc184310315"/>
      <w:bookmarkEnd w:id="88"/>
      <w:bookmarkStart w:id="89" w:name="_Toc184308078"/>
      <w:bookmarkEnd w:id="89"/>
      <w:bookmarkStart w:id="90" w:name="_Toc184312090"/>
      <w:bookmarkEnd w:id="90"/>
      <w:bookmarkStart w:id="91" w:name="_Toc184313296"/>
      <w:bookmarkEnd w:id="91"/>
      <w:bookmarkStart w:id="92" w:name="_Toc184310293"/>
      <w:bookmarkEnd w:id="92"/>
      <w:bookmarkStart w:id="93" w:name="_Toc184308056"/>
      <w:bookmarkEnd w:id="93"/>
      <w:bookmarkStart w:id="94" w:name="_Toc184308058"/>
      <w:bookmarkEnd w:id="94"/>
      <w:bookmarkStart w:id="95" w:name="_Toc184314427"/>
      <w:bookmarkEnd w:id="95"/>
      <w:bookmarkStart w:id="96" w:name="_Toc184314410"/>
      <w:bookmarkEnd w:id="96"/>
      <w:bookmarkStart w:id="97" w:name="_Toc184312101"/>
      <w:bookmarkEnd w:id="97"/>
      <w:bookmarkStart w:id="98" w:name="_Toc184314436"/>
      <w:bookmarkEnd w:id="98"/>
      <w:bookmarkStart w:id="99" w:name="_Toc184310288"/>
      <w:bookmarkEnd w:id="99"/>
      <w:bookmarkStart w:id="100" w:name="_Toc184313258"/>
      <w:bookmarkEnd w:id="100"/>
      <w:bookmarkStart w:id="101" w:name="_Toc184313240"/>
      <w:bookmarkEnd w:id="101"/>
      <w:bookmarkStart w:id="102" w:name="_Toc184313284"/>
      <w:bookmarkEnd w:id="102"/>
      <w:bookmarkStart w:id="103" w:name="_Toc184314476"/>
      <w:bookmarkEnd w:id="103"/>
      <w:bookmarkStart w:id="104" w:name="_Toc184308037"/>
      <w:bookmarkEnd w:id="104"/>
      <w:bookmarkStart w:id="105" w:name="_Toc184310305"/>
      <w:bookmarkEnd w:id="105"/>
      <w:bookmarkStart w:id="106" w:name="_Toc184312107"/>
      <w:bookmarkEnd w:id="106"/>
      <w:bookmarkStart w:id="107" w:name="_Toc184313242"/>
      <w:bookmarkEnd w:id="107"/>
      <w:bookmarkStart w:id="108" w:name="_Toc184308085"/>
      <w:bookmarkEnd w:id="108"/>
      <w:bookmarkStart w:id="109" w:name="_Toc184313249"/>
      <w:bookmarkEnd w:id="109"/>
      <w:bookmarkStart w:id="110" w:name="_Toc184312069"/>
      <w:bookmarkEnd w:id="110"/>
      <w:bookmarkStart w:id="111" w:name="_Toc184308051"/>
      <w:bookmarkEnd w:id="111"/>
      <w:bookmarkStart w:id="112" w:name="_Toc184314454"/>
      <w:bookmarkEnd w:id="112"/>
      <w:bookmarkStart w:id="113" w:name="_Toc184314455"/>
      <w:bookmarkEnd w:id="113"/>
      <w:bookmarkStart w:id="114" w:name="_Toc184308082"/>
      <w:bookmarkEnd w:id="114"/>
      <w:bookmarkStart w:id="115" w:name="_Toc184312109"/>
      <w:bookmarkEnd w:id="115"/>
      <w:bookmarkStart w:id="116" w:name="_Toc184308098"/>
      <w:bookmarkEnd w:id="116"/>
      <w:bookmarkStart w:id="117" w:name="_Toc184314469"/>
      <w:bookmarkEnd w:id="117"/>
      <w:bookmarkStart w:id="118" w:name="_Toc184312115"/>
      <w:bookmarkEnd w:id="118"/>
      <w:bookmarkStart w:id="119" w:name="_Toc184312088"/>
      <w:bookmarkEnd w:id="119"/>
      <w:bookmarkStart w:id="120" w:name="_Toc184308054"/>
      <w:bookmarkEnd w:id="120"/>
      <w:bookmarkStart w:id="121" w:name="_Toc184314441"/>
      <w:bookmarkEnd w:id="121"/>
      <w:bookmarkStart w:id="122" w:name="_Toc184310307"/>
      <w:bookmarkEnd w:id="122"/>
      <w:bookmarkStart w:id="123" w:name="_Toc184310325"/>
      <w:bookmarkEnd w:id="123"/>
      <w:bookmarkStart w:id="124" w:name="_Toc184308049"/>
      <w:bookmarkEnd w:id="124"/>
      <w:bookmarkStart w:id="125" w:name="_Toc184312098"/>
      <w:bookmarkEnd w:id="125"/>
      <w:bookmarkStart w:id="126" w:name="_Toc184313288"/>
      <w:bookmarkEnd w:id="126"/>
      <w:bookmarkStart w:id="127" w:name="_Toc184308060"/>
      <w:bookmarkEnd w:id="127"/>
      <w:bookmarkStart w:id="128" w:name="_Toc184314475"/>
      <w:bookmarkEnd w:id="128"/>
      <w:bookmarkStart w:id="129" w:name="_Toc184312114"/>
      <w:bookmarkEnd w:id="129"/>
      <w:bookmarkStart w:id="130" w:name="_Toc184313310"/>
      <w:bookmarkEnd w:id="130"/>
      <w:bookmarkStart w:id="131" w:name="_Toc184312070"/>
      <w:bookmarkEnd w:id="131"/>
      <w:bookmarkStart w:id="132" w:name="_Toc184310332"/>
      <w:bookmarkEnd w:id="132"/>
      <w:bookmarkStart w:id="133" w:name="_Toc184310280"/>
      <w:bookmarkEnd w:id="133"/>
      <w:bookmarkStart w:id="134" w:name="_Toc184310300"/>
      <w:bookmarkEnd w:id="134"/>
      <w:bookmarkStart w:id="135" w:name="_Toc184312105"/>
      <w:bookmarkEnd w:id="135"/>
      <w:bookmarkStart w:id="136" w:name="_Toc184312119"/>
      <w:bookmarkEnd w:id="136"/>
      <w:bookmarkStart w:id="137" w:name="_Toc184310321"/>
      <w:bookmarkEnd w:id="137"/>
      <w:bookmarkStart w:id="138" w:name="_Toc184313241"/>
      <w:bookmarkEnd w:id="138"/>
      <w:bookmarkStart w:id="139" w:name="_Toc184310273"/>
      <w:bookmarkEnd w:id="139"/>
      <w:bookmarkStart w:id="140" w:name="_Toc184308050"/>
      <w:bookmarkEnd w:id="140"/>
      <w:bookmarkStart w:id="141" w:name="_Toc184314422"/>
      <w:bookmarkEnd w:id="141"/>
      <w:bookmarkStart w:id="142" w:name="_Toc184310316"/>
      <w:bookmarkEnd w:id="142"/>
      <w:bookmarkStart w:id="143" w:name="_Toc184310338"/>
      <w:bookmarkEnd w:id="143"/>
      <w:bookmarkStart w:id="144" w:name="_Toc184314451"/>
      <w:bookmarkEnd w:id="144"/>
      <w:bookmarkStart w:id="145" w:name="_Toc184310283"/>
      <w:bookmarkEnd w:id="145"/>
      <w:bookmarkStart w:id="146" w:name="_Toc184313262"/>
      <w:bookmarkEnd w:id="146"/>
      <w:bookmarkStart w:id="147" w:name="_Toc184314450"/>
      <w:bookmarkEnd w:id="147"/>
      <w:bookmarkStart w:id="148" w:name="_Toc184313287"/>
      <w:bookmarkEnd w:id="148"/>
      <w:bookmarkStart w:id="149" w:name="_Toc184313251"/>
      <w:bookmarkEnd w:id="149"/>
      <w:bookmarkStart w:id="150" w:name="_Toc184313283"/>
      <w:bookmarkEnd w:id="150"/>
      <w:bookmarkStart w:id="151" w:name="_Toc184308052"/>
      <w:bookmarkEnd w:id="151"/>
      <w:bookmarkStart w:id="152" w:name="_Toc184314482"/>
      <w:bookmarkEnd w:id="152"/>
      <w:bookmarkStart w:id="153" w:name="_Toc184308044"/>
      <w:bookmarkEnd w:id="153"/>
      <w:bookmarkStart w:id="154" w:name="_Toc184313273"/>
      <w:bookmarkEnd w:id="154"/>
      <w:bookmarkStart w:id="155" w:name="_Toc184313263"/>
      <w:bookmarkEnd w:id="155"/>
      <w:bookmarkStart w:id="156" w:name="_Toc184313306"/>
      <w:bookmarkEnd w:id="156"/>
      <w:bookmarkStart w:id="157" w:name="_Toc184314460"/>
      <w:bookmarkEnd w:id="157"/>
      <w:bookmarkStart w:id="158" w:name="_Toc184310328"/>
      <w:bookmarkEnd w:id="158"/>
      <w:bookmarkStart w:id="159" w:name="_Toc184308079"/>
      <w:bookmarkEnd w:id="159"/>
      <w:bookmarkStart w:id="160" w:name="_Toc184314478"/>
      <w:bookmarkEnd w:id="160"/>
      <w:bookmarkStart w:id="161" w:name="_Toc184314428"/>
      <w:bookmarkEnd w:id="161"/>
      <w:bookmarkStart w:id="162" w:name="_Toc184312074"/>
      <w:bookmarkEnd w:id="162"/>
      <w:bookmarkStart w:id="163" w:name="_Toc184312071"/>
      <w:bookmarkEnd w:id="163"/>
      <w:bookmarkStart w:id="164" w:name="_Toc184313256"/>
      <w:bookmarkEnd w:id="164"/>
      <w:bookmarkStart w:id="165" w:name="_Toc184314444"/>
      <w:bookmarkEnd w:id="165"/>
      <w:bookmarkStart w:id="166" w:name="_Toc184314411"/>
      <w:bookmarkEnd w:id="166"/>
      <w:bookmarkStart w:id="167" w:name="_Toc184312067"/>
      <w:bookmarkEnd w:id="167"/>
      <w:bookmarkStart w:id="168" w:name="_Toc184313244"/>
      <w:bookmarkEnd w:id="168"/>
      <w:bookmarkStart w:id="169" w:name="_Toc184310319"/>
      <w:bookmarkEnd w:id="169"/>
      <w:bookmarkStart w:id="170" w:name="_Toc184310312"/>
      <w:bookmarkEnd w:id="170"/>
      <w:bookmarkStart w:id="171" w:name="_Toc184312085"/>
      <w:bookmarkEnd w:id="171"/>
      <w:bookmarkStart w:id="172" w:name="_Toc184310299"/>
      <w:bookmarkEnd w:id="172"/>
      <w:bookmarkStart w:id="173" w:name="_Toc184313274"/>
      <w:bookmarkEnd w:id="173"/>
      <w:bookmarkStart w:id="174" w:name="_Toc184313238"/>
      <w:bookmarkEnd w:id="174"/>
      <w:bookmarkStart w:id="175" w:name="_Toc184312102"/>
      <w:bookmarkEnd w:id="175"/>
      <w:bookmarkStart w:id="176" w:name="_Toc184312075"/>
      <w:bookmarkEnd w:id="176"/>
      <w:bookmarkStart w:id="177" w:name="_Toc184310318"/>
      <w:bookmarkEnd w:id="177"/>
      <w:bookmarkStart w:id="178" w:name="_Toc184312139"/>
      <w:bookmarkEnd w:id="178"/>
      <w:bookmarkStart w:id="179" w:name="_Toc184314449"/>
      <w:bookmarkEnd w:id="179"/>
      <w:bookmarkStart w:id="180" w:name="_Toc184312079"/>
      <w:bookmarkEnd w:id="180"/>
      <w:bookmarkStart w:id="181" w:name="_Toc184314472"/>
      <w:bookmarkEnd w:id="181"/>
      <w:bookmarkStart w:id="182" w:name="_Toc184314421"/>
      <w:bookmarkEnd w:id="182"/>
      <w:bookmarkStart w:id="183" w:name="_Toc184310296"/>
      <w:bookmarkEnd w:id="183"/>
      <w:bookmarkStart w:id="184" w:name="_Toc184308041"/>
      <w:bookmarkEnd w:id="184"/>
      <w:bookmarkStart w:id="185" w:name="_Toc184313265"/>
      <w:bookmarkEnd w:id="185"/>
      <w:bookmarkStart w:id="186" w:name="_Toc184310289"/>
      <w:bookmarkEnd w:id="186"/>
      <w:bookmarkStart w:id="187" w:name="_Toc184314420"/>
      <w:bookmarkEnd w:id="187"/>
      <w:bookmarkStart w:id="188" w:name="_Toc184313272"/>
      <w:bookmarkEnd w:id="188"/>
      <w:bookmarkStart w:id="189" w:name="_Toc184308094"/>
      <w:bookmarkEnd w:id="189"/>
      <w:bookmarkStart w:id="190" w:name="_Toc184308059"/>
      <w:bookmarkEnd w:id="190"/>
      <w:bookmarkStart w:id="191" w:name="_Toc184312095"/>
      <w:bookmarkEnd w:id="191"/>
      <w:bookmarkStart w:id="192" w:name="_Toc184310301"/>
      <w:bookmarkEnd w:id="192"/>
      <w:bookmarkStart w:id="193" w:name="_Toc184314462"/>
      <w:bookmarkEnd w:id="193"/>
      <w:bookmarkStart w:id="194" w:name="_Toc184308086"/>
      <w:bookmarkEnd w:id="194"/>
      <w:bookmarkStart w:id="195" w:name="_Toc184314432"/>
      <w:bookmarkEnd w:id="195"/>
      <w:bookmarkStart w:id="196" w:name="_Toc184312081"/>
      <w:bookmarkEnd w:id="196"/>
      <w:bookmarkStart w:id="197" w:name="_Toc184310344"/>
      <w:bookmarkEnd w:id="197"/>
      <w:bookmarkStart w:id="198" w:name="_Toc184313243"/>
      <w:bookmarkEnd w:id="198"/>
      <w:bookmarkStart w:id="199" w:name="_Toc184310297"/>
      <w:bookmarkEnd w:id="199"/>
      <w:bookmarkStart w:id="200" w:name="_Toc184314415"/>
      <w:bookmarkEnd w:id="200"/>
      <w:bookmarkStart w:id="201" w:name="_Toc184308108"/>
      <w:bookmarkEnd w:id="201"/>
      <w:bookmarkStart w:id="202" w:name="_Toc184314416"/>
      <w:bookmarkEnd w:id="202"/>
      <w:bookmarkStart w:id="203" w:name="_Toc184314433"/>
      <w:bookmarkEnd w:id="203"/>
      <w:bookmarkStart w:id="204" w:name="_Toc184312089"/>
      <w:bookmarkEnd w:id="204"/>
      <w:bookmarkStart w:id="205" w:name="_Toc184308067"/>
      <w:bookmarkEnd w:id="205"/>
      <w:bookmarkStart w:id="206" w:name="_Toc184308039"/>
      <w:bookmarkEnd w:id="206"/>
      <w:bookmarkStart w:id="207" w:name="_Toc184312106"/>
      <w:bookmarkEnd w:id="207"/>
      <w:bookmarkStart w:id="208" w:name="_Toc184312097"/>
      <w:bookmarkEnd w:id="208"/>
      <w:bookmarkStart w:id="209" w:name="_Toc184314473"/>
      <w:bookmarkEnd w:id="209"/>
      <w:bookmarkStart w:id="210" w:name="_Toc184310284"/>
      <w:bookmarkEnd w:id="210"/>
      <w:bookmarkStart w:id="211" w:name="_Toc184312092"/>
      <w:bookmarkEnd w:id="211"/>
      <w:bookmarkStart w:id="212" w:name="_Toc184310324"/>
      <w:bookmarkEnd w:id="212"/>
      <w:bookmarkStart w:id="213" w:name="_Toc184312093"/>
      <w:bookmarkEnd w:id="213"/>
      <w:bookmarkStart w:id="214" w:name="_Toc184314479"/>
      <w:bookmarkEnd w:id="214"/>
      <w:bookmarkStart w:id="215" w:name="_Toc184314474"/>
      <w:bookmarkEnd w:id="215"/>
      <w:bookmarkStart w:id="216" w:name="_Toc184313245"/>
      <w:bookmarkEnd w:id="216"/>
      <w:bookmarkStart w:id="217" w:name="_Toc184313260"/>
      <w:bookmarkEnd w:id="217"/>
      <w:bookmarkStart w:id="218" w:name="_Toc184310291"/>
      <w:bookmarkEnd w:id="218"/>
      <w:bookmarkStart w:id="219" w:name="_Toc184314461"/>
      <w:bookmarkEnd w:id="219"/>
      <w:bookmarkStart w:id="220" w:name="_Toc184312084"/>
      <w:bookmarkEnd w:id="220"/>
      <w:bookmarkStart w:id="221" w:name="_Toc184310290"/>
      <w:bookmarkEnd w:id="221"/>
      <w:bookmarkStart w:id="222" w:name="_Toc184314414"/>
      <w:bookmarkEnd w:id="222"/>
      <w:bookmarkStart w:id="223" w:name="_Toc184310303"/>
      <w:bookmarkEnd w:id="223"/>
      <w:bookmarkStart w:id="224" w:name="_Toc184308106"/>
      <w:bookmarkEnd w:id="224"/>
      <w:bookmarkStart w:id="225" w:name="_Toc184308038"/>
      <w:bookmarkEnd w:id="225"/>
      <w:bookmarkStart w:id="226" w:name="_Toc184308062"/>
      <w:bookmarkEnd w:id="226"/>
      <w:bookmarkStart w:id="227" w:name="_Toc184314453"/>
      <w:bookmarkEnd w:id="227"/>
      <w:bookmarkStart w:id="228" w:name="_Toc184314425"/>
      <w:bookmarkEnd w:id="228"/>
      <w:bookmarkStart w:id="229" w:name="_Toc184313267"/>
      <w:bookmarkEnd w:id="229"/>
      <w:bookmarkStart w:id="230" w:name="_Toc184308057"/>
      <w:bookmarkEnd w:id="230"/>
      <w:bookmarkStart w:id="231" w:name="_Toc184310279"/>
      <w:bookmarkEnd w:id="231"/>
      <w:bookmarkStart w:id="232" w:name="_Toc184313239"/>
      <w:bookmarkEnd w:id="232"/>
      <w:bookmarkStart w:id="233" w:name="_Toc184310339"/>
      <w:bookmarkEnd w:id="233"/>
      <w:bookmarkStart w:id="234" w:name="_Toc184310285"/>
      <w:bookmarkEnd w:id="234"/>
      <w:bookmarkStart w:id="235" w:name="_Toc184310314"/>
      <w:bookmarkEnd w:id="235"/>
      <w:bookmarkStart w:id="236" w:name="_Toc184314480"/>
      <w:bookmarkEnd w:id="236"/>
      <w:bookmarkStart w:id="237" w:name="_Toc184312100"/>
      <w:bookmarkEnd w:id="237"/>
      <w:bookmarkStart w:id="238" w:name="_Toc184312127"/>
      <w:bookmarkEnd w:id="238"/>
      <w:bookmarkStart w:id="239" w:name="_Toc184313282"/>
      <w:bookmarkEnd w:id="239"/>
      <w:bookmarkStart w:id="240" w:name="_Toc184312129"/>
      <w:bookmarkEnd w:id="240"/>
      <w:bookmarkStart w:id="241" w:name="_Toc184310326"/>
      <w:bookmarkEnd w:id="241"/>
      <w:bookmarkStart w:id="242" w:name="_Toc184314417"/>
      <w:bookmarkEnd w:id="242"/>
      <w:bookmarkStart w:id="243" w:name="_Toc184313301"/>
      <w:bookmarkEnd w:id="243"/>
      <w:bookmarkStart w:id="244" w:name="_Toc184310323"/>
      <w:bookmarkEnd w:id="244"/>
      <w:bookmarkStart w:id="245" w:name="_Toc184310272"/>
      <w:bookmarkEnd w:id="245"/>
      <w:bookmarkStart w:id="246" w:name="_Toc184313277"/>
      <w:bookmarkEnd w:id="246"/>
      <w:bookmarkStart w:id="247" w:name="_Toc184313246"/>
      <w:bookmarkEnd w:id="247"/>
      <w:bookmarkStart w:id="248" w:name="_Toc184308100"/>
      <w:bookmarkEnd w:id="248"/>
      <w:bookmarkStart w:id="249" w:name="_Toc184310311"/>
      <w:bookmarkEnd w:id="249"/>
      <w:bookmarkStart w:id="250" w:name="_Toc184314457"/>
      <w:bookmarkEnd w:id="250"/>
      <w:bookmarkStart w:id="251" w:name="_Toc184314418"/>
      <w:bookmarkEnd w:id="251"/>
      <w:bookmarkStart w:id="252" w:name="_Toc184308048"/>
      <w:bookmarkEnd w:id="252"/>
      <w:bookmarkStart w:id="253" w:name="_Toc184308081"/>
      <w:bookmarkEnd w:id="253"/>
      <w:bookmarkStart w:id="254" w:name="_Toc184314440"/>
      <w:bookmarkEnd w:id="254"/>
      <w:bookmarkStart w:id="255" w:name="_Toc184310343"/>
      <w:bookmarkEnd w:id="255"/>
      <w:bookmarkStart w:id="256" w:name="_Toc184312108"/>
      <w:bookmarkEnd w:id="256"/>
      <w:bookmarkStart w:id="257" w:name="_Toc184310317"/>
      <w:bookmarkEnd w:id="257"/>
      <w:bookmarkStart w:id="258" w:name="_Toc184314447"/>
      <w:bookmarkEnd w:id="258"/>
      <w:bookmarkStart w:id="259" w:name="_Toc184310274"/>
      <w:bookmarkEnd w:id="259"/>
      <w:bookmarkStart w:id="260" w:name="_Toc184312087"/>
      <w:bookmarkEnd w:id="260"/>
      <w:bookmarkStart w:id="261" w:name="_Toc184314471"/>
      <w:bookmarkEnd w:id="261"/>
      <w:bookmarkStart w:id="262" w:name="_Toc184308040"/>
      <w:bookmarkEnd w:id="262"/>
      <w:bookmarkStart w:id="263" w:name="_Toc184313293"/>
      <w:bookmarkEnd w:id="263"/>
      <w:bookmarkStart w:id="264" w:name="_Toc184310304"/>
      <w:bookmarkEnd w:id="264"/>
      <w:bookmarkStart w:id="265" w:name="_Toc184313292"/>
      <w:bookmarkEnd w:id="265"/>
      <w:bookmarkStart w:id="266" w:name="_Toc184313266"/>
      <w:bookmarkEnd w:id="266"/>
      <w:bookmarkStart w:id="267" w:name="_Toc184308064"/>
      <w:bookmarkEnd w:id="267"/>
      <w:bookmarkStart w:id="268" w:name="_Toc184313305"/>
      <w:bookmarkEnd w:id="268"/>
      <w:bookmarkStart w:id="269" w:name="_Toc184308042"/>
      <w:bookmarkEnd w:id="269"/>
      <w:bookmarkStart w:id="270" w:name="_Toc184310320"/>
      <w:bookmarkEnd w:id="270"/>
      <w:bookmarkStart w:id="271" w:name="_Toc184313271"/>
      <w:bookmarkEnd w:id="271"/>
      <w:bookmarkStart w:id="272" w:name="_Toc184308105"/>
      <w:bookmarkEnd w:id="272"/>
      <w:bookmarkStart w:id="273" w:name="_Toc184312134"/>
      <w:bookmarkEnd w:id="273"/>
      <w:bookmarkStart w:id="274" w:name="_Toc184308083"/>
      <w:bookmarkEnd w:id="274"/>
      <w:bookmarkStart w:id="275" w:name="_Toc184308089"/>
      <w:bookmarkEnd w:id="275"/>
      <w:bookmarkStart w:id="276" w:name="_Toc184313254"/>
      <w:bookmarkEnd w:id="276"/>
      <w:bookmarkStart w:id="277" w:name="_Toc184308061"/>
      <w:bookmarkEnd w:id="277"/>
      <w:bookmarkStart w:id="278" w:name="_Toc184312104"/>
      <w:bookmarkEnd w:id="278"/>
      <w:bookmarkStart w:id="279" w:name="_Toc184312136"/>
      <w:bookmarkEnd w:id="279"/>
      <w:bookmarkStart w:id="280" w:name="_Toc184310277"/>
      <w:bookmarkEnd w:id="280"/>
      <w:bookmarkStart w:id="281" w:name="_Toc184313290"/>
      <w:bookmarkEnd w:id="281"/>
      <w:bookmarkStart w:id="282" w:name="_Toc184310292"/>
      <w:bookmarkEnd w:id="282"/>
      <w:bookmarkStart w:id="283" w:name="_Toc184314446"/>
      <w:bookmarkEnd w:id="283"/>
      <w:bookmarkStart w:id="284" w:name="_Toc184308080"/>
      <w:bookmarkEnd w:id="284"/>
      <w:bookmarkStart w:id="285" w:name="_Toc184308077"/>
      <w:bookmarkEnd w:id="285"/>
      <w:bookmarkStart w:id="286" w:name="_Toc184313280"/>
      <w:bookmarkEnd w:id="286"/>
      <w:bookmarkStart w:id="287" w:name="_Toc184308036"/>
      <w:bookmarkEnd w:id="287"/>
      <w:bookmarkStart w:id="288" w:name="_Toc184312078"/>
      <w:bookmarkEnd w:id="288"/>
      <w:bookmarkStart w:id="289" w:name="_Toc184310309"/>
      <w:bookmarkEnd w:id="289"/>
      <w:bookmarkStart w:id="290" w:name="_Toc184310329"/>
      <w:bookmarkEnd w:id="290"/>
      <w:bookmarkStart w:id="291" w:name="_Toc184314445"/>
      <w:bookmarkEnd w:id="291"/>
      <w:bookmarkStart w:id="292" w:name="_Toc184312073"/>
      <w:bookmarkEnd w:id="292"/>
      <w:bookmarkStart w:id="293" w:name="_Toc184310287"/>
      <w:bookmarkEnd w:id="293"/>
      <w:bookmarkStart w:id="294" w:name="_Toc184310336"/>
      <w:bookmarkEnd w:id="294"/>
      <w:bookmarkStart w:id="295" w:name="_Toc184313285"/>
      <w:bookmarkEnd w:id="295"/>
      <w:bookmarkStart w:id="296" w:name="_Toc184314435"/>
      <w:bookmarkEnd w:id="296"/>
      <w:bookmarkStart w:id="297" w:name="_Toc184314466"/>
      <w:bookmarkEnd w:id="297"/>
      <w:bookmarkStart w:id="298" w:name="_Toc184313259"/>
      <w:bookmarkEnd w:id="298"/>
      <w:bookmarkStart w:id="299" w:name="_Toc184313281"/>
      <w:bookmarkEnd w:id="299"/>
      <w:bookmarkStart w:id="300" w:name="_Toc184310313"/>
      <w:bookmarkEnd w:id="300"/>
      <w:bookmarkStart w:id="301" w:name="_Toc184312126"/>
      <w:bookmarkEnd w:id="301"/>
      <w:bookmarkStart w:id="302" w:name="_Toc184308069"/>
      <w:bookmarkEnd w:id="302"/>
      <w:bookmarkStart w:id="303" w:name="_Toc184313253"/>
      <w:bookmarkEnd w:id="303"/>
      <w:bookmarkStart w:id="304" w:name="_Toc184313279"/>
      <w:bookmarkEnd w:id="304"/>
      <w:bookmarkStart w:id="305" w:name="_Toc184313307"/>
      <w:bookmarkEnd w:id="305"/>
      <w:bookmarkStart w:id="306" w:name="_Toc184312099"/>
      <w:bookmarkEnd w:id="306"/>
      <w:bookmarkStart w:id="307" w:name="_Toc184308073"/>
      <w:bookmarkEnd w:id="307"/>
      <w:bookmarkStart w:id="308" w:name="_Toc184314413"/>
      <w:bookmarkEnd w:id="308"/>
      <w:bookmarkStart w:id="309" w:name="_Toc184312131"/>
      <w:bookmarkEnd w:id="309"/>
      <w:bookmarkStart w:id="310" w:name="_Toc184313247"/>
      <w:bookmarkEnd w:id="310"/>
      <w:bookmarkStart w:id="311" w:name="_Toc184313270"/>
      <w:bookmarkEnd w:id="311"/>
      <w:bookmarkStart w:id="312" w:name="_Toc184313295"/>
      <w:bookmarkEnd w:id="312"/>
      <w:bookmarkStart w:id="313" w:name="_Toc184308066"/>
      <w:bookmarkEnd w:id="313"/>
      <w:bookmarkStart w:id="314" w:name="_Toc184308091"/>
      <w:bookmarkEnd w:id="314"/>
      <w:bookmarkStart w:id="315" w:name="_Toc184308071"/>
      <w:bookmarkEnd w:id="315"/>
      <w:bookmarkStart w:id="316" w:name="_Toc184310342"/>
      <w:bookmarkEnd w:id="316"/>
      <w:bookmarkStart w:id="317" w:name="_Toc184313261"/>
      <w:bookmarkEnd w:id="317"/>
      <w:bookmarkStart w:id="318" w:name="_Toc184313294"/>
      <w:bookmarkEnd w:id="318"/>
      <w:bookmarkStart w:id="319" w:name="_Toc184312117"/>
      <w:bookmarkEnd w:id="319"/>
      <w:bookmarkStart w:id="320" w:name="_Toc184313264"/>
      <w:bookmarkEnd w:id="320"/>
      <w:bookmarkStart w:id="321" w:name="_Toc184314468"/>
      <w:bookmarkEnd w:id="321"/>
      <w:bookmarkStart w:id="322" w:name="_Toc184308102"/>
      <w:bookmarkEnd w:id="322"/>
      <w:bookmarkStart w:id="323" w:name="_Toc184308096"/>
      <w:bookmarkEnd w:id="323"/>
      <w:bookmarkStart w:id="324" w:name="_Toc184310333"/>
      <w:bookmarkEnd w:id="324"/>
      <w:bookmarkStart w:id="325" w:name="_Toc184308099"/>
      <w:bookmarkEnd w:id="325"/>
      <w:bookmarkStart w:id="326" w:name="_Toc184308068"/>
      <w:bookmarkEnd w:id="326"/>
      <w:bookmarkStart w:id="327" w:name="_Toc184312135"/>
      <w:bookmarkEnd w:id="327"/>
      <w:bookmarkStart w:id="328" w:name="_Toc184310278"/>
      <w:bookmarkEnd w:id="328"/>
      <w:bookmarkStart w:id="329" w:name="_Toc184313248"/>
      <w:bookmarkEnd w:id="329"/>
      <w:bookmarkStart w:id="330" w:name="_Toc184312111"/>
      <w:bookmarkEnd w:id="330"/>
      <w:bookmarkStart w:id="331" w:name="_Toc184312091"/>
      <w:bookmarkEnd w:id="331"/>
      <w:bookmarkStart w:id="332" w:name="_Toc184312125"/>
      <w:bookmarkEnd w:id="332"/>
      <w:bookmarkStart w:id="333" w:name="_Toc184308055"/>
      <w:bookmarkEnd w:id="333"/>
      <w:bookmarkStart w:id="334" w:name="_Toc184312076"/>
      <w:bookmarkEnd w:id="334"/>
      <w:bookmarkStart w:id="335" w:name="_Toc184312086"/>
      <w:bookmarkEnd w:id="335"/>
      <w:bookmarkStart w:id="336" w:name="_Toc184314442"/>
      <w:bookmarkEnd w:id="336"/>
      <w:bookmarkStart w:id="337" w:name="_Toc184313303"/>
      <w:bookmarkEnd w:id="337"/>
      <w:bookmarkStart w:id="338" w:name="_Toc184310340"/>
      <w:bookmarkEnd w:id="338"/>
      <w:bookmarkStart w:id="339" w:name="_Toc184314465"/>
      <w:bookmarkEnd w:id="339"/>
      <w:bookmarkStart w:id="340" w:name="_Toc184310322"/>
      <w:bookmarkEnd w:id="340"/>
      <w:bookmarkStart w:id="341" w:name="_Toc184310276"/>
      <w:bookmarkEnd w:id="341"/>
      <w:bookmarkStart w:id="342" w:name="_Toc184314431"/>
      <w:bookmarkEnd w:id="342"/>
      <w:bookmarkStart w:id="343" w:name="_Toc184312068"/>
      <w:bookmarkEnd w:id="343"/>
      <w:bookmarkStart w:id="344" w:name="_Toc184310334"/>
      <w:bookmarkEnd w:id="344"/>
      <w:bookmarkStart w:id="345" w:name="_Toc184314452"/>
      <w:bookmarkEnd w:id="345"/>
      <w:bookmarkStart w:id="346" w:name="_Toc184308065"/>
      <w:bookmarkEnd w:id="346"/>
      <w:bookmarkStart w:id="347" w:name="_Toc184308084"/>
      <w:bookmarkEnd w:id="347"/>
      <w:bookmarkStart w:id="348" w:name="_Toc184308046"/>
      <w:bookmarkEnd w:id="348"/>
      <w:bookmarkStart w:id="349" w:name="_Toc184312094"/>
      <w:bookmarkEnd w:id="349"/>
      <w:bookmarkStart w:id="350" w:name="_Toc184308087"/>
      <w:bookmarkEnd w:id="350"/>
      <w:bookmarkStart w:id="351" w:name="_Toc184312121"/>
      <w:bookmarkEnd w:id="351"/>
      <w:bookmarkStart w:id="352" w:name="_Toc184314477"/>
      <w:bookmarkEnd w:id="352"/>
      <w:bookmarkStart w:id="353" w:name="_Toc184313298"/>
      <w:bookmarkEnd w:id="353"/>
      <w:bookmarkStart w:id="354" w:name="_Toc184312132"/>
      <w:bookmarkEnd w:id="354"/>
      <w:bookmarkStart w:id="355" w:name="_Toc184312077"/>
      <w:bookmarkEnd w:id="355"/>
      <w:bookmarkStart w:id="356" w:name="_Toc184312123"/>
      <w:bookmarkEnd w:id="356"/>
      <w:bookmarkStart w:id="357" w:name="_Toc184314412"/>
      <w:bookmarkEnd w:id="357"/>
      <w:bookmarkStart w:id="358" w:name="_Toc184313299"/>
      <w:bookmarkEnd w:id="358"/>
      <w:bookmarkStart w:id="359" w:name="_Toc184310286"/>
      <w:bookmarkEnd w:id="359"/>
      <w:bookmarkStart w:id="360" w:name="_Toc184308088"/>
      <w:bookmarkEnd w:id="360"/>
      <w:bookmarkStart w:id="361" w:name="_Toc184310308"/>
      <w:bookmarkEnd w:id="361"/>
      <w:bookmarkStart w:id="362" w:name="_Toc184310331"/>
      <w:bookmarkEnd w:id="362"/>
      <w:bookmarkStart w:id="363" w:name="_Toc184313304"/>
      <w:bookmarkEnd w:id="363"/>
      <w:bookmarkStart w:id="364" w:name="_Toc184314424"/>
      <w:bookmarkEnd w:id="364"/>
      <w:bookmarkStart w:id="365" w:name="_Toc184314443"/>
      <w:bookmarkEnd w:id="365"/>
      <w:bookmarkStart w:id="366" w:name="_Toc184312113"/>
      <w:bookmarkEnd w:id="366"/>
      <w:bookmarkStart w:id="367" w:name="_Toc184314463"/>
      <w:bookmarkEnd w:id="367"/>
      <w:bookmarkStart w:id="368" w:name="_Toc184312082"/>
      <w:bookmarkEnd w:id="368"/>
      <w:bookmarkStart w:id="369" w:name="_Toc184312072"/>
      <w:bookmarkEnd w:id="369"/>
      <w:bookmarkStart w:id="370" w:name="_Toc184312083"/>
      <w:bookmarkEnd w:id="370"/>
      <w:bookmarkStart w:id="371" w:name="_Toc184312116"/>
      <w:bookmarkEnd w:id="371"/>
      <w:bookmarkStart w:id="372" w:name="_Toc184313300"/>
      <w:bookmarkEnd w:id="372"/>
      <w:bookmarkStart w:id="373" w:name="_Toc184314434"/>
      <w:bookmarkEnd w:id="373"/>
      <w:bookmarkStart w:id="374" w:name="_Toc184312120"/>
      <w:bookmarkEnd w:id="374"/>
      <w:bookmarkStart w:id="375" w:name="_Toc184314419"/>
      <w:bookmarkEnd w:id="375"/>
      <w:bookmarkStart w:id="376" w:name="_Toc184314458"/>
      <w:bookmarkEnd w:id="376"/>
      <w:bookmarkStart w:id="377" w:name="_Toc184314438"/>
      <w:bookmarkEnd w:id="377"/>
      <w:bookmarkStart w:id="378" w:name="_Toc184312112"/>
      <w:bookmarkEnd w:id="378"/>
      <w:bookmarkStart w:id="379" w:name="_Toc184308090"/>
      <w:bookmarkEnd w:id="379"/>
      <w:bookmarkStart w:id="380" w:name="_Toc184314467"/>
      <w:bookmarkEnd w:id="380"/>
      <w:bookmarkStart w:id="381" w:name="_Toc184308075"/>
      <w:bookmarkEnd w:id="381"/>
      <w:bookmarkStart w:id="382" w:name="_Toc184312137"/>
      <w:bookmarkEnd w:id="382"/>
      <w:bookmarkStart w:id="383" w:name="_Toc184313308"/>
      <w:bookmarkEnd w:id="383"/>
      <w:bookmarkStart w:id="384" w:name="_Toc184310275"/>
      <w:bookmarkEnd w:id="384"/>
      <w:bookmarkStart w:id="385" w:name="_Toc184310335"/>
      <w:bookmarkEnd w:id="385"/>
      <w:bookmarkStart w:id="386" w:name="_Toc184310341"/>
      <w:bookmarkEnd w:id="386"/>
      <w:bookmarkStart w:id="387" w:name="_Toc184313257"/>
      <w:bookmarkEnd w:id="387"/>
      <w:bookmarkStart w:id="388" w:name="_Toc184312130"/>
      <w:bookmarkEnd w:id="388"/>
      <w:bookmarkStart w:id="389" w:name="_Toc184314470"/>
      <w:bookmarkEnd w:id="389"/>
      <w:bookmarkStart w:id="390" w:name="_Toc184314439"/>
      <w:bookmarkEnd w:id="390"/>
      <w:bookmarkStart w:id="391" w:name="_Toc184308043"/>
      <w:bookmarkEnd w:id="391"/>
      <w:bookmarkStart w:id="392" w:name="_Toc184314459"/>
      <w:bookmarkEnd w:id="392"/>
      <w:bookmarkStart w:id="393" w:name="_Toc184312096"/>
      <w:bookmarkEnd w:id="393"/>
      <w:bookmarkStart w:id="394" w:name="_Toc184308103"/>
      <w:bookmarkEnd w:id="394"/>
      <w:bookmarkStart w:id="395" w:name="_Toc184314423"/>
      <w:bookmarkEnd w:id="395"/>
      <w:bookmarkStart w:id="396" w:name="_Toc184310337"/>
      <w:bookmarkEnd w:id="396"/>
      <w:r>
        <w:rPr>
          <w:rFonts w:hint="eastAsia" w:ascii="宋体" w:hAnsi="宋体" w:cs="宋体"/>
          <w:b/>
          <w:color w:val="auto"/>
          <w:sz w:val="36"/>
          <w:szCs w:val="36"/>
        </w:rPr>
        <w:t>评标办法</w:t>
      </w:r>
    </w:p>
    <w:p>
      <w:pPr>
        <w:snapToGrid w:val="0"/>
        <w:spacing w:line="360" w:lineRule="auto"/>
        <w:jc w:val="center"/>
        <w:rPr>
          <w:rFonts w:ascii="宋体" w:hAnsi="宋体" w:cs="宋体"/>
          <w:b/>
          <w:color w:val="auto"/>
          <w:sz w:val="32"/>
          <w:szCs w:val="20"/>
        </w:rPr>
      </w:pPr>
      <w:r>
        <w:rPr>
          <w:rFonts w:hint="eastAsia" w:ascii="宋体" w:hAnsi="宋体" w:cs="宋体"/>
          <w:b/>
          <w:color w:val="auto"/>
          <w:sz w:val="32"/>
          <w:szCs w:val="20"/>
        </w:rPr>
        <w:t>评标办法前附表</w:t>
      </w:r>
    </w:p>
    <w:tbl>
      <w:tblPr>
        <w:tblStyle w:val="62"/>
        <w:tblW w:w="87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6230"/>
        <w:gridCol w:w="688"/>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27" w:hRule="atLeast"/>
          <w:jc w:val="center"/>
        </w:trPr>
        <w:tc>
          <w:tcPr>
            <w:tcW w:w="456" w:type="dxa"/>
            <w:vAlign w:val="center"/>
          </w:tcPr>
          <w:p>
            <w:pPr>
              <w:spacing w:line="360" w:lineRule="auto"/>
              <w:jc w:val="center"/>
              <w:outlineLvl w:val="0"/>
              <w:rPr>
                <w:rFonts w:ascii="宋体" w:hAnsi="宋体" w:cs="宋体"/>
                <w:bCs/>
                <w:color w:val="auto"/>
                <w:sz w:val="24"/>
                <w:highlight w:val="none"/>
              </w:rPr>
            </w:pPr>
            <w:r>
              <w:rPr>
                <w:rFonts w:hint="eastAsia" w:ascii="宋体" w:hAnsi="宋体" w:cs="宋体"/>
                <w:bCs/>
                <w:color w:val="auto"/>
                <w:sz w:val="24"/>
                <w:highlight w:val="none"/>
              </w:rPr>
              <w:t>序号</w:t>
            </w:r>
          </w:p>
        </w:tc>
        <w:tc>
          <w:tcPr>
            <w:tcW w:w="6230" w:type="dxa"/>
            <w:vAlign w:val="center"/>
          </w:tcPr>
          <w:p>
            <w:pPr>
              <w:spacing w:line="360" w:lineRule="auto"/>
              <w:jc w:val="center"/>
              <w:outlineLvl w:val="0"/>
              <w:rPr>
                <w:rFonts w:ascii="宋体" w:hAnsi="宋体" w:cs="宋体"/>
                <w:bCs/>
                <w:color w:val="auto"/>
                <w:sz w:val="24"/>
                <w:highlight w:val="none"/>
              </w:rPr>
            </w:pPr>
            <w:r>
              <w:rPr>
                <w:rFonts w:hint="eastAsia" w:ascii="宋体" w:hAnsi="宋体" w:cs="宋体"/>
                <w:bCs/>
                <w:color w:val="auto"/>
                <w:sz w:val="24"/>
                <w:highlight w:val="none"/>
              </w:rPr>
              <w:t>评标标准</w:t>
            </w:r>
          </w:p>
        </w:tc>
        <w:tc>
          <w:tcPr>
            <w:tcW w:w="688" w:type="dxa"/>
            <w:vAlign w:val="center"/>
          </w:tcPr>
          <w:p>
            <w:pPr>
              <w:spacing w:line="360" w:lineRule="auto"/>
              <w:jc w:val="center"/>
              <w:outlineLvl w:val="0"/>
              <w:rPr>
                <w:rFonts w:ascii="宋体" w:hAnsi="宋体" w:cs="宋体"/>
                <w:bCs/>
                <w:color w:val="auto"/>
                <w:sz w:val="24"/>
                <w:highlight w:val="none"/>
              </w:rPr>
            </w:pPr>
            <w:r>
              <w:rPr>
                <w:rFonts w:hint="eastAsia" w:ascii="宋体" w:hAnsi="宋体" w:cs="宋体"/>
                <w:bCs/>
                <w:color w:val="auto"/>
                <w:sz w:val="24"/>
                <w:highlight w:val="none"/>
              </w:rPr>
              <w:t>权重</w:t>
            </w:r>
          </w:p>
        </w:tc>
        <w:tc>
          <w:tcPr>
            <w:tcW w:w="1350" w:type="dxa"/>
          </w:tcPr>
          <w:p>
            <w:pPr>
              <w:spacing w:line="360" w:lineRule="auto"/>
              <w:outlineLvl w:val="0"/>
              <w:rPr>
                <w:rFonts w:ascii="宋体" w:hAnsi="宋体" w:cs="宋体"/>
                <w:bCs/>
                <w:color w:val="auto"/>
                <w:sz w:val="24"/>
                <w:highlight w:val="none"/>
              </w:rPr>
            </w:pPr>
            <w:r>
              <w:rPr>
                <w:rFonts w:hint="eastAsia" w:ascii="宋体" w:hAnsi="宋体" w:cs="宋体"/>
                <w:bCs/>
                <w:color w:val="auto"/>
                <w:sz w:val="24"/>
                <w:highlight w:val="none"/>
              </w:rPr>
              <w:t>投标文件中评标标准相应的商务技术资料目录</w:t>
            </w:r>
            <w:r>
              <w:rPr>
                <w:rFonts w:hint="eastAsia" w:ascii="宋体" w:hAnsi="宋体" w:cs="宋体"/>
                <w:color w:val="auto"/>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456" w:type="dxa"/>
            <w:vAlign w:val="center"/>
          </w:tcPr>
          <w:p>
            <w:pPr>
              <w:spacing w:line="360" w:lineRule="auto"/>
              <w:jc w:val="center"/>
              <w:outlineLvl w:val="0"/>
              <w:rPr>
                <w:rFonts w:hint="default" w:ascii="宋体" w:hAnsi="宋体" w:cs="宋体"/>
                <w:bCs/>
                <w:color w:val="auto"/>
                <w:sz w:val="24"/>
                <w:highlight w:val="none"/>
                <w:lang w:val="en-US"/>
              </w:rPr>
            </w:pPr>
            <w:r>
              <w:rPr>
                <w:rFonts w:hint="default" w:ascii="宋体" w:hAnsi="宋体" w:cs="宋体"/>
                <w:bCs/>
                <w:color w:val="auto"/>
                <w:sz w:val="24"/>
                <w:highlight w:val="none"/>
                <w:lang w:val="en-US"/>
              </w:rPr>
              <w:t>1</w:t>
            </w:r>
          </w:p>
        </w:tc>
        <w:tc>
          <w:tcPr>
            <w:tcW w:w="6230" w:type="dxa"/>
            <w:vAlign w:val="center"/>
          </w:tcPr>
          <w:p>
            <w:pPr>
              <w:spacing w:line="360" w:lineRule="auto"/>
              <w:jc w:val="left"/>
              <w:outlineLvl w:val="0"/>
              <w:rPr>
                <w:rFonts w:hint="eastAsia" w:ascii="宋体" w:hAnsi="宋体" w:cs="宋体"/>
                <w:bCs/>
                <w:color w:val="auto"/>
                <w:sz w:val="24"/>
                <w:highlight w:val="none"/>
              </w:rPr>
            </w:pPr>
            <w:r>
              <w:rPr>
                <w:rFonts w:hint="eastAsia" w:ascii="宋体" w:hAnsi="宋体" w:cs="宋体"/>
                <w:color w:val="auto"/>
                <w:sz w:val="24"/>
                <w:highlight w:val="none"/>
              </w:rPr>
              <w:t>投标人具有有效的①质量管理体系认证证书、②环境管理体系认证证书、③</w:t>
            </w:r>
            <w:r>
              <w:rPr>
                <w:rFonts w:hint="eastAsia" w:ascii="宋体" w:hAnsi="宋体" w:cs="宋体"/>
                <w:color w:val="auto"/>
                <w:sz w:val="24"/>
                <w:highlight w:val="none"/>
                <w:lang w:val="en-US" w:eastAsia="zh-CN"/>
              </w:rPr>
              <w:t>职业健康体系认证证书</w:t>
            </w:r>
            <w:r>
              <w:rPr>
                <w:rFonts w:hint="default" w:ascii="宋体" w:hAnsi="宋体" w:cs="宋体"/>
                <w:color w:val="auto"/>
                <w:sz w:val="24"/>
                <w:highlight w:val="none"/>
                <w:lang w:val="en-US" w:eastAsia="zh-CN"/>
              </w:rPr>
              <w:t>,</w:t>
            </w:r>
            <w:r>
              <w:rPr>
                <w:rFonts w:hint="eastAsia" w:ascii="宋体" w:hAnsi="宋体" w:cs="宋体"/>
                <w:color w:val="auto"/>
                <w:sz w:val="24"/>
                <w:highlight w:val="none"/>
              </w:rPr>
              <w:t>提供证书复印件加盖公章，原件备查，满足一个得1分，共</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w:t>
            </w:r>
            <w:r>
              <w:rPr>
                <w:rFonts w:hint="default" w:ascii="宋体" w:hAnsi="宋体" w:cs="宋体"/>
                <w:color w:val="auto"/>
                <w:sz w:val="24"/>
                <w:highlight w:val="none"/>
                <w:lang w:val="en-US"/>
              </w:rPr>
              <w:t>,</w:t>
            </w:r>
            <w:r>
              <w:rPr>
                <w:rFonts w:hint="eastAsia" w:ascii="宋体" w:hAnsi="宋体" w:cs="宋体"/>
                <w:color w:val="auto"/>
                <w:sz w:val="24"/>
                <w:highlight w:val="none"/>
                <w:lang w:val="en-US" w:eastAsia="zh-CN"/>
              </w:rPr>
              <w:t>不提供或不满足得</w:t>
            </w:r>
            <w:r>
              <w:rPr>
                <w:rFonts w:hint="default" w:ascii="宋体" w:hAnsi="宋体" w:cs="宋体"/>
                <w:color w:val="auto"/>
                <w:sz w:val="24"/>
                <w:highlight w:val="none"/>
                <w:lang w:val="en-US" w:eastAsia="zh-CN"/>
              </w:rPr>
              <w:t>0</w:t>
            </w:r>
            <w:r>
              <w:rPr>
                <w:rFonts w:hint="eastAsia" w:ascii="宋体" w:hAnsi="宋体" w:cs="宋体"/>
                <w:color w:val="auto"/>
                <w:sz w:val="24"/>
                <w:highlight w:val="none"/>
                <w:lang w:val="en-US" w:eastAsia="zh-CN"/>
              </w:rPr>
              <w:t>分。</w:t>
            </w:r>
          </w:p>
        </w:tc>
        <w:tc>
          <w:tcPr>
            <w:tcW w:w="688" w:type="dxa"/>
            <w:vAlign w:val="center"/>
          </w:tcPr>
          <w:p>
            <w:pPr>
              <w:spacing w:line="360" w:lineRule="auto"/>
              <w:jc w:val="center"/>
              <w:outlineLvl w:val="0"/>
              <w:rPr>
                <w:rFonts w:hint="default" w:ascii="宋体" w:hAnsi="宋体" w:cs="宋体"/>
                <w:bCs/>
                <w:color w:val="auto"/>
                <w:sz w:val="24"/>
                <w:highlight w:val="none"/>
                <w:lang w:val="en-US"/>
              </w:rPr>
            </w:pPr>
            <w:r>
              <w:rPr>
                <w:rFonts w:hint="default" w:ascii="宋体" w:hAnsi="宋体" w:cs="宋体"/>
                <w:bCs/>
                <w:color w:val="auto"/>
                <w:sz w:val="24"/>
                <w:highlight w:val="none"/>
                <w:lang w:val="en-US"/>
              </w:rPr>
              <w:t>3</w:t>
            </w:r>
          </w:p>
        </w:tc>
        <w:tc>
          <w:tcPr>
            <w:tcW w:w="1350" w:type="dxa"/>
            <w:vAlign w:val="center"/>
          </w:tcPr>
          <w:p>
            <w:pPr>
              <w:spacing w:line="360" w:lineRule="auto"/>
              <w:jc w:val="center"/>
              <w:outlineLvl w:val="0"/>
              <w:rPr>
                <w:rFonts w:hint="eastAsia" w:ascii="宋体" w:hAnsi="宋体" w:cs="宋体"/>
                <w:bCs/>
                <w:color w:val="auto"/>
                <w:sz w:val="24"/>
                <w:highlight w:val="none"/>
              </w:rPr>
            </w:pPr>
            <w:r>
              <w:rPr>
                <w:rFonts w:hint="eastAsia" w:ascii="宋体" w:hAnsi="宋体" w:cs="宋体"/>
                <w:b/>
                <w:bCs/>
                <w:color w:val="auto"/>
                <w:sz w:val="24"/>
                <w:highlight w:val="none"/>
              </w:rPr>
              <w:t>（</w:t>
            </w:r>
            <w:r>
              <w:rPr>
                <w:rFonts w:hint="eastAsia" w:ascii="宋体" w:hAnsi="宋体" w:cs="宋体"/>
                <w:b/>
                <w:bCs/>
                <w:color w:val="auto"/>
                <w:sz w:val="24"/>
                <w:highlight w:val="none"/>
                <w:lang w:eastAsia="zh-CN"/>
              </w:rPr>
              <w:t>一</w:t>
            </w:r>
            <w:r>
              <w:rPr>
                <w:rFonts w:hint="eastAsia" w:ascii="宋体" w:hAnsi="宋体" w:cs="宋体"/>
                <w:b/>
                <w:bCs/>
                <w:color w:val="auto"/>
                <w:sz w:val="24"/>
                <w:highlight w:val="none"/>
              </w:rPr>
              <w:t>）投标人</w:t>
            </w:r>
            <w:r>
              <w:rPr>
                <w:rFonts w:hint="eastAsia" w:ascii="宋体" w:hAnsi="宋体" w:cs="宋体"/>
                <w:b/>
                <w:bCs/>
                <w:color w:val="auto"/>
                <w:sz w:val="24"/>
                <w:highlight w:val="none"/>
                <w:lang w:eastAsia="zh-CN"/>
              </w:rPr>
              <w:t>的基本</w:t>
            </w:r>
            <w:r>
              <w:rPr>
                <w:rFonts w:hint="eastAsia" w:ascii="宋体" w:hAnsi="宋体" w:cs="宋体"/>
                <w:b/>
                <w:bCs/>
                <w:color w:val="auto"/>
                <w:sz w:val="24"/>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4" w:hRule="atLeast"/>
          <w:jc w:val="center"/>
        </w:trPr>
        <w:tc>
          <w:tcPr>
            <w:tcW w:w="456" w:type="dxa"/>
            <w:vAlign w:val="center"/>
          </w:tcPr>
          <w:p>
            <w:pPr>
              <w:spacing w:line="360" w:lineRule="auto"/>
              <w:jc w:val="center"/>
              <w:outlineLvl w:val="0"/>
              <w:rPr>
                <w:rFonts w:ascii="宋体" w:hAnsi="宋体" w:cs="宋体"/>
                <w:color w:val="auto"/>
                <w:sz w:val="24"/>
                <w:highlight w:val="none"/>
              </w:rPr>
            </w:pPr>
            <w:r>
              <w:rPr>
                <w:rFonts w:hint="default" w:ascii="宋体" w:hAnsi="宋体" w:cs="宋体"/>
                <w:color w:val="auto"/>
                <w:sz w:val="24"/>
                <w:highlight w:val="none"/>
                <w:lang w:val="en-US"/>
              </w:rPr>
              <w:t>2</w:t>
            </w:r>
          </w:p>
        </w:tc>
        <w:tc>
          <w:tcPr>
            <w:tcW w:w="6230" w:type="dxa"/>
            <w:vAlign w:val="center"/>
          </w:tcPr>
          <w:p>
            <w:pPr>
              <w:spacing w:line="360" w:lineRule="auto"/>
              <w:outlineLvl w:val="0"/>
              <w:rPr>
                <w:rFonts w:ascii="宋体" w:hAnsi="宋体" w:cs="宋体"/>
                <w:color w:val="auto"/>
                <w:sz w:val="24"/>
                <w:highlight w:val="none"/>
              </w:rPr>
            </w:pPr>
            <w:r>
              <w:rPr>
                <w:rFonts w:hint="eastAsia" w:ascii="宋体" w:hAnsi="宋体" w:cs="宋体"/>
                <w:color w:val="auto"/>
                <w:kern w:val="0"/>
                <w:sz w:val="24"/>
                <w:highlight w:val="none"/>
              </w:rPr>
              <w:t>业绩案例</w:t>
            </w:r>
            <w:r>
              <w:rPr>
                <w:rFonts w:hint="eastAsia" w:ascii="宋体" w:hAnsi="宋体" w:cs="宋体"/>
                <w:color w:val="auto"/>
                <w:kern w:val="0"/>
                <w:sz w:val="24"/>
                <w:highlight w:val="none"/>
                <w:lang w:eastAsia="zh-CN"/>
              </w:rPr>
              <w:t>：</w:t>
            </w:r>
            <w:r>
              <w:rPr>
                <w:rFonts w:hint="eastAsia" w:ascii="宋体" w:hAnsi="宋体" w:cs="宋体"/>
                <w:color w:val="auto"/>
                <w:sz w:val="24"/>
                <w:highlight w:val="none"/>
              </w:rPr>
              <w:t>截止投标时间近三年，投标人承担类似项目实施的成功经验情况。结合已完成的项目案例和用户</w:t>
            </w:r>
            <w:r>
              <w:rPr>
                <w:rFonts w:hint="eastAsia" w:ascii="宋体" w:hAnsi="宋体" w:cs="宋体"/>
                <w:color w:val="auto"/>
                <w:sz w:val="24"/>
                <w:highlight w:val="none"/>
                <w:lang w:eastAsia="zh-CN"/>
              </w:rPr>
              <w:t>反映</w:t>
            </w:r>
            <w:r>
              <w:rPr>
                <w:rFonts w:hint="eastAsia" w:ascii="宋体" w:hAnsi="宋体" w:cs="宋体"/>
                <w:color w:val="auto"/>
                <w:sz w:val="24"/>
                <w:highlight w:val="none"/>
              </w:rPr>
              <w:t>情况，依照投标人提供的</w:t>
            </w:r>
            <w:r>
              <w:rPr>
                <w:rFonts w:hint="eastAsia" w:ascii="宋体" w:hAnsi="宋体" w:cs="宋体"/>
                <w:b/>
                <w:bCs/>
                <w:color w:val="auto"/>
                <w:sz w:val="24"/>
                <w:highlight w:val="none"/>
              </w:rPr>
              <w:t>合同和用户验收报告</w:t>
            </w:r>
            <w:r>
              <w:rPr>
                <w:rFonts w:hint="eastAsia" w:ascii="宋体" w:hAnsi="宋体" w:cs="宋体"/>
                <w:color w:val="auto"/>
                <w:sz w:val="24"/>
                <w:highlight w:val="none"/>
              </w:rPr>
              <w:t>。每个案例（以用户验收报告时间为准）得1分,最高得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分。以分包方式履行政府采购合同的，还需提供该项目采购方同意分包的证明材料;如投标人提供的合同复印件等实施项目证明材料与投标主体无关或违规转包分包的，评标委员会将进行扣分直至认定投标无效。</w:t>
            </w:r>
          </w:p>
        </w:tc>
        <w:tc>
          <w:tcPr>
            <w:tcW w:w="688" w:type="dxa"/>
            <w:vAlign w:val="center"/>
          </w:tcPr>
          <w:p>
            <w:pPr>
              <w:jc w:val="center"/>
              <w:rPr>
                <w:rFonts w:ascii="宋体" w:hAnsi="宋体" w:cs="宋体"/>
                <w:color w:val="auto"/>
                <w:highlight w:val="none"/>
              </w:rPr>
            </w:pPr>
          </w:p>
          <w:p>
            <w:pPr>
              <w:spacing w:line="360" w:lineRule="auto"/>
              <w:jc w:val="center"/>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p>
        </w:tc>
        <w:tc>
          <w:tcPr>
            <w:tcW w:w="1350" w:type="dxa"/>
            <w:vAlign w:val="center"/>
          </w:tcPr>
          <w:p>
            <w:pPr>
              <w:spacing w:line="360" w:lineRule="auto"/>
              <w:jc w:val="center"/>
              <w:outlineLvl w:val="0"/>
              <w:rPr>
                <w:rFonts w:ascii="宋体" w:hAnsi="宋体" w:cs="宋体"/>
                <w:b/>
                <w:bCs/>
                <w:color w:val="auto"/>
                <w:sz w:val="24"/>
                <w:highlight w:val="none"/>
              </w:rPr>
            </w:pPr>
            <w:r>
              <w:rPr>
                <w:rFonts w:hint="eastAsia" w:ascii="宋体" w:hAnsi="宋体" w:cs="宋体"/>
                <w:b/>
                <w:bCs/>
                <w:color w:val="auto"/>
                <w:sz w:val="24"/>
                <w:highlight w:val="none"/>
              </w:rPr>
              <w:t>（</w:t>
            </w:r>
            <w:r>
              <w:rPr>
                <w:rFonts w:hint="eastAsia" w:ascii="宋体" w:hAnsi="宋体" w:cs="宋体"/>
                <w:b/>
                <w:bCs/>
                <w:color w:val="auto"/>
                <w:sz w:val="24"/>
                <w:highlight w:val="none"/>
                <w:lang w:eastAsia="zh-CN"/>
              </w:rPr>
              <w:t>二</w:t>
            </w:r>
            <w:r>
              <w:rPr>
                <w:rFonts w:hint="eastAsia" w:ascii="宋体" w:hAnsi="宋体" w:cs="宋体"/>
                <w:b/>
                <w:bCs/>
                <w:color w:val="auto"/>
                <w:sz w:val="24"/>
                <w:highlight w:val="none"/>
              </w:rPr>
              <w:t>）投标人业绩情况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 w:hRule="atLeast"/>
          <w:jc w:val="center"/>
        </w:trPr>
        <w:tc>
          <w:tcPr>
            <w:tcW w:w="456" w:type="dxa"/>
            <w:vMerge w:val="restart"/>
            <w:vAlign w:val="center"/>
          </w:tcPr>
          <w:p>
            <w:pPr>
              <w:spacing w:line="360" w:lineRule="auto"/>
              <w:jc w:val="center"/>
              <w:outlineLvl w:val="0"/>
              <w:rPr>
                <w:rFonts w:ascii="宋体" w:hAnsi="宋体" w:cs="宋体"/>
                <w:color w:val="auto"/>
                <w:sz w:val="24"/>
                <w:highlight w:val="none"/>
              </w:rPr>
            </w:pPr>
            <w:r>
              <w:rPr>
                <w:rFonts w:hint="default" w:ascii="宋体" w:hAnsi="宋体" w:cs="宋体"/>
                <w:color w:val="auto"/>
                <w:sz w:val="24"/>
                <w:highlight w:val="none"/>
                <w:lang w:val="en-US"/>
              </w:rPr>
              <w:t>3</w:t>
            </w:r>
          </w:p>
        </w:tc>
        <w:tc>
          <w:tcPr>
            <w:tcW w:w="6230" w:type="dxa"/>
            <w:vAlign w:val="center"/>
          </w:tcPr>
          <w:p>
            <w:pPr>
              <w:spacing w:line="360" w:lineRule="auto"/>
              <w:outlineLvl w:val="0"/>
              <w:rPr>
                <w:rFonts w:hint="eastAsia" w:ascii="宋体" w:hAnsi="宋体" w:cs="宋体"/>
                <w:sz w:val="24"/>
              </w:rPr>
            </w:pPr>
            <w:r>
              <w:rPr>
                <w:rFonts w:hint="eastAsia" w:ascii="宋体" w:hAnsi="宋体" w:cs="宋体"/>
                <w:sz w:val="24"/>
              </w:rPr>
              <w:t>投标人对</w:t>
            </w:r>
            <w:r>
              <w:rPr>
                <w:rFonts w:hint="eastAsia" w:ascii="宋体" w:hAnsi="宋体" w:cs="宋体"/>
                <w:sz w:val="24"/>
                <w:lang w:val="en-US" w:eastAsia="zh-CN"/>
              </w:rPr>
              <w:t>①</w:t>
            </w:r>
            <w:r>
              <w:rPr>
                <w:rFonts w:hint="eastAsia" w:ascii="宋体" w:hAnsi="宋体" w:cs="宋体"/>
                <w:sz w:val="24"/>
              </w:rPr>
              <w:t>文档管理系统的重点、功能的理解，是否具有完整、先进、合理、切实可行的方案</w:t>
            </w:r>
            <w:r>
              <w:rPr>
                <w:rFonts w:hint="eastAsia" w:ascii="宋体" w:hAnsi="宋体" w:cs="宋体"/>
                <w:sz w:val="24"/>
                <w:lang w:eastAsia="zh-CN"/>
              </w:rPr>
              <w:t>；</w:t>
            </w:r>
            <w:r>
              <w:rPr>
                <w:rFonts w:hint="eastAsia" w:ascii="宋体" w:hAnsi="宋体" w:cs="宋体"/>
                <w:sz w:val="24"/>
                <w:lang w:val="en-US" w:eastAsia="zh-CN"/>
              </w:rPr>
              <w:t>②</w:t>
            </w:r>
            <w:r>
              <w:rPr>
                <w:rFonts w:hint="eastAsia" w:ascii="宋体" w:hAnsi="宋体" w:cs="宋体"/>
                <w:sz w:val="24"/>
              </w:rPr>
              <w:t>对所投文档管理系统能否与钉钉进行集成开发对接、在钉钉客户端中实现校园网盘集成、在钉钉中可以直接查看校园网盘内资料，免密登录，在PC端登录可扫码认证入口，可实现扫码登录，是否考虑全面详尽，是否考虑实际情况。</w:t>
            </w:r>
          </w:p>
          <w:p>
            <w:pPr>
              <w:spacing w:line="360" w:lineRule="auto"/>
              <w:outlineLvl w:val="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根据方案的可行性，以上每一条完全满足得</w:t>
            </w:r>
            <w:r>
              <w:rPr>
                <w:rFonts w:hint="default" w:ascii="宋体" w:hAnsi="宋体" w:cs="宋体"/>
                <w:color w:val="auto"/>
                <w:sz w:val="24"/>
                <w:highlight w:val="none"/>
                <w:lang w:val="en-US" w:eastAsia="zh-CN"/>
              </w:rPr>
              <w:t>2</w:t>
            </w:r>
            <w:r>
              <w:rPr>
                <w:rFonts w:hint="eastAsia" w:ascii="宋体" w:hAnsi="宋体" w:cs="宋体"/>
                <w:color w:val="auto"/>
                <w:sz w:val="24"/>
                <w:highlight w:val="none"/>
                <w:lang w:val="en-US" w:eastAsia="zh-CN"/>
              </w:rPr>
              <w:t>分，基本满足得</w:t>
            </w:r>
            <w:r>
              <w:rPr>
                <w:rFonts w:hint="default" w:ascii="宋体" w:hAnsi="宋体" w:cs="宋体"/>
                <w:color w:val="auto"/>
                <w:sz w:val="24"/>
                <w:highlight w:val="none"/>
                <w:lang w:val="en-US" w:eastAsia="zh-CN"/>
              </w:rPr>
              <w:t>1</w:t>
            </w:r>
            <w:r>
              <w:rPr>
                <w:rFonts w:hint="eastAsia" w:ascii="宋体" w:hAnsi="宋体" w:cs="宋体"/>
                <w:color w:val="auto"/>
                <w:sz w:val="24"/>
                <w:highlight w:val="none"/>
                <w:lang w:val="en-US" w:eastAsia="zh-CN"/>
              </w:rPr>
              <w:t>分，不提供或不满足得</w:t>
            </w:r>
            <w:r>
              <w:rPr>
                <w:rFonts w:hint="default" w:ascii="宋体" w:hAnsi="宋体" w:cs="宋体"/>
                <w:color w:val="auto"/>
                <w:sz w:val="24"/>
                <w:highlight w:val="none"/>
                <w:lang w:val="en-US" w:eastAsia="zh-CN"/>
              </w:rPr>
              <w:t>0</w:t>
            </w:r>
            <w:r>
              <w:rPr>
                <w:rFonts w:hint="eastAsia" w:ascii="宋体" w:hAnsi="宋体" w:cs="宋体"/>
                <w:color w:val="auto"/>
                <w:sz w:val="24"/>
                <w:highlight w:val="none"/>
                <w:lang w:val="en-US" w:eastAsia="zh-CN"/>
              </w:rPr>
              <w:t>分。</w:t>
            </w:r>
          </w:p>
        </w:tc>
        <w:tc>
          <w:tcPr>
            <w:tcW w:w="688" w:type="dxa"/>
            <w:vAlign w:val="center"/>
          </w:tcPr>
          <w:p>
            <w:pPr>
              <w:spacing w:line="360" w:lineRule="auto"/>
              <w:jc w:val="center"/>
              <w:outlineLvl w:val="0"/>
              <w:rPr>
                <w:rFonts w:hint="default" w:ascii="宋体" w:hAnsi="宋体" w:eastAsia="宋体" w:cs="宋体"/>
                <w:color w:val="auto"/>
                <w:sz w:val="24"/>
                <w:highlight w:val="none"/>
                <w:lang w:val="en-US" w:eastAsia="zh-CN"/>
              </w:rPr>
            </w:pPr>
            <w:r>
              <w:rPr>
                <w:rFonts w:hint="default" w:ascii="宋体" w:hAnsi="宋体" w:cs="宋体"/>
                <w:color w:val="auto"/>
                <w:sz w:val="24"/>
                <w:highlight w:val="none"/>
                <w:lang w:val="en-US" w:eastAsia="zh-CN"/>
              </w:rPr>
              <w:t>4</w:t>
            </w:r>
          </w:p>
        </w:tc>
        <w:tc>
          <w:tcPr>
            <w:tcW w:w="1350" w:type="dxa"/>
            <w:vMerge w:val="restart"/>
            <w:vAlign w:val="center"/>
          </w:tcPr>
          <w:p>
            <w:pPr>
              <w:numPr>
                <w:ilvl w:val="0"/>
                <w:numId w:val="0"/>
              </w:numPr>
              <w:spacing w:line="360" w:lineRule="auto"/>
              <w:jc w:val="center"/>
              <w:outlineLvl w:val="0"/>
              <w:rPr>
                <w:rFonts w:ascii="宋体" w:hAnsi="宋体" w:cs="宋体"/>
                <w:b/>
                <w:bCs/>
                <w:color w:val="auto"/>
                <w:sz w:val="24"/>
                <w:highlight w:val="none"/>
              </w:rPr>
            </w:pPr>
            <w:r>
              <w:rPr>
                <w:rFonts w:hint="eastAsia" w:ascii="宋体" w:hAnsi="宋体" w:cs="宋体"/>
                <w:b/>
                <w:bCs/>
                <w:color w:val="auto"/>
                <w:sz w:val="24"/>
                <w:highlight w:val="none"/>
                <w:lang w:eastAsia="zh-CN"/>
              </w:rPr>
              <w:t>（三）</w:t>
            </w:r>
            <w:r>
              <w:rPr>
                <w:rFonts w:hint="eastAsia" w:ascii="宋体" w:hAnsi="宋体" w:cs="宋体"/>
                <w:b/>
                <w:bCs/>
                <w:color w:val="auto"/>
                <w:sz w:val="24"/>
                <w:highlight w:val="none"/>
              </w:rPr>
              <w:t>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56" w:type="dxa"/>
            <w:vMerge w:val="continue"/>
            <w:vAlign w:val="center"/>
          </w:tcPr>
          <w:p>
            <w:pPr>
              <w:spacing w:line="360" w:lineRule="auto"/>
              <w:jc w:val="center"/>
              <w:outlineLvl w:val="0"/>
              <w:rPr>
                <w:rFonts w:hint="eastAsia" w:ascii="宋体" w:hAnsi="宋体" w:cs="宋体"/>
                <w:color w:val="auto"/>
                <w:sz w:val="24"/>
                <w:highlight w:val="none"/>
              </w:rPr>
            </w:pPr>
          </w:p>
        </w:tc>
        <w:tc>
          <w:tcPr>
            <w:tcW w:w="6230" w:type="dxa"/>
            <w:vAlign w:val="center"/>
          </w:tcPr>
          <w:p>
            <w:pPr>
              <w:spacing w:line="360" w:lineRule="auto"/>
              <w:outlineLvl w:val="0"/>
              <w:rPr>
                <w:rFonts w:hint="default" w:ascii="宋体" w:hAnsi="宋体" w:cs="宋体"/>
                <w:color w:val="auto"/>
                <w:sz w:val="24"/>
                <w:highlight w:val="none"/>
                <w:lang w:val="en-US"/>
              </w:rPr>
            </w:pPr>
            <w:r>
              <w:rPr>
                <w:rFonts w:hint="eastAsia" w:ascii="宋体" w:hAnsi="宋体" w:cs="宋体"/>
                <w:sz w:val="24"/>
              </w:rPr>
              <w:t>本次项目实施采用西溪校区统一组织架构管理，基于学校发展，后期需拆分为两个校区单独组织管理</w:t>
            </w:r>
            <w:r>
              <w:rPr>
                <w:rFonts w:hint="eastAsia" w:hAnsi="宋体" w:cs="宋体"/>
                <w:sz w:val="24"/>
              </w:rPr>
              <w:t>服务</w:t>
            </w:r>
            <w:r>
              <w:rPr>
                <w:rFonts w:hint="eastAsia" w:ascii="宋体" w:hAnsi="宋体" w:cs="宋体"/>
                <w:sz w:val="24"/>
              </w:rPr>
              <w:t>，投标时需提供详细技术解决方案和说明</w:t>
            </w:r>
            <w:r>
              <w:rPr>
                <w:rFonts w:hint="eastAsia" w:ascii="宋体" w:hAnsi="宋体" w:cs="宋体"/>
                <w:sz w:val="24"/>
                <w:lang w:eastAsia="zh-CN"/>
              </w:rPr>
              <w:t>。</w:t>
            </w:r>
            <w:r>
              <w:rPr>
                <w:rFonts w:hint="eastAsia" w:ascii="宋体" w:hAnsi="宋体" w:cs="宋体"/>
                <w:color w:val="auto"/>
                <w:sz w:val="24"/>
                <w:highlight w:val="none"/>
                <w:lang w:val="en-US" w:eastAsia="zh-CN"/>
              </w:rPr>
              <w:t>根据方案的可行性完全满足得</w:t>
            </w:r>
            <w:r>
              <w:rPr>
                <w:rFonts w:hint="default" w:ascii="宋体" w:hAnsi="宋体" w:cs="宋体"/>
                <w:color w:val="auto"/>
                <w:sz w:val="24"/>
                <w:highlight w:val="none"/>
                <w:lang w:val="en-US" w:eastAsia="zh-CN"/>
              </w:rPr>
              <w:t>4</w:t>
            </w:r>
            <w:r>
              <w:rPr>
                <w:rFonts w:hint="eastAsia" w:ascii="宋体" w:hAnsi="宋体" w:cs="宋体"/>
                <w:color w:val="auto"/>
                <w:sz w:val="24"/>
                <w:highlight w:val="none"/>
                <w:lang w:val="en-US" w:eastAsia="zh-CN"/>
              </w:rPr>
              <w:t>分，基本满足得</w:t>
            </w:r>
            <w:r>
              <w:rPr>
                <w:rFonts w:hint="default" w:ascii="宋体" w:hAnsi="宋体" w:cs="宋体"/>
                <w:color w:val="auto"/>
                <w:sz w:val="24"/>
                <w:highlight w:val="none"/>
                <w:lang w:val="en-US" w:eastAsia="zh-CN"/>
              </w:rPr>
              <w:t>2</w:t>
            </w:r>
            <w:r>
              <w:rPr>
                <w:rFonts w:hint="eastAsia" w:ascii="宋体" w:hAnsi="宋体" w:cs="宋体"/>
                <w:color w:val="auto"/>
                <w:sz w:val="24"/>
                <w:highlight w:val="none"/>
                <w:lang w:val="en-US" w:eastAsia="zh-CN"/>
              </w:rPr>
              <w:t>分，不提供或不满足得</w:t>
            </w:r>
            <w:r>
              <w:rPr>
                <w:rFonts w:hint="default" w:ascii="宋体" w:hAnsi="宋体" w:cs="宋体"/>
                <w:color w:val="auto"/>
                <w:sz w:val="24"/>
                <w:highlight w:val="none"/>
                <w:lang w:val="en-US" w:eastAsia="zh-CN"/>
              </w:rPr>
              <w:t>0</w:t>
            </w:r>
            <w:r>
              <w:rPr>
                <w:rFonts w:hint="eastAsia" w:ascii="宋体" w:hAnsi="宋体" w:cs="宋体"/>
                <w:color w:val="auto"/>
                <w:sz w:val="24"/>
                <w:highlight w:val="none"/>
                <w:lang w:val="en-US" w:eastAsia="zh-CN"/>
              </w:rPr>
              <w:t>分。</w:t>
            </w:r>
          </w:p>
        </w:tc>
        <w:tc>
          <w:tcPr>
            <w:tcW w:w="688" w:type="dxa"/>
            <w:vAlign w:val="center"/>
          </w:tcPr>
          <w:p>
            <w:pPr>
              <w:spacing w:line="360" w:lineRule="auto"/>
              <w:jc w:val="center"/>
              <w:outlineLvl w:val="0"/>
              <w:rPr>
                <w:rFonts w:hint="default" w:ascii="宋体" w:hAnsi="宋体" w:cs="宋体"/>
                <w:color w:val="auto"/>
                <w:sz w:val="24"/>
                <w:highlight w:val="none"/>
                <w:lang w:val="en-US" w:eastAsia="zh-CN"/>
              </w:rPr>
            </w:pPr>
          </w:p>
          <w:p>
            <w:pPr>
              <w:spacing w:line="360" w:lineRule="auto"/>
              <w:jc w:val="center"/>
              <w:outlineLvl w:val="0"/>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4</w:t>
            </w:r>
          </w:p>
        </w:tc>
        <w:tc>
          <w:tcPr>
            <w:tcW w:w="1350" w:type="dxa"/>
            <w:vMerge w:val="continue"/>
            <w:vAlign w:val="center"/>
          </w:tcPr>
          <w:p>
            <w:pPr>
              <w:numPr>
                <w:ilvl w:val="0"/>
                <w:numId w:val="0"/>
              </w:numPr>
              <w:spacing w:line="360" w:lineRule="auto"/>
              <w:jc w:val="both"/>
              <w:outlineLvl w:val="0"/>
              <w:rPr>
                <w:rFonts w:hint="eastAsia"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8" w:hRule="atLeast"/>
          <w:jc w:val="center"/>
        </w:trPr>
        <w:tc>
          <w:tcPr>
            <w:tcW w:w="456" w:type="dxa"/>
            <w:vMerge w:val="restart"/>
            <w:vAlign w:val="center"/>
          </w:tcPr>
          <w:p>
            <w:pPr>
              <w:spacing w:line="360" w:lineRule="auto"/>
              <w:jc w:val="center"/>
              <w:outlineLvl w:val="0"/>
              <w:rPr>
                <w:rFonts w:ascii="宋体" w:hAnsi="宋体" w:cs="宋体"/>
                <w:color w:val="auto"/>
                <w:sz w:val="24"/>
                <w:highlight w:val="none"/>
              </w:rPr>
            </w:pPr>
            <w:r>
              <w:rPr>
                <w:rFonts w:hint="default" w:ascii="宋体" w:hAnsi="宋体" w:cs="宋体"/>
                <w:color w:val="auto"/>
                <w:sz w:val="24"/>
                <w:highlight w:val="none"/>
                <w:lang w:val="en-US"/>
              </w:rPr>
              <w:t>4</w:t>
            </w:r>
          </w:p>
        </w:tc>
        <w:tc>
          <w:tcPr>
            <w:tcW w:w="6230" w:type="dxa"/>
            <w:vAlign w:val="center"/>
          </w:tcPr>
          <w:p>
            <w:pPr>
              <w:spacing w:line="360" w:lineRule="auto"/>
              <w:rPr>
                <w:rFonts w:ascii="宋体" w:hAnsi="宋体" w:cs="宋体"/>
                <w:sz w:val="24"/>
              </w:rPr>
            </w:pPr>
            <w:r>
              <w:rPr>
                <w:rFonts w:hint="eastAsia" w:ascii="宋体" w:hAnsi="宋体" w:cs="宋体"/>
                <w:sz w:val="24"/>
              </w:rPr>
              <w:t>投标人对招标文件采购需求的技术要求响应情况。</w:t>
            </w:r>
          </w:p>
          <w:p>
            <w:pPr>
              <w:pStyle w:val="3"/>
              <w:ind w:left="0" w:leftChars="0" w:firstLine="0" w:firstLineChars="0"/>
              <w:rPr>
                <w:highlight w:val="none"/>
              </w:rPr>
            </w:pPr>
            <w:r>
              <w:rPr>
                <w:rFonts w:hint="eastAsia" w:ascii="宋体" w:hAnsi="宋体" w:cs="宋体"/>
                <w:sz w:val="24"/>
              </w:rPr>
              <w:t>带“★”的重要参数每负偏离1项扣2分，其他参数，每负偏离1项扣1分，扣完为止，带“★”的重要参数和其他参数均须提供相关的证明材料，否则该项不得分</w:t>
            </w:r>
            <w:r>
              <w:rPr>
                <w:rFonts w:hint="eastAsia" w:ascii="宋体" w:hAnsi="宋体" w:cs="宋体"/>
                <w:sz w:val="24"/>
                <w:lang w:eastAsia="zh-CN"/>
              </w:rPr>
              <w:t>。</w:t>
            </w:r>
          </w:p>
        </w:tc>
        <w:tc>
          <w:tcPr>
            <w:tcW w:w="688" w:type="dxa"/>
            <w:vAlign w:val="center"/>
          </w:tcPr>
          <w:p>
            <w:pPr>
              <w:spacing w:line="360" w:lineRule="auto"/>
              <w:jc w:val="center"/>
              <w:outlineLvl w:val="0"/>
              <w:rPr>
                <w:rFonts w:hint="default" w:ascii="宋体" w:hAnsi="宋体" w:eastAsia="宋体" w:cs="宋体"/>
                <w:color w:val="auto"/>
                <w:sz w:val="24"/>
                <w:highlight w:val="none"/>
                <w:lang w:val="en-US" w:eastAsia="zh-CN"/>
              </w:rPr>
            </w:pPr>
            <w:r>
              <w:rPr>
                <w:rFonts w:hint="default" w:ascii="宋体" w:hAnsi="宋体" w:cs="宋体"/>
                <w:color w:val="auto"/>
                <w:sz w:val="24"/>
                <w:highlight w:val="none"/>
                <w:lang w:val="en-US" w:eastAsia="zh-CN"/>
              </w:rPr>
              <w:t>30</w:t>
            </w:r>
          </w:p>
        </w:tc>
        <w:tc>
          <w:tcPr>
            <w:tcW w:w="1350" w:type="dxa"/>
            <w:vMerge w:val="restart"/>
            <w:vAlign w:val="center"/>
          </w:tcPr>
          <w:p>
            <w:pPr>
              <w:spacing w:line="360" w:lineRule="auto"/>
              <w:jc w:val="center"/>
              <w:outlineLvl w:val="0"/>
              <w:rPr>
                <w:rFonts w:ascii="宋体" w:hAnsi="宋体" w:cs="宋体"/>
                <w:b/>
                <w:bCs/>
                <w:color w:val="auto"/>
                <w:sz w:val="24"/>
                <w:highlight w:val="none"/>
              </w:rPr>
            </w:pPr>
            <w:r>
              <w:rPr>
                <w:rFonts w:hint="eastAsia" w:ascii="宋体" w:hAnsi="宋体" w:cs="宋体"/>
                <w:b/>
                <w:bCs/>
                <w:color w:val="auto"/>
                <w:sz w:val="24"/>
                <w:highlight w:val="none"/>
              </w:rPr>
              <w:t>（</w:t>
            </w:r>
            <w:r>
              <w:rPr>
                <w:rFonts w:hint="eastAsia" w:ascii="宋体" w:hAnsi="宋体" w:cs="宋体"/>
                <w:b/>
                <w:bCs/>
                <w:color w:val="auto"/>
                <w:sz w:val="24"/>
                <w:highlight w:val="none"/>
                <w:lang w:eastAsia="zh-CN"/>
              </w:rPr>
              <w:t>四</w:t>
            </w:r>
            <w:r>
              <w:rPr>
                <w:rFonts w:hint="eastAsia" w:ascii="宋体" w:hAnsi="宋体" w:cs="宋体"/>
                <w:b/>
                <w:bCs/>
                <w:color w:val="auto"/>
                <w:sz w:val="24"/>
                <w:highlight w:val="none"/>
              </w:rPr>
              <w:t>）技术要求响应情况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8" w:hRule="atLeast"/>
          <w:jc w:val="center"/>
        </w:trPr>
        <w:tc>
          <w:tcPr>
            <w:tcW w:w="456" w:type="dxa"/>
            <w:vMerge w:val="continue"/>
            <w:vAlign w:val="center"/>
          </w:tcPr>
          <w:p>
            <w:pPr>
              <w:pStyle w:val="3"/>
              <w:ind w:left="0" w:leftChars="0" w:firstLine="0" w:firstLineChars="0"/>
            </w:pPr>
          </w:p>
        </w:tc>
        <w:tc>
          <w:tcPr>
            <w:tcW w:w="6230" w:type="dxa"/>
            <w:vAlign w:val="center"/>
          </w:tcPr>
          <w:p>
            <w:pPr>
              <w:pStyle w:val="3"/>
              <w:ind w:left="0" w:leftChars="0" w:firstLine="0" w:firstLineChars="0"/>
              <w:rPr>
                <w:rFonts w:hint="eastAsia"/>
                <w:b w:val="0"/>
                <w:bCs w:val="0"/>
                <w:highlight w:val="none"/>
                <w:lang w:val="en-US" w:eastAsia="zh-CN"/>
              </w:rPr>
            </w:pPr>
            <w:r>
              <w:rPr>
                <w:rFonts w:hint="eastAsia" w:ascii="宋体" w:hAnsi="宋体" w:cs="宋体"/>
                <w:sz w:val="24"/>
              </w:rPr>
              <w:t>①</w:t>
            </w:r>
            <w:r>
              <w:rPr>
                <w:rFonts w:hint="eastAsia" w:asciiTheme="minorEastAsia" w:hAnsiTheme="minorEastAsia" w:eastAsiaTheme="minorEastAsia"/>
                <w:kern w:val="0"/>
                <w:sz w:val="24"/>
              </w:rPr>
              <w:t>万兆</w:t>
            </w:r>
            <w:r>
              <w:rPr>
                <w:rFonts w:hint="eastAsia" w:asciiTheme="minorEastAsia" w:hAnsiTheme="minorEastAsia" w:eastAsiaTheme="minorEastAsia"/>
                <w:kern w:val="0"/>
                <w:sz w:val="24"/>
                <w:highlight w:val="none"/>
              </w:rPr>
              <w:t>下行汇聚交换机</w:t>
            </w:r>
            <w:r>
              <w:rPr>
                <w:rFonts w:hint="eastAsia" w:ascii="宋体" w:hAnsi="宋体" w:cs="宋体"/>
                <w:sz w:val="24"/>
                <w:highlight w:val="none"/>
              </w:rPr>
              <w:t>②</w:t>
            </w:r>
            <w:r>
              <w:rPr>
                <w:rFonts w:hint="eastAsia" w:ascii="宋体" w:hAnsi="宋体" w:cs="宋体"/>
                <w:sz w:val="24"/>
                <w:highlight w:val="none"/>
                <w:lang w:val="en-US" w:eastAsia="zh-CN"/>
              </w:rPr>
              <w:t>万兆防火墙</w:t>
            </w:r>
            <w:r>
              <w:rPr>
                <w:rFonts w:hint="eastAsia" w:ascii="宋体" w:hAnsi="宋体" w:cs="宋体"/>
                <w:sz w:val="24"/>
                <w:highlight w:val="none"/>
              </w:rPr>
              <w:t>③</w:t>
            </w:r>
            <w:r>
              <w:rPr>
                <w:rFonts w:hint="eastAsia" w:asciiTheme="minorEastAsia" w:hAnsiTheme="minorEastAsia" w:eastAsiaTheme="minorEastAsia"/>
                <w:kern w:val="0"/>
                <w:sz w:val="24"/>
                <w:highlight w:val="none"/>
              </w:rPr>
              <w:t>上网行为管理</w:t>
            </w:r>
            <w:r>
              <w:rPr>
                <w:rFonts w:hint="eastAsia" w:ascii="宋体" w:hAnsi="宋体" w:cs="宋体"/>
                <w:sz w:val="24"/>
                <w:highlight w:val="none"/>
              </w:rPr>
              <w:t>④无线控制器，</w:t>
            </w:r>
            <w:r>
              <w:rPr>
                <w:rFonts w:hint="eastAsia" w:ascii="宋体" w:hAnsi="宋体" w:cs="宋体"/>
                <w:sz w:val="24"/>
                <w:highlight w:val="none"/>
                <w:lang w:val="en-US" w:eastAsia="zh-CN"/>
              </w:rPr>
              <w:t>须和</w:t>
            </w:r>
            <w:r>
              <w:rPr>
                <w:rFonts w:hint="eastAsia" w:ascii="宋体" w:hAnsi="宋体" w:cs="宋体"/>
                <w:sz w:val="24"/>
              </w:rPr>
              <w:t>数据网核心交换机</w:t>
            </w:r>
            <w:r>
              <w:rPr>
                <w:rFonts w:hint="eastAsia"/>
                <w:lang w:val="en-US" w:eastAsia="zh-CN"/>
              </w:rPr>
              <w:t>同一品牌</w:t>
            </w:r>
            <w:r>
              <w:rPr>
                <w:rFonts w:hint="eastAsia" w:ascii="宋体" w:hAnsi="宋体" w:cs="宋体"/>
                <w:sz w:val="24"/>
              </w:rPr>
              <w:t>，</w:t>
            </w:r>
            <w:r>
              <w:rPr>
                <w:rFonts w:hint="eastAsia" w:ascii="宋体" w:hAnsi="宋体" w:cs="宋体"/>
                <w:sz w:val="24"/>
                <w:lang w:val="en-US" w:eastAsia="zh-CN"/>
              </w:rPr>
              <w:t>并</w:t>
            </w:r>
            <w:r>
              <w:rPr>
                <w:rFonts w:hint="eastAsia" w:ascii="宋体" w:hAnsi="宋体" w:cs="宋体"/>
                <w:sz w:val="24"/>
              </w:rPr>
              <w:t>提供相关证明材料，</w:t>
            </w:r>
            <w:r>
              <w:rPr>
                <w:rFonts w:hint="eastAsia" w:ascii="宋体" w:hAnsi="宋体" w:cs="宋体"/>
                <w:sz w:val="24"/>
                <w:lang w:val="en-US" w:eastAsia="zh-CN"/>
              </w:rPr>
              <w:t>全部满足得2分，有一项</w:t>
            </w:r>
            <w:r>
              <w:rPr>
                <w:rFonts w:hint="eastAsia" w:ascii="宋体" w:hAnsi="宋体" w:cs="宋体"/>
                <w:color w:val="auto"/>
                <w:sz w:val="24"/>
                <w:highlight w:val="none"/>
                <w:lang w:val="en-US" w:eastAsia="zh-CN"/>
              </w:rPr>
              <w:t>不提供或不满足得</w:t>
            </w:r>
            <w:r>
              <w:rPr>
                <w:rFonts w:hint="default" w:ascii="宋体" w:hAnsi="宋体" w:cs="宋体"/>
                <w:color w:val="auto"/>
                <w:sz w:val="24"/>
                <w:highlight w:val="none"/>
                <w:lang w:val="en-US" w:eastAsia="zh-CN"/>
              </w:rPr>
              <w:t>0</w:t>
            </w:r>
            <w:r>
              <w:rPr>
                <w:rFonts w:hint="eastAsia" w:ascii="宋体" w:hAnsi="宋体" w:cs="宋体"/>
                <w:color w:val="auto"/>
                <w:sz w:val="24"/>
                <w:highlight w:val="none"/>
                <w:lang w:val="en-US" w:eastAsia="zh-CN"/>
              </w:rPr>
              <w:t>分</w:t>
            </w:r>
            <w:r>
              <w:rPr>
                <w:rFonts w:hint="eastAsia" w:hAnsi="宋体" w:cs="宋体"/>
                <w:color w:val="auto"/>
                <w:sz w:val="24"/>
                <w:highlight w:val="none"/>
                <w:lang w:val="en-US" w:eastAsia="zh-CN"/>
              </w:rPr>
              <w:t>。</w:t>
            </w:r>
          </w:p>
        </w:tc>
        <w:tc>
          <w:tcPr>
            <w:tcW w:w="688" w:type="dxa"/>
            <w:vAlign w:val="center"/>
          </w:tcPr>
          <w:p>
            <w:pPr>
              <w:pStyle w:val="3"/>
              <w:ind w:left="0" w:leftChars="0" w:firstLine="0" w:firstLineChars="0"/>
              <w:jc w:val="center"/>
              <w:rPr>
                <w:rFonts w:hint="default"/>
                <w:b w:val="0"/>
                <w:bCs w:val="0"/>
                <w:highlight w:val="none"/>
                <w:lang w:val="en-US" w:eastAsia="zh-CN"/>
              </w:rPr>
            </w:pPr>
            <w:r>
              <w:rPr>
                <w:rFonts w:hint="default"/>
                <w:b w:val="0"/>
                <w:bCs w:val="0"/>
                <w:highlight w:val="none"/>
                <w:lang w:val="en-US" w:eastAsia="zh-CN"/>
              </w:rPr>
              <w:t>2</w:t>
            </w:r>
          </w:p>
        </w:tc>
        <w:tc>
          <w:tcPr>
            <w:tcW w:w="1350" w:type="dxa"/>
            <w:vMerge w:val="continue"/>
            <w:vAlign w:val="center"/>
          </w:tcPr>
          <w:p>
            <w:pPr>
              <w:pStyle w:val="3"/>
              <w:ind w:left="0" w:leftChars="0" w:firstLine="0" w:firstLineChars="0"/>
              <w:rPr>
                <w:rFonts w:hint="eastAsia"/>
                <w:b w:val="0"/>
                <w:bCs w:val="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1" w:hRule="atLeast"/>
          <w:jc w:val="center"/>
        </w:trPr>
        <w:tc>
          <w:tcPr>
            <w:tcW w:w="456" w:type="dxa"/>
            <w:vAlign w:val="center"/>
          </w:tcPr>
          <w:p>
            <w:pPr>
              <w:spacing w:line="360" w:lineRule="auto"/>
              <w:jc w:val="center"/>
              <w:outlineLvl w:val="0"/>
              <w:rPr>
                <w:rFonts w:hint="eastAsia" w:ascii="宋体" w:hAnsi="宋体" w:eastAsia="宋体" w:cs="宋体"/>
                <w:color w:val="auto"/>
                <w:sz w:val="24"/>
                <w:highlight w:val="none"/>
                <w:lang w:val="en-US" w:eastAsia="zh-CN"/>
              </w:rPr>
            </w:pPr>
            <w:r>
              <w:rPr>
                <w:rFonts w:hint="default" w:ascii="宋体" w:hAnsi="宋体" w:cs="宋体"/>
                <w:color w:val="auto"/>
                <w:sz w:val="24"/>
                <w:highlight w:val="none"/>
                <w:lang w:val="en-US" w:eastAsia="zh-CN"/>
              </w:rPr>
              <w:t>5</w:t>
            </w:r>
          </w:p>
        </w:tc>
        <w:tc>
          <w:tcPr>
            <w:tcW w:w="6230" w:type="dxa"/>
            <w:vAlign w:val="center"/>
          </w:tcPr>
          <w:p>
            <w:pPr>
              <w:spacing w:line="360" w:lineRule="auto"/>
              <w:outlineLvl w:val="0"/>
              <w:rPr>
                <w:rFonts w:hint="eastAsia" w:ascii="宋体" w:hAnsi="宋体" w:cs="宋体"/>
                <w:sz w:val="24"/>
                <w:lang w:eastAsia="zh-CN"/>
              </w:rPr>
            </w:pPr>
            <w:r>
              <w:rPr>
                <w:rFonts w:hint="eastAsia" w:ascii="宋体" w:hAnsi="宋体" w:cs="宋体"/>
                <w:sz w:val="24"/>
              </w:rPr>
              <w:t>项目实施方案：投标人提供科学、合理、可操作的具体项目整体实施方案，包括①项目实施计划进度②项目实施保障措施③项目实施培训方案④项目验收方案</w:t>
            </w:r>
            <w:r>
              <w:rPr>
                <w:rFonts w:hint="eastAsia" w:ascii="宋体" w:hAnsi="宋体" w:cs="宋体"/>
                <w:sz w:val="24"/>
                <w:lang w:eastAsia="zh-CN"/>
              </w:rPr>
              <w:t>；</w:t>
            </w:r>
          </w:p>
          <w:p>
            <w:pPr>
              <w:spacing w:line="360" w:lineRule="auto"/>
              <w:outlineLvl w:val="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根据方案的可行性，以上每一条完全满足得</w:t>
            </w:r>
            <w:r>
              <w:rPr>
                <w:rFonts w:hint="default" w:ascii="宋体" w:hAnsi="宋体" w:cs="宋体"/>
                <w:color w:val="auto"/>
                <w:sz w:val="24"/>
                <w:highlight w:val="none"/>
                <w:lang w:val="en-US" w:eastAsia="zh-CN"/>
              </w:rPr>
              <w:t>1</w:t>
            </w:r>
            <w:r>
              <w:rPr>
                <w:rFonts w:hint="eastAsia" w:ascii="宋体" w:hAnsi="宋体" w:cs="宋体"/>
                <w:color w:val="auto"/>
                <w:sz w:val="24"/>
                <w:highlight w:val="none"/>
                <w:lang w:val="en-US" w:eastAsia="zh-CN"/>
              </w:rPr>
              <w:t>分，基本满足得</w:t>
            </w:r>
            <w:r>
              <w:rPr>
                <w:rFonts w:hint="default" w:ascii="宋体" w:hAnsi="宋体" w:cs="宋体"/>
                <w:color w:val="auto"/>
                <w:sz w:val="24"/>
                <w:highlight w:val="none"/>
                <w:lang w:val="en-US" w:eastAsia="zh-CN"/>
              </w:rPr>
              <w:t>0.5</w:t>
            </w:r>
            <w:r>
              <w:rPr>
                <w:rFonts w:hint="eastAsia" w:ascii="宋体" w:hAnsi="宋体" w:cs="宋体"/>
                <w:color w:val="auto"/>
                <w:sz w:val="24"/>
                <w:highlight w:val="none"/>
                <w:lang w:val="en-US" w:eastAsia="zh-CN"/>
              </w:rPr>
              <w:t>分，不提供或不满足得</w:t>
            </w:r>
            <w:r>
              <w:rPr>
                <w:rFonts w:hint="default" w:ascii="宋体" w:hAnsi="宋体" w:cs="宋体"/>
                <w:color w:val="auto"/>
                <w:sz w:val="24"/>
                <w:highlight w:val="none"/>
                <w:lang w:val="en-US" w:eastAsia="zh-CN"/>
              </w:rPr>
              <w:t>0</w:t>
            </w:r>
            <w:r>
              <w:rPr>
                <w:rFonts w:hint="eastAsia" w:ascii="宋体" w:hAnsi="宋体" w:cs="宋体"/>
                <w:color w:val="auto"/>
                <w:sz w:val="24"/>
                <w:highlight w:val="none"/>
                <w:lang w:val="en-US" w:eastAsia="zh-CN"/>
              </w:rPr>
              <w:t>分。</w:t>
            </w:r>
          </w:p>
        </w:tc>
        <w:tc>
          <w:tcPr>
            <w:tcW w:w="688" w:type="dxa"/>
            <w:vAlign w:val="center"/>
          </w:tcPr>
          <w:p>
            <w:pPr>
              <w:spacing w:line="360" w:lineRule="auto"/>
              <w:jc w:val="center"/>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4</w:t>
            </w:r>
          </w:p>
        </w:tc>
        <w:tc>
          <w:tcPr>
            <w:tcW w:w="1350" w:type="dxa"/>
            <w:vAlign w:val="center"/>
          </w:tcPr>
          <w:p>
            <w:pPr>
              <w:spacing w:line="360" w:lineRule="auto"/>
              <w:jc w:val="center"/>
              <w:outlineLvl w:val="0"/>
              <w:rPr>
                <w:rFonts w:hint="eastAsia"/>
                <w:b/>
                <w:bCs/>
                <w:color w:val="auto"/>
                <w:highlight w:val="none"/>
                <w:lang w:val="en-US" w:eastAsia="zh-CN"/>
              </w:rPr>
            </w:pPr>
            <w:r>
              <w:rPr>
                <w:rFonts w:hint="eastAsia"/>
                <w:b/>
                <w:bCs/>
                <w:color w:val="auto"/>
                <w:sz w:val="24"/>
                <w:szCs w:val="24"/>
                <w:highlight w:val="none"/>
              </w:rPr>
              <w:t>（</w:t>
            </w:r>
            <w:r>
              <w:rPr>
                <w:rFonts w:hint="eastAsia"/>
                <w:b/>
                <w:bCs/>
                <w:color w:val="auto"/>
                <w:sz w:val="24"/>
                <w:szCs w:val="24"/>
                <w:highlight w:val="none"/>
                <w:lang w:eastAsia="zh-CN"/>
              </w:rPr>
              <w:t>五</w:t>
            </w:r>
            <w:r>
              <w:rPr>
                <w:rFonts w:hint="eastAsia"/>
                <w:b/>
                <w:bCs/>
                <w:color w:val="auto"/>
                <w:sz w:val="24"/>
                <w:szCs w:val="24"/>
                <w:highlight w:val="none"/>
              </w:rPr>
              <w:t>）</w:t>
            </w:r>
            <w:r>
              <w:rPr>
                <w:rFonts w:hint="eastAsia"/>
                <w:b/>
                <w:bCs/>
                <w:color w:val="auto"/>
                <w:sz w:val="24"/>
                <w:szCs w:val="24"/>
                <w:highlight w:val="none"/>
                <w:lang w:eastAsia="zh-CN"/>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1" w:hRule="atLeast"/>
          <w:jc w:val="center"/>
        </w:trPr>
        <w:tc>
          <w:tcPr>
            <w:tcW w:w="456" w:type="dxa"/>
            <w:vAlign w:val="center"/>
          </w:tcPr>
          <w:p>
            <w:pPr>
              <w:spacing w:line="360" w:lineRule="auto"/>
              <w:jc w:val="center"/>
              <w:outlineLvl w:val="0"/>
              <w:rPr>
                <w:rFonts w:hint="default" w:ascii="宋体" w:hAnsi="宋体" w:eastAsia="宋体" w:cs="宋体"/>
                <w:color w:val="auto"/>
                <w:sz w:val="24"/>
                <w:highlight w:val="none"/>
                <w:lang w:val="en-US" w:eastAsia="zh-CN"/>
              </w:rPr>
            </w:pPr>
            <w:r>
              <w:rPr>
                <w:rFonts w:hint="default" w:ascii="宋体" w:hAnsi="宋体" w:cs="宋体"/>
                <w:color w:val="auto"/>
                <w:sz w:val="24"/>
                <w:highlight w:val="none"/>
                <w:lang w:val="en-US" w:eastAsia="zh-CN"/>
              </w:rPr>
              <w:t>6</w:t>
            </w:r>
          </w:p>
        </w:tc>
        <w:tc>
          <w:tcPr>
            <w:tcW w:w="6230" w:type="dxa"/>
            <w:vAlign w:val="center"/>
          </w:tcPr>
          <w:p>
            <w:pPr>
              <w:spacing w:line="360" w:lineRule="auto"/>
              <w:outlineLvl w:val="0"/>
              <w:rPr>
                <w:rFonts w:hint="eastAsia" w:ascii="宋体" w:hAnsi="宋体" w:eastAsia="宋体" w:cs="宋体"/>
                <w:sz w:val="24"/>
              </w:rPr>
            </w:pPr>
            <w:r>
              <w:rPr>
                <w:rFonts w:hint="eastAsia" w:ascii="宋体" w:hAnsi="宋体" w:eastAsia="宋体" w:cs="宋体"/>
                <w:sz w:val="24"/>
              </w:rPr>
              <w:t>投标人提供的安装服务实施方案：①项目交付工期②根据项目交付时间节点，送货安装时间、人员安排、设备调试等情况的落实情况，是否合理、是否符合采购需求。③</w:t>
            </w:r>
            <w:r>
              <w:rPr>
                <w:rFonts w:hint="eastAsia" w:ascii="宋体" w:hAnsi="宋体" w:eastAsia="宋体" w:cs="宋体"/>
                <w:sz w:val="24"/>
                <w:lang w:val="en-US" w:eastAsia="zh-CN"/>
              </w:rPr>
              <w:t>是否满足定制开发集成服务为至少满足2个工程师现场驻校开发</w:t>
            </w:r>
            <w:r>
              <w:rPr>
                <w:rFonts w:hint="eastAsia" w:ascii="宋体" w:hAnsi="宋体" w:cs="宋体"/>
                <w:sz w:val="24"/>
              </w:rPr>
              <w:t>④</w:t>
            </w:r>
            <w:r>
              <w:rPr>
                <w:rFonts w:hint="eastAsia" w:ascii="宋体" w:hAnsi="宋体" w:eastAsia="宋体" w:cs="宋体"/>
                <w:sz w:val="24"/>
                <w:lang w:val="en-US" w:eastAsia="zh-CN"/>
              </w:rPr>
              <w:t>开发服务不少于30天驻校服务。</w:t>
            </w:r>
          </w:p>
          <w:p>
            <w:pPr>
              <w:spacing w:line="360" w:lineRule="auto"/>
              <w:outlineLvl w:val="0"/>
              <w:rPr>
                <w:rFonts w:hint="eastAsia"/>
                <w:highlight w:val="none"/>
                <w:lang w:eastAsia="zh-CN"/>
              </w:rPr>
            </w:pPr>
            <w:r>
              <w:rPr>
                <w:rFonts w:hint="eastAsia" w:ascii="宋体" w:hAnsi="宋体" w:eastAsia="宋体" w:cs="宋体"/>
                <w:sz w:val="24"/>
                <w:lang w:val="en-US" w:eastAsia="zh-CN"/>
              </w:rPr>
              <w:t>根据方案的可行性，以上每一条完全满足得</w:t>
            </w:r>
            <w:r>
              <w:rPr>
                <w:rFonts w:hint="default" w:ascii="宋体" w:hAnsi="宋体" w:eastAsia="宋体" w:cs="宋体"/>
                <w:sz w:val="24"/>
                <w:lang w:val="en-US" w:eastAsia="zh-CN"/>
              </w:rPr>
              <w:t>1</w:t>
            </w:r>
            <w:r>
              <w:rPr>
                <w:rFonts w:hint="eastAsia" w:ascii="宋体" w:hAnsi="宋体" w:eastAsia="宋体" w:cs="宋体"/>
                <w:sz w:val="24"/>
                <w:lang w:val="en-US" w:eastAsia="zh-CN"/>
              </w:rPr>
              <w:t>分，基本满足得</w:t>
            </w:r>
            <w:r>
              <w:rPr>
                <w:rFonts w:hint="default" w:ascii="宋体" w:hAnsi="宋体" w:eastAsia="宋体" w:cs="宋体"/>
                <w:sz w:val="24"/>
                <w:lang w:val="en-US" w:eastAsia="zh-CN"/>
              </w:rPr>
              <w:t>0.5</w:t>
            </w:r>
            <w:r>
              <w:rPr>
                <w:rFonts w:hint="eastAsia" w:ascii="宋体" w:hAnsi="宋体" w:eastAsia="宋体" w:cs="宋体"/>
                <w:sz w:val="24"/>
                <w:lang w:val="en-US" w:eastAsia="zh-CN"/>
              </w:rPr>
              <w:t>分，不提供或不满足得</w:t>
            </w:r>
            <w:r>
              <w:rPr>
                <w:rFonts w:hint="default" w:ascii="宋体" w:hAnsi="宋体" w:eastAsia="宋体" w:cs="宋体"/>
                <w:sz w:val="24"/>
                <w:lang w:val="en-US" w:eastAsia="zh-CN"/>
              </w:rPr>
              <w:t>0</w:t>
            </w:r>
            <w:r>
              <w:rPr>
                <w:rFonts w:hint="eastAsia" w:ascii="宋体" w:hAnsi="宋体" w:eastAsia="宋体" w:cs="宋体"/>
                <w:sz w:val="24"/>
                <w:lang w:val="en-US" w:eastAsia="zh-CN"/>
              </w:rPr>
              <w:t>分。</w:t>
            </w:r>
          </w:p>
        </w:tc>
        <w:tc>
          <w:tcPr>
            <w:tcW w:w="688" w:type="dxa"/>
            <w:vAlign w:val="center"/>
          </w:tcPr>
          <w:p>
            <w:pPr>
              <w:spacing w:line="360" w:lineRule="auto"/>
              <w:jc w:val="center"/>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4</w:t>
            </w:r>
          </w:p>
        </w:tc>
        <w:tc>
          <w:tcPr>
            <w:tcW w:w="1350" w:type="dxa"/>
            <w:vAlign w:val="center"/>
          </w:tcPr>
          <w:p>
            <w:pPr>
              <w:pStyle w:val="61"/>
              <w:ind w:left="0" w:leftChars="0" w:firstLine="0" w:firstLineChars="0"/>
              <w:rPr>
                <w:rFonts w:hint="eastAsia"/>
                <w:b/>
                <w:bCs/>
                <w:color w:val="auto"/>
                <w:highlight w:val="none"/>
                <w:lang w:val="en-US" w:eastAsia="zh-CN"/>
              </w:rPr>
            </w:pPr>
            <w:r>
              <w:rPr>
                <w:rFonts w:hint="eastAsia"/>
                <w:b/>
                <w:bCs/>
                <w:color w:val="auto"/>
                <w:sz w:val="24"/>
                <w:szCs w:val="24"/>
                <w:highlight w:val="none"/>
                <w:lang w:val="en-US" w:eastAsia="zh-CN"/>
              </w:rPr>
              <w:t>（六）安装服务实施方案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456" w:type="dxa"/>
            <w:vMerge w:val="restart"/>
            <w:vAlign w:val="center"/>
          </w:tcPr>
          <w:p>
            <w:pPr>
              <w:spacing w:line="360" w:lineRule="auto"/>
              <w:jc w:val="center"/>
              <w:outlineLvl w:val="0"/>
              <w:rPr>
                <w:rFonts w:hint="eastAsia" w:ascii="宋体" w:hAnsi="宋体" w:eastAsia="宋体" w:cs="宋体"/>
                <w:color w:val="auto"/>
                <w:sz w:val="24"/>
                <w:highlight w:val="none"/>
                <w:lang w:val="en-US" w:eastAsia="zh-CN"/>
              </w:rPr>
            </w:pPr>
            <w:r>
              <w:rPr>
                <w:rFonts w:hint="default" w:ascii="宋体" w:hAnsi="宋体" w:cs="宋体"/>
                <w:color w:val="auto"/>
                <w:sz w:val="24"/>
                <w:highlight w:val="none"/>
                <w:lang w:val="en-US" w:eastAsia="zh-CN"/>
              </w:rPr>
              <w:t>7</w:t>
            </w:r>
          </w:p>
        </w:tc>
        <w:tc>
          <w:tcPr>
            <w:tcW w:w="6230" w:type="dxa"/>
            <w:vAlign w:val="center"/>
          </w:tcPr>
          <w:p>
            <w:pPr>
              <w:spacing w:line="360" w:lineRule="auto"/>
              <w:outlineLvl w:val="0"/>
              <w:rPr>
                <w:rFonts w:hint="eastAsia" w:ascii="宋体" w:hAnsi="宋体" w:eastAsia="宋体" w:cs="宋体"/>
                <w:sz w:val="24"/>
                <w:lang w:val="en-US" w:eastAsia="zh-CN"/>
              </w:rPr>
            </w:pPr>
            <w:r>
              <w:rPr>
                <w:rFonts w:hint="eastAsia" w:ascii="宋体" w:hAnsi="宋体" w:eastAsia="宋体" w:cs="宋体"/>
                <w:sz w:val="24"/>
                <w:lang w:val="en-US" w:eastAsia="zh-CN"/>
              </w:rPr>
              <w:t>拟担任项目经理具有高级工程师证书，提供社保缴纳证明和相关证书复印件。</w:t>
            </w:r>
          </w:p>
        </w:tc>
        <w:tc>
          <w:tcPr>
            <w:tcW w:w="688" w:type="dxa"/>
            <w:vAlign w:val="center"/>
          </w:tcPr>
          <w:p>
            <w:pPr>
              <w:spacing w:line="360" w:lineRule="auto"/>
              <w:jc w:val="center"/>
              <w:outlineLvl w:val="0"/>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3</w:t>
            </w:r>
          </w:p>
        </w:tc>
        <w:tc>
          <w:tcPr>
            <w:tcW w:w="1350" w:type="dxa"/>
            <w:vMerge w:val="restart"/>
            <w:vAlign w:val="center"/>
          </w:tcPr>
          <w:p>
            <w:pPr>
              <w:spacing w:line="360" w:lineRule="auto"/>
              <w:jc w:val="center"/>
              <w:outlineLvl w:val="0"/>
              <w:rPr>
                <w:rFonts w:hint="eastAsia" w:ascii="宋体" w:hAnsi="宋体" w:cs="宋体"/>
                <w:b/>
                <w:bCs/>
                <w:color w:val="auto"/>
                <w:sz w:val="24"/>
                <w:highlight w:val="none"/>
              </w:rPr>
            </w:pPr>
            <w:r>
              <w:rPr>
                <w:rFonts w:hint="eastAsia" w:ascii="宋体" w:hAnsi="宋体" w:cs="宋体"/>
                <w:b/>
                <w:bCs/>
                <w:color w:val="auto"/>
                <w:sz w:val="24"/>
                <w:highlight w:val="none"/>
              </w:rPr>
              <w:t>（</w:t>
            </w:r>
            <w:r>
              <w:rPr>
                <w:rFonts w:hint="eastAsia" w:ascii="宋体" w:hAnsi="宋体" w:cs="宋体"/>
                <w:b/>
                <w:bCs/>
                <w:color w:val="auto"/>
                <w:sz w:val="24"/>
                <w:highlight w:val="none"/>
                <w:lang w:val="en-US" w:eastAsia="zh-CN"/>
              </w:rPr>
              <w:t>七</w:t>
            </w:r>
            <w:r>
              <w:rPr>
                <w:rFonts w:hint="eastAsia" w:ascii="宋体" w:hAnsi="宋体" w:cs="宋体"/>
                <w:b/>
                <w:bCs/>
                <w:color w:val="auto"/>
                <w:sz w:val="24"/>
                <w:highlight w:val="none"/>
              </w:rPr>
              <w:t>）</w:t>
            </w:r>
            <w:r>
              <w:rPr>
                <w:rFonts w:hint="eastAsia" w:ascii="宋体" w:hAnsi="宋体" w:cs="宋体"/>
                <w:b/>
                <w:bCs/>
                <w:color w:val="auto"/>
                <w:sz w:val="24"/>
                <w:highlight w:val="none"/>
                <w:lang w:eastAsia="zh-CN"/>
              </w:rPr>
              <w:t>项目团队情况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9" w:hRule="atLeast"/>
          <w:jc w:val="center"/>
        </w:trPr>
        <w:tc>
          <w:tcPr>
            <w:tcW w:w="456" w:type="dxa"/>
            <w:vMerge w:val="continue"/>
            <w:vAlign w:val="center"/>
          </w:tcPr>
          <w:p>
            <w:pPr>
              <w:spacing w:line="360" w:lineRule="auto"/>
              <w:outlineLvl w:val="0"/>
              <w:rPr>
                <w:highlight w:val="none"/>
              </w:rPr>
            </w:pPr>
          </w:p>
        </w:tc>
        <w:tc>
          <w:tcPr>
            <w:tcW w:w="6230" w:type="dxa"/>
            <w:vAlign w:val="center"/>
          </w:tcPr>
          <w:p>
            <w:pPr>
              <w:spacing w:line="360" w:lineRule="auto"/>
              <w:outlineLvl w:val="0"/>
              <w:rPr>
                <w:rFonts w:hint="eastAsia" w:ascii="宋体" w:hAnsi="宋体" w:eastAsia="宋体" w:cs="宋体"/>
                <w:sz w:val="24"/>
                <w:lang w:val="en-US" w:eastAsia="zh-CN"/>
              </w:rPr>
            </w:pPr>
            <w:r>
              <w:rPr>
                <w:rFonts w:hint="eastAsia" w:ascii="宋体" w:hAnsi="宋体" w:eastAsia="宋体" w:cs="宋体"/>
                <w:sz w:val="24"/>
                <w:lang w:val="en-US" w:eastAsia="zh-CN"/>
              </w:rPr>
              <w:t>项目团队中每增加一名具有中级工程师证书及以上的工作人员得1分，最高得</w:t>
            </w:r>
            <w:r>
              <w:rPr>
                <w:rFonts w:hint="default" w:ascii="宋体" w:hAnsi="宋体" w:eastAsia="宋体" w:cs="宋体"/>
                <w:sz w:val="24"/>
                <w:lang w:val="en-US" w:eastAsia="zh-CN"/>
              </w:rPr>
              <w:t>3</w:t>
            </w:r>
            <w:r>
              <w:rPr>
                <w:rFonts w:hint="eastAsia" w:ascii="宋体" w:hAnsi="宋体" w:eastAsia="宋体" w:cs="宋体"/>
                <w:sz w:val="24"/>
                <w:lang w:val="en-US" w:eastAsia="zh-CN"/>
              </w:rPr>
              <w:t>分。提供团队内每个成员的社保缴纳证明及相关证书复印件。注：同一个人多本证书只算一个有效证书。</w:t>
            </w:r>
          </w:p>
        </w:tc>
        <w:tc>
          <w:tcPr>
            <w:tcW w:w="688" w:type="dxa"/>
            <w:vAlign w:val="center"/>
          </w:tcPr>
          <w:p>
            <w:pPr>
              <w:spacing w:line="360" w:lineRule="auto"/>
              <w:jc w:val="center"/>
              <w:outlineLvl w:val="0"/>
              <w:rPr>
                <w:rFonts w:hint="eastAsia" w:ascii="宋体" w:hAnsi="宋体" w:eastAsia="宋体" w:cs="宋体"/>
                <w:color w:val="auto"/>
                <w:sz w:val="24"/>
                <w:highlight w:val="none"/>
                <w:lang w:val="en-US" w:eastAsia="zh-CN"/>
              </w:rPr>
            </w:pPr>
            <w:r>
              <w:rPr>
                <w:rFonts w:hint="default" w:ascii="宋体" w:hAnsi="宋体" w:cs="宋体"/>
                <w:color w:val="auto"/>
                <w:sz w:val="24"/>
                <w:highlight w:val="none"/>
                <w:lang w:val="en-US" w:eastAsia="zh-CN"/>
              </w:rPr>
              <w:t>3</w:t>
            </w:r>
          </w:p>
        </w:tc>
        <w:tc>
          <w:tcPr>
            <w:tcW w:w="1350" w:type="dxa"/>
            <w:vMerge w:val="continue"/>
            <w:vAlign w:val="center"/>
          </w:tcPr>
          <w:p>
            <w:pPr>
              <w:spacing w:line="360" w:lineRule="auto"/>
              <w:outlineLvl w:val="0"/>
              <w:rPr>
                <w:rFonts w:hint="eastAsia"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6" w:type="dxa"/>
            <w:vMerge w:val="restart"/>
            <w:vAlign w:val="center"/>
          </w:tcPr>
          <w:p>
            <w:pPr>
              <w:spacing w:line="360" w:lineRule="auto"/>
              <w:jc w:val="center"/>
              <w:outlineLvl w:val="0"/>
              <w:rPr>
                <w:rFonts w:hint="default" w:ascii="宋体" w:hAnsi="宋体" w:cs="宋体"/>
                <w:color w:val="auto"/>
                <w:sz w:val="24"/>
                <w:highlight w:val="none"/>
                <w:lang w:val="en-US" w:eastAsia="zh-CN"/>
              </w:rPr>
            </w:pPr>
          </w:p>
          <w:p>
            <w:pPr>
              <w:spacing w:line="360" w:lineRule="auto"/>
              <w:jc w:val="center"/>
              <w:outlineLvl w:val="0"/>
              <w:rPr>
                <w:rFonts w:hint="default" w:ascii="宋体" w:hAnsi="宋体" w:cs="宋体"/>
                <w:color w:val="auto"/>
                <w:sz w:val="24"/>
                <w:highlight w:val="none"/>
                <w:lang w:val="en-US" w:eastAsia="zh-CN"/>
              </w:rPr>
            </w:pPr>
          </w:p>
          <w:p>
            <w:pPr>
              <w:spacing w:line="360" w:lineRule="auto"/>
              <w:jc w:val="center"/>
              <w:outlineLvl w:val="0"/>
              <w:rPr>
                <w:rFonts w:hint="default" w:ascii="宋体" w:hAnsi="宋体" w:cs="宋体"/>
                <w:color w:val="auto"/>
                <w:sz w:val="24"/>
                <w:highlight w:val="none"/>
                <w:lang w:val="en-US" w:eastAsia="zh-CN"/>
              </w:rPr>
            </w:pPr>
          </w:p>
          <w:p>
            <w:pPr>
              <w:spacing w:line="360" w:lineRule="auto"/>
              <w:jc w:val="center"/>
              <w:outlineLvl w:val="0"/>
              <w:rPr>
                <w:rFonts w:hint="default" w:ascii="宋体" w:hAnsi="宋体" w:cs="宋体"/>
                <w:color w:val="auto"/>
                <w:sz w:val="24"/>
                <w:highlight w:val="none"/>
                <w:lang w:val="en-US" w:eastAsia="zh-CN"/>
              </w:rPr>
            </w:pPr>
          </w:p>
          <w:p>
            <w:pPr>
              <w:spacing w:line="360" w:lineRule="auto"/>
              <w:jc w:val="center"/>
              <w:outlineLvl w:val="0"/>
              <w:rPr>
                <w:rFonts w:hint="default" w:ascii="宋体" w:hAnsi="宋体" w:eastAsia="宋体" w:cs="宋体"/>
                <w:color w:val="auto"/>
                <w:sz w:val="24"/>
                <w:highlight w:val="none"/>
                <w:lang w:val="en-US" w:eastAsia="zh-CN"/>
              </w:rPr>
            </w:pPr>
            <w:r>
              <w:rPr>
                <w:rFonts w:hint="default" w:ascii="宋体" w:hAnsi="宋体" w:cs="宋体"/>
                <w:color w:val="auto"/>
                <w:sz w:val="24"/>
                <w:highlight w:val="none"/>
                <w:lang w:val="en-US" w:eastAsia="zh-CN"/>
              </w:rPr>
              <w:t>8</w:t>
            </w:r>
          </w:p>
        </w:tc>
        <w:tc>
          <w:tcPr>
            <w:tcW w:w="6230" w:type="dxa"/>
            <w:vAlign w:val="center"/>
          </w:tcPr>
          <w:p>
            <w:pPr>
              <w:adjustRightInd w:val="0"/>
              <w:snapToGrid w:val="0"/>
              <w:spacing w:line="360" w:lineRule="auto"/>
              <w:jc w:val="left"/>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color w:val="auto"/>
                <w:sz w:val="24"/>
                <w:highlight w:val="none"/>
                <w:lang w:val="en-US" w:eastAsia="zh-CN"/>
              </w:rPr>
              <w:t>根据投标人提供的售后服务方案进行评价。包括：</w:t>
            </w:r>
            <w:r>
              <w:rPr>
                <w:rFonts w:hint="eastAsia" w:ascii="宋体" w:hAnsi="宋体" w:cs="宋体"/>
                <w:color w:val="auto"/>
                <w:sz w:val="24"/>
                <w:highlight w:val="none"/>
              </w:rPr>
              <w:t>①</w:t>
            </w:r>
            <w:r>
              <w:rPr>
                <w:rFonts w:hint="eastAsia" w:ascii="宋体" w:hAnsi="宋体" w:eastAsia="宋体" w:cs="宋体"/>
                <w:color w:val="auto"/>
                <w:sz w:val="24"/>
                <w:highlight w:val="none"/>
                <w:lang w:val="en-US" w:eastAsia="zh-CN"/>
              </w:rPr>
              <w:t>售后服务期内服务内容情况；</w:t>
            </w:r>
            <w:r>
              <w:rPr>
                <w:rFonts w:hint="eastAsia" w:ascii="宋体" w:hAnsi="宋体" w:cs="宋体"/>
                <w:color w:val="auto"/>
                <w:sz w:val="24"/>
                <w:highlight w:val="none"/>
              </w:rPr>
              <w:t>②</w:t>
            </w:r>
            <w:r>
              <w:rPr>
                <w:rFonts w:hint="eastAsia" w:ascii="宋体" w:hAnsi="宋体" w:cs="宋体"/>
                <w:color w:val="auto"/>
                <w:sz w:val="24"/>
                <w:highlight w:val="none"/>
                <w:lang w:val="en-US" w:eastAsia="zh-CN"/>
              </w:rPr>
              <w:t>售后服务体系、</w:t>
            </w:r>
            <w:r>
              <w:rPr>
                <w:rFonts w:hint="eastAsia" w:ascii="宋体" w:hAnsi="宋体" w:eastAsia="宋体" w:cs="宋体"/>
                <w:color w:val="auto"/>
                <w:sz w:val="24"/>
                <w:highlight w:val="none"/>
              </w:rPr>
              <w:t>售后服务部门及维修网点</w:t>
            </w:r>
            <w:r>
              <w:rPr>
                <w:rFonts w:hint="eastAsia" w:ascii="宋体" w:hAnsi="宋体" w:cs="宋体"/>
                <w:color w:val="auto"/>
                <w:sz w:val="24"/>
                <w:highlight w:val="none"/>
                <w:lang w:eastAsia="zh-CN"/>
              </w:rPr>
              <w:t>联系电话</w:t>
            </w:r>
            <w:r>
              <w:rPr>
                <w:rFonts w:hint="eastAsia" w:ascii="宋体" w:hAnsi="宋体" w:cs="宋体"/>
                <w:color w:val="auto"/>
                <w:sz w:val="24"/>
                <w:highlight w:val="none"/>
              </w:rPr>
              <w:t>③</w:t>
            </w:r>
            <w:r>
              <w:rPr>
                <w:rFonts w:hint="eastAsia" w:ascii="宋体" w:hAnsi="宋体" w:eastAsia="宋体" w:cs="宋体"/>
                <w:color w:val="auto"/>
                <w:sz w:val="24"/>
                <w:highlight w:val="none"/>
                <w:lang w:val="en-US" w:eastAsia="zh-CN"/>
              </w:rPr>
              <w:t>服务响应及时情况；</w:t>
            </w:r>
            <w:r>
              <w:rPr>
                <w:rFonts w:hint="eastAsia" w:ascii="宋体" w:hAnsi="宋体" w:cs="宋体"/>
                <w:bCs/>
                <w:color w:val="auto"/>
                <w:sz w:val="24"/>
                <w:highlight w:val="none"/>
                <w:lang w:val="en-US" w:eastAsia="zh-CN"/>
              </w:rPr>
              <w:t>④</w:t>
            </w:r>
            <w:r>
              <w:rPr>
                <w:rFonts w:hint="eastAsia" w:ascii="宋体" w:hAnsi="宋体" w:eastAsia="宋体" w:cs="宋体"/>
                <w:color w:val="auto"/>
                <w:sz w:val="24"/>
                <w:highlight w:val="none"/>
                <w:lang w:val="en-US" w:eastAsia="zh-CN"/>
              </w:rPr>
              <w:t>故障处理服务针对性程度。</w:t>
            </w:r>
            <w:r>
              <w:rPr>
                <w:rFonts w:hint="eastAsia" w:ascii="宋体" w:hAnsi="宋体" w:eastAsia="宋体" w:cs="宋体"/>
                <w:sz w:val="24"/>
                <w:lang w:val="en-US" w:eastAsia="zh-CN"/>
              </w:rPr>
              <w:t>根据方案的可行性，以上每一条完全满足得</w:t>
            </w:r>
            <w:r>
              <w:rPr>
                <w:rFonts w:hint="default" w:ascii="宋体" w:hAnsi="宋体" w:eastAsia="宋体" w:cs="宋体"/>
                <w:sz w:val="24"/>
                <w:lang w:val="en-US" w:eastAsia="zh-CN"/>
              </w:rPr>
              <w:t>1</w:t>
            </w:r>
            <w:r>
              <w:rPr>
                <w:rFonts w:hint="eastAsia" w:ascii="宋体" w:hAnsi="宋体" w:eastAsia="宋体" w:cs="宋体"/>
                <w:sz w:val="24"/>
                <w:lang w:val="en-US" w:eastAsia="zh-CN"/>
              </w:rPr>
              <w:t>分，基本满足得</w:t>
            </w:r>
            <w:r>
              <w:rPr>
                <w:rFonts w:hint="default" w:ascii="宋体" w:hAnsi="宋体" w:eastAsia="宋体" w:cs="宋体"/>
                <w:sz w:val="24"/>
                <w:lang w:val="en-US" w:eastAsia="zh-CN"/>
              </w:rPr>
              <w:t>0.5</w:t>
            </w:r>
            <w:r>
              <w:rPr>
                <w:rFonts w:hint="eastAsia" w:ascii="宋体" w:hAnsi="宋体" w:eastAsia="宋体" w:cs="宋体"/>
                <w:sz w:val="24"/>
                <w:lang w:val="en-US" w:eastAsia="zh-CN"/>
              </w:rPr>
              <w:t>分，不提供或不满足得</w:t>
            </w:r>
            <w:r>
              <w:rPr>
                <w:rFonts w:hint="default" w:ascii="宋体" w:hAnsi="宋体" w:eastAsia="宋体" w:cs="宋体"/>
                <w:sz w:val="24"/>
                <w:lang w:val="en-US" w:eastAsia="zh-CN"/>
              </w:rPr>
              <w:t>0</w:t>
            </w:r>
            <w:r>
              <w:rPr>
                <w:rFonts w:hint="eastAsia" w:ascii="宋体" w:hAnsi="宋体" w:eastAsia="宋体" w:cs="宋体"/>
                <w:sz w:val="24"/>
                <w:lang w:val="en-US" w:eastAsia="zh-CN"/>
              </w:rPr>
              <w:t>分。</w:t>
            </w:r>
          </w:p>
        </w:tc>
        <w:tc>
          <w:tcPr>
            <w:tcW w:w="688" w:type="dxa"/>
            <w:vAlign w:val="center"/>
          </w:tcPr>
          <w:p>
            <w:pPr>
              <w:spacing w:line="360" w:lineRule="auto"/>
              <w:jc w:val="center"/>
              <w:outlineLvl w:val="0"/>
              <w:rPr>
                <w:rFonts w:hint="default" w:ascii="宋体" w:hAnsi="宋体" w:cs="宋体"/>
                <w:color w:val="auto"/>
                <w:sz w:val="24"/>
                <w:highlight w:val="none"/>
                <w:lang w:val="en-US" w:eastAsia="zh-CN"/>
              </w:rPr>
            </w:pPr>
          </w:p>
          <w:p>
            <w:pPr>
              <w:spacing w:line="360" w:lineRule="auto"/>
              <w:jc w:val="center"/>
              <w:outlineLvl w:val="0"/>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4</w:t>
            </w:r>
          </w:p>
        </w:tc>
        <w:tc>
          <w:tcPr>
            <w:tcW w:w="1350" w:type="dxa"/>
            <w:vMerge w:val="restart"/>
            <w:vAlign w:val="center"/>
          </w:tcPr>
          <w:p>
            <w:pPr>
              <w:spacing w:line="360" w:lineRule="auto"/>
              <w:jc w:val="center"/>
              <w:outlineLvl w:val="0"/>
              <w:rPr>
                <w:rFonts w:hint="eastAsia" w:ascii="宋体" w:hAnsi="宋体" w:cs="宋体"/>
                <w:b/>
                <w:bCs/>
                <w:color w:val="auto"/>
                <w:sz w:val="24"/>
                <w:highlight w:val="none"/>
              </w:rPr>
            </w:pPr>
          </w:p>
          <w:p>
            <w:pPr>
              <w:spacing w:line="360" w:lineRule="auto"/>
              <w:jc w:val="center"/>
              <w:outlineLvl w:val="0"/>
              <w:rPr>
                <w:rFonts w:hint="eastAsia" w:ascii="宋体" w:hAnsi="宋体" w:cs="宋体"/>
                <w:b/>
                <w:bCs/>
                <w:color w:val="auto"/>
                <w:sz w:val="24"/>
                <w:highlight w:val="none"/>
              </w:rPr>
            </w:pPr>
          </w:p>
          <w:p>
            <w:pPr>
              <w:spacing w:line="360" w:lineRule="auto"/>
              <w:jc w:val="center"/>
              <w:outlineLvl w:val="0"/>
              <w:rPr>
                <w:rFonts w:hint="eastAsia" w:ascii="宋体" w:hAnsi="宋体" w:cs="宋体"/>
                <w:b/>
                <w:bCs/>
                <w:color w:val="auto"/>
                <w:sz w:val="24"/>
                <w:highlight w:val="none"/>
              </w:rPr>
            </w:pPr>
          </w:p>
          <w:p>
            <w:pPr>
              <w:spacing w:line="360" w:lineRule="auto"/>
              <w:jc w:val="center"/>
              <w:outlineLvl w:val="0"/>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rPr>
              <w:t>（</w:t>
            </w:r>
            <w:r>
              <w:rPr>
                <w:rFonts w:hint="eastAsia" w:ascii="宋体" w:hAnsi="宋体" w:cs="宋体"/>
                <w:b/>
                <w:bCs/>
                <w:color w:val="auto"/>
                <w:sz w:val="24"/>
                <w:highlight w:val="none"/>
                <w:lang w:val="en-US" w:eastAsia="zh-CN"/>
              </w:rPr>
              <w:t>八</w:t>
            </w:r>
            <w:r>
              <w:rPr>
                <w:rFonts w:hint="eastAsia" w:ascii="宋体" w:hAnsi="宋体" w:cs="宋体"/>
                <w:b/>
                <w:bCs/>
                <w:color w:val="auto"/>
                <w:sz w:val="24"/>
                <w:highlight w:val="none"/>
              </w:rPr>
              <w:t>）售后服务</w:t>
            </w:r>
            <w:r>
              <w:rPr>
                <w:rFonts w:hint="eastAsia" w:ascii="宋体" w:hAnsi="宋体" w:cs="宋体"/>
                <w:b/>
                <w:bCs/>
                <w:color w:val="auto"/>
                <w:sz w:val="24"/>
                <w:highlight w:val="none"/>
                <w:lang w:eastAsia="zh-CN"/>
              </w:rPr>
              <w:t>方案及承诺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jc w:val="center"/>
        </w:trPr>
        <w:tc>
          <w:tcPr>
            <w:tcW w:w="456" w:type="dxa"/>
            <w:vMerge w:val="continue"/>
            <w:vAlign w:val="center"/>
          </w:tcPr>
          <w:p>
            <w:pPr>
              <w:spacing w:line="360" w:lineRule="auto"/>
              <w:jc w:val="center"/>
              <w:outlineLvl w:val="0"/>
              <w:rPr>
                <w:rFonts w:hint="eastAsia" w:ascii="宋体" w:hAnsi="宋体" w:cs="宋体"/>
                <w:color w:val="auto"/>
                <w:sz w:val="24"/>
                <w:highlight w:val="none"/>
                <w:lang w:val="en-US" w:eastAsia="zh-CN"/>
              </w:rPr>
            </w:pPr>
          </w:p>
        </w:tc>
        <w:tc>
          <w:tcPr>
            <w:tcW w:w="6230" w:type="dxa"/>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jc w:val="left"/>
              <w:textAlignment w:val="auto"/>
              <w:outlineLvl w:val="9"/>
              <w:rPr>
                <w:rFonts w:hint="eastAsia" w:ascii="宋体" w:hAnsi="宋体" w:cs="宋体"/>
                <w:i w:val="0"/>
                <w:iCs w:val="0"/>
                <w:color w:val="auto"/>
                <w:kern w:val="2"/>
                <w:sz w:val="24"/>
                <w:szCs w:val="24"/>
                <w:highlight w:val="none"/>
                <w:lang w:val="en-US" w:eastAsia="zh-CN" w:bidi="ar-SA"/>
              </w:rPr>
            </w:pPr>
            <w:r>
              <w:rPr>
                <w:rFonts w:hint="eastAsia" w:ascii="宋体" w:hAnsi="宋体" w:cs="宋体"/>
                <w:sz w:val="24"/>
              </w:rPr>
              <w:t>投标主要设备</w:t>
            </w:r>
            <w:r>
              <w:rPr>
                <w:rFonts w:ascii="宋体" w:hAnsi="宋体" w:cs="宋体"/>
                <w:sz w:val="24"/>
              </w:rPr>
              <w:t>（①防火墙</w:t>
            </w:r>
            <w:r>
              <w:rPr>
                <w:rFonts w:hint="eastAsia" w:ascii="宋体" w:hAnsi="宋体" w:cs="宋体"/>
                <w:sz w:val="24"/>
                <w:lang w:eastAsia="zh-CN"/>
              </w:rPr>
              <w:t>、</w:t>
            </w:r>
            <w:r>
              <w:rPr>
                <w:rFonts w:ascii="宋体" w:hAnsi="宋体" w:cs="宋体"/>
                <w:sz w:val="24"/>
              </w:rPr>
              <w:t>②数据网核心交换机</w:t>
            </w:r>
            <w:r>
              <w:rPr>
                <w:rFonts w:hint="eastAsia" w:ascii="宋体" w:hAnsi="宋体" w:cs="宋体"/>
                <w:sz w:val="24"/>
                <w:lang w:eastAsia="zh-CN"/>
              </w:rPr>
              <w:t>、</w:t>
            </w:r>
            <w:r>
              <w:rPr>
                <w:rFonts w:ascii="宋体" w:hAnsi="宋体" w:cs="宋体"/>
                <w:sz w:val="24"/>
              </w:rPr>
              <w:t>③</w:t>
            </w:r>
            <w:r>
              <w:rPr>
                <w:rFonts w:hint="eastAsia" w:ascii="宋体" w:hAnsi="宋体" w:cs="宋体"/>
                <w:sz w:val="24"/>
              </w:rPr>
              <w:t>上网行为管理</w:t>
            </w:r>
            <w:r>
              <w:rPr>
                <w:rFonts w:hint="eastAsia" w:ascii="宋体" w:hAnsi="宋体" w:cs="宋体"/>
                <w:sz w:val="24"/>
                <w:lang w:eastAsia="zh-CN"/>
              </w:rPr>
              <w:t>、</w:t>
            </w:r>
            <w:r>
              <w:rPr>
                <w:rFonts w:ascii="宋体" w:hAnsi="宋体" w:cs="宋体"/>
                <w:sz w:val="24"/>
              </w:rPr>
              <w:t>④</w:t>
            </w:r>
            <w:r>
              <w:rPr>
                <w:rFonts w:hint="eastAsia" w:asciiTheme="minorEastAsia" w:hAnsiTheme="minorEastAsia" w:eastAsiaTheme="minorEastAsia"/>
                <w:kern w:val="0"/>
                <w:sz w:val="24"/>
              </w:rPr>
              <w:t>放装ap</w:t>
            </w:r>
            <w:r>
              <w:rPr>
                <w:rFonts w:hint="eastAsia" w:ascii="宋体" w:hAnsi="宋体" w:cs="宋体"/>
                <w:sz w:val="24"/>
                <w:lang w:eastAsia="zh-CN"/>
              </w:rPr>
              <w:t>、</w:t>
            </w:r>
            <w:r>
              <w:rPr>
                <w:rFonts w:ascii="宋体" w:hAnsi="宋体" w:cs="宋体"/>
                <w:sz w:val="24"/>
              </w:rPr>
              <w:t>⑤文档管理主机</w:t>
            </w:r>
            <w:r>
              <w:rPr>
                <w:rFonts w:hint="eastAsia" w:ascii="宋体" w:hAnsi="宋体" w:cs="宋体"/>
                <w:sz w:val="24"/>
                <w:lang w:eastAsia="zh-CN"/>
              </w:rPr>
              <w:t>、</w:t>
            </w:r>
            <w:r>
              <w:rPr>
                <w:rFonts w:ascii="宋体" w:hAnsi="宋体" w:cs="宋体"/>
                <w:sz w:val="24"/>
              </w:rPr>
              <w:t>⑥文档数据存储）的质保服务承诺是否满足采购需求，</w:t>
            </w:r>
            <w:r>
              <w:rPr>
                <w:rFonts w:hint="eastAsia" w:ascii="宋体" w:hAnsi="宋体" w:cs="宋体"/>
                <w:sz w:val="24"/>
                <w:lang w:val="en-US" w:eastAsia="zh-CN"/>
              </w:rPr>
              <w:t>每提供一项得0.5分，全部提供得3分</w:t>
            </w:r>
            <w:r>
              <w:rPr>
                <w:rFonts w:hint="eastAsia" w:ascii="宋体" w:hAnsi="宋体" w:cs="宋体"/>
                <w:sz w:val="24"/>
                <w:lang w:eastAsia="zh-CN"/>
              </w:rPr>
              <w:t>。</w:t>
            </w:r>
          </w:p>
        </w:tc>
        <w:tc>
          <w:tcPr>
            <w:tcW w:w="688" w:type="dxa"/>
            <w:vAlign w:val="center"/>
          </w:tcPr>
          <w:p>
            <w:pPr>
              <w:spacing w:line="360" w:lineRule="auto"/>
              <w:jc w:val="center"/>
              <w:outlineLvl w:val="0"/>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3</w:t>
            </w:r>
          </w:p>
        </w:tc>
        <w:tc>
          <w:tcPr>
            <w:tcW w:w="1350" w:type="dxa"/>
            <w:vMerge w:val="continue"/>
            <w:vAlign w:val="center"/>
          </w:tcPr>
          <w:p>
            <w:pPr>
              <w:spacing w:line="360" w:lineRule="auto"/>
              <w:jc w:val="center"/>
              <w:outlineLvl w:val="0"/>
              <w:rPr>
                <w:rFonts w:hint="eastAsia"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456" w:type="dxa"/>
            <w:vAlign w:val="center"/>
          </w:tcPr>
          <w:p>
            <w:pPr>
              <w:spacing w:line="360" w:lineRule="auto"/>
              <w:jc w:val="center"/>
              <w:outlineLvl w:val="0"/>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9</w:t>
            </w:r>
          </w:p>
        </w:tc>
        <w:tc>
          <w:tcPr>
            <w:tcW w:w="6230" w:type="dxa"/>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jc w:val="left"/>
              <w:textAlignment w:val="auto"/>
              <w:outlineLvl w:val="9"/>
              <w:rPr>
                <w:rFonts w:hint="eastAsia" w:ascii="宋体" w:hAnsi="宋体" w:cs="宋体"/>
                <w:i w:val="0"/>
                <w:iCs w:val="0"/>
                <w:color w:val="auto"/>
                <w:kern w:val="2"/>
                <w:sz w:val="24"/>
                <w:szCs w:val="24"/>
                <w:highlight w:val="none"/>
                <w:lang w:val="en-US" w:eastAsia="zh-CN" w:bidi="ar-SA"/>
              </w:rPr>
            </w:pPr>
            <w:r>
              <w:rPr>
                <w:rFonts w:hint="eastAsia" w:ascii="宋体" w:hAnsi="宋体" w:cs="宋体"/>
                <w:i w:val="0"/>
                <w:iCs w:val="0"/>
                <w:color w:val="auto"/>
                <w:kern w:val="2"/>
                <w:sz w:val="24"/>
                <w:szCs w:val="24"/>
                <w:highlight w:val="none"/>
                <w:lang w:val="en-US" w:eastAsia="zh-CN" w:bidi="ar-SA"/>
              </w:rPr>
              <w:t>投标人对以下两种培训方案</w:t>
            </w:r>
            <w:r>
              <w:rPr>
                <w:rFonts w:hint="eastAsia" w:ascii="宋体" w:hAnsi="宋体" w:cs="宋体"/>
                <w:sz w:val="24"/>
                <w:szCs w:val="24"/>
                <w:highlight w:val="none"/>
                <w:lang w:eastAsia="zh-CN"/>
              </w:rPr>
              <w:t>①</w:t>
            </w:r>
            <w:r>
              <w:rPr>
                <w:rFonts w:hint="eastAsia" w:ascii="宋体" w:hAnsi="宋体" w:cs="宋体"/>
                <w:i w:val="0"/>
                <w:iCs w:val="0"/>
                <w:color w:val="auto"/>
                <w:kern w:val="2"/>
                <w:sz w:val="24"/>
                <w:szCs w:val="24"/>
                <w:highlight w:val="none"/>
                <w:lang w:val="en-US" w:eastAsia="zh-CN" w:bidi="ar-SA"/>
              </w:rPr>
              <w:t>使其能对设备进行日常的维护保养及能对一般故障进行维修，并向培训人员提供详细的技术维修及调试参数资料</w:t>
            </w:r>
            <w:r>
              <w:rPr>
                <w:rFonts w:hint="eastAsia" w:ascii="宋体" w:hAnsi="宋体" w:cs="宋体"/>
                <w:sz w:val="24"/>
                <w:szCs w:val="24"/>
                <w:highlight w:val="none"/>
                <w:lang w:eastAsia="zh-CN"/>
              </w:rPr>
              <w:t>②</w:t>
            </w:r>
            <w:r>
              <w:rPr>
                <w:rFonts w:hint="eastAsia" w:ascii="宋体" w:hAnsi="宋体" w:cs="宋体"/>
                <w:i w:val="0"/>
                <w:iCs w:val="0"/>
                <w:color w:val="auto"/>
                <w:kern w:val="2"/>
                <w:sz w:val="24"/>
                <w:szCs w:val="24"/>
                <w:highlight w:val="none"/>
                <w:lang w:val="en-US" w:eastAsia="zh-CN" w:bidi="ar-SA"/>
              </w:rPr>
              <w:t>对用户的操作人员进行技术操作培训并提供详细的操作手册，方案是否合理，培训方式、地点、人数、时间是否详细说明。</w:t>
            </w:r>
            <w:r>
              <w:rPr>
                <w:rFonts w:hint="eastAsia" w:ascii="宋体" w:hAnsi="宋体" w:eastAsia="宋体" w:cs="宋体"/>
                <w:sz w:val="24"/>
                <w:lang w:val="en-US" w:eastAsia="zh-CN"/>
              </w:rPr>
              <w:t>根据方案的可行性，以上每一条完全满足得</w:t>
            </w:r>
            <w:r>
              <w:rPr>
                <w:rFonts w:hint="default" w:ascii="宋体" w:hAnsi="宋体" w:eastAsia="宋体" w:cs="宋体"/>
                <w:sz w:val="24"/>
                <w:lang w:val="en-US" w:eastAsia="zh-CN"/>
              </w:rPr>
              <w:t>1</w:t>
            </w:r>
            <w:r>
              <w:rPr>
                <w:rFonts w:hint="eastAsia" w:ascii="宋体" w:hAnsi="宋体" w:eastAsia="宋体" w:cs="宋体"/>
                <w:sz w:val="24"/>
                <w:lang w:val="en-US" w:eastAsia="zh-CN"/>
              </w:rPr>
              <w:t>分，基本满足得</w:t>
            </w:r>
            <w:r>
              <w:rPr>
                <w:rFonts w:hint="default" w:ascii="宋体" w:hAnsi="宋体" w:eastAsia="宋体" w:cs="宋体"/>
                <w:sz w:val="24"/>
                <w:lang w:val="en-US" w:eastAsia="zh-CN"/>
              </w:rPr>
              <w:t>0.5</w:t>
            </w:r>
            <w:r>
              <w:rPr>
                <w:rFonts w:hint="eastAsia" w:ascii="宋体" w:hAnsi="宋体" w:eastAsia="宋体" w:cs="宋体"/>
                <w:sz w:val="24"/>
                <w:lang w:val="en-US" w:eastAsia="zh-CN"/>
              </w:rPr>
              <w:t>分，不提供或不满足得</w:t>
            </w:r>
            <w:r>
              <w:rPr>
                <w:rFonts w:hint="default" w:ascii="宋体" w:hAnsi="宋体" w:eastAsia="宋体" w:cs="宋体"/>
                <w:sz w:val="24"/>
                <w:lang w:val="en-US" w:eastAsia="zh-CN"/>
              </w:rPr>
              <w:t>0</w:t>
            </w:r>
            <w:r>
              <w:rPr>
                <w:rFonts w:hint="eastAsia" w:ascii="宋体" w:hAnsi="宋体" w:eastAsia="宋体" w:cs="宋体"/>
                <w:sz w:val="24"/>
                <w:lang w:val="en-US" w:eastAsia="zh-CN"/>
              </w:rPr>
              <w:t>分。</w:t>
            </w:r>
          </w:p>
        </w:tc>
        <w:tc>
          <w:tcPr>
            <w:tcW w:w="688" w:type="dxa"/>
            <w:vAlign w:val="center"/>
          </w:tcPr>
          <w:p>
            <w:pPr>
              <w:spacing w:line="360" w:lineRule="auto"/>
              <w:jc w:val="center"/>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1350" w:type="dxa"/>
            <w:vAlign w:val="center"/>
          </w:tcPr>
          <w:p>
            <w:pPr>
              <w:spacing w:line="360" w:lineRule="auto"/>
              <w:jc w:val="center"/>
              <w:outlineLvl w:val="0"/>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九</w:t>
            </w:r>
            <w:r>
              <w:rPr>
                <w:rFonts w:hint="eastAsia" w:ascii="宋体" w:hAnsi="宋体" w:cs="宋体"/>
                <w:b/>
                <w:bCs/>
                <w:color w:val="auto"/>
                <w:sz w:val="24"/>
                <w:highlight w:val="none"/>
                <w:lang w:eastAsia="zh-CN"/>
              </w:rPr>
              <w:t>）项目培训方案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1" w:hRule="atLeast"/>
          <w:jc w:val="center"/>
        </w:trPr>
        <w:tc>
          <w:tcPr>
            <w:tcW w:w="456" w:type="dxa"/>
            <w:vAlign w:val="center"/>
          </w:tcPr>
          <w:p>
            <w:pPr>
              <w:spacing w:line="360" w:lineRule="auto"/>
              <w:jc w:val="center"/>
              <w:outlineLvl w:val="0"/>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10</w:t>
            </w:r>
          </w:p>
        </w:tc>
        <w:tc>
          <w:tcPr>
            <w:tcW w:w="6230" w:type="dxa"/>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jc w:val="left"/>
              <w:textAlignment w:val="auto"/>
              <w:outlineLvl w:val="9"/>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投标人提供的备品备件</w:t>
            </w:r>
            <w:r>
              <w:rPr>
                <w:rFonts w:hint="eastAsia" w:ascii="宋体" w:hAnsi="宋体" w:cs="宋体"/>
                <w:color w:val="auto"/>
                <w:sz w:val="24"/>
                <w:highlight w:val="none"/>
                <w:lang w:val="en-US" w:eastAsia="zh-CN"/>
              </w:rPr>
              <w:t>情况</w:t>
            </w:r>
            <w:r>
              <w:rPr>
                <w:rFonts w:hint="eastAsia" w:ascii="宋体" w:hAnsi="宋体" w:eastAsia="宋体" w:cs="宋体"/>
                <w:color w:val="auto"/>
                <w:sz w:val="24"/>
                <w:highlight w:val="none"/>
                <w:lang w:val="en-US" w:eastAsia="zh-CN"/>
              </w:rPr>
              <w:t>及维修备件的承诺程度</w:t>
            </w:r>
            <w:r>
              <w:rPr>
                <w:rFonts w:hint="eastAsia" w:ascii="宋体" w:hAnsi="宋体" w:cs="宋体"/>
                <w:color w:val="auto"/>
                <w:sz w:val="24"/>
                <w:highlight w:val="none"/>
                <w:lang w:val="en-US" w:eastAsia="zh-CN"/>
              </w:rPr>
              <w:t>。根据提供的情况或承诺程度，</w:t>
            </w:r>
            <w:r>
              <w:rPr>
                <w:rFonts w:hint="eastAsia" w:ascii="宋体" w:hAnsi="宋体" w:eastAsia="宋体" w:cs="宋体"/>
                <w:sz w:val="24"/>
                <w:lang w:val="en-US" w:eastAsia="zh-CN"/>
              </w:rPr>
              <w:t>完全满足得</w:t>
            </w:r>
            <w:r>
              <w:rPr>
                <w:rFonts w:hint="default" w:ascii="宋体" w:hAnsi="宋体" w:eastAsia="宋体" w:cs="宋体"/>
                <w:sz w:val="24"/>
                <w:lang w:val="en-US" w:eastAsia="zh-CN"/>
              </w:rPr>
              <w:t>1</w:t>
            </w:r>
            <w:r>
              <w:rPr>
                <w:rFonts w:hint="eastAsia" w:ascii="宋体" w:hAnsi="宋体" w:eastAsia="宋体" w:cs="宋体"/>
                <w:sz w:val="24"/>
                <w:lang w:val="en-US" w:eastAsia="zh-CN"/>
              </w:rPr>
              <w:t>分，基本满足得</w:t>
            </w:r>
            <w:r>
              <w:rPr>
                <w:rFonts w:hint="default" w:ascii="宋体" w:hAnsi="宋体" w:eastAsia="宋体" w:cs="宋体"/>
                <w:sz w:val="24"/>
                <w:lang w:val="en-US" w:eastAsia="zh-CN"/>
              </w:rPr>
              <w:t>0.5</w:t>
            </w:r>
            <w:r>
              <w:rPr>
                <w:rFonts w:hint="eastAsia" w:ascii="宋体" w:hAnsi="宋体" w:eastAsia="宋体" w:cs="宋体"/>
                <w:sz w:val="24"/>
                <w:lang w:val="en-US" w:eastAsia="zh-CN"/>
              </w:rPr>
              <w:t>分，不提供或不满足得</w:t>
            </w:r>
            <w:r>
              <w:rPr>
                <w:rFonts w:hint="default" w:ascii="宋体" w:hAnsi="宋体" w:eastAsia="宋体" w:cs="宋体"/>
                <w:sz w:val="24"/>
                <w:lang w:val="en-US" w:eastAsia="zh-CN"/>
              </w:rPr>
              <w:t>0</w:t>
            </w:r>
            <w:r>
              <w:rPr>
                <w:rFonts w:hint="eastAsia" w:ascii="宋体" w:hAnsi="宋体" w:eastAsia="宋体" w:cs="宋体"/>
                <w:sz w:val="24"/>
                <w:lang w:val="en-US" w:eastAsia="zh-CN"/>
              </w:rPr>
              <w:t>分。</w:t>
            </w:r>
          </w:p>
        </w:tc>
        <w:tc>
          <w:tcPr>
            <w:tcW w:w="688" w:type="dxa"/>
            <w:vAlign w:val="center"/>
          </w:tcPr>
          <w:p>
            <w:pPr>
              <w:spacing w:line="360" w:lineRule="auto"/>
              <w:jc w:val="center"/>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w:t>
            </w:r>
          </w:p>
        </w:tc>
        <w:tc>
          <w:tcPr>
            <w:tcW w:w="1350" w:type="dxa"/>
            <w:vAlign w:val="center"/>
          </w:tcPr>
          <w:p>
            <w:pPr>
              <w:spacing w:line="360" w:lineRule="auto"/>
              <w:jc w:val="left"/>
              <w:outlineLvl w:val="0"/>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lang w:eastAsia="zh-CN"/>
              </w:rPr>
              <w:t>（十）备品备件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jc w:val="center"/>
        </w:trPr>
        <w:tc>
          <w:tcPr>
            <w:tcW w:w="456" w:type="dxa"/>
            <w:vAlign w:val="center"/>
          </w:tcPr>
          <w:p>
            <w:pPr>
              <w:spacing w:line="360" w:lineRule="auto"/>
              <w:jc w:val="center"/>
              <w:outlineLvl w:val="0"/>
              <w:rPr>
                <w:rFonts w:hint="default" w:ascii="宋体" w:hAnsi="宋体" w:eastAsia="宋体" w:cs="宋体"/>
                <w:color w:val="auto"/>
                <w:sz w:val="24"/>
                <w:highlight w:val="none"/>
                <w:lang w:val="en-US" w:eastAsia="zh-CN"/>
              </w:rPr>
            </w:pPr>
            <w:r>
              <w:rPr>
                <w:rFonts w:hint="default" w:ascii="宋体" w:hAnsi="宋体" w:cs="宋体"/>
                <w:color w:val="auto"/>
                <w:sz w:val="24"/>
                <w:highlight w:val="none"/>
                <w:lang w:val="en-US" w:eastAsia="zh-CN"/>
              </w:rPr>
              <w:t>11</w:t>
            </w:r>
          </w:p>
        </w:tc>
        <w:tc>
          <w:tcPr>
            <w:tcW w:w="6230" w:type="dxa"/>
          </w:tcPr>
          <w:p>
            <w:pPr>
              <w:spacing w:line="360" w:lineRule="auto"/>
              <w:outlineLvl w:val="0"/>
              <w:rPr>
                <w:rFonts w:ascii="宋体" w:hAnsi="宋体" w:cs="宋体"/>
                <w:color w:val="auto"/>
                <w:sz w:val="24"/>
                <w:highlight w:val="none"/>
              </w:rPr>
            </w:pPr>
            <w:r>
              <w:rPr>
                <w:rFonts w:hint="eastAsia" w:ascii="宋体" w:hAnsi="宋体" w:cs="宋体"/>
                <w:color w:val="auto"/>
                <w:sz w:val="24"/>
                <w:highlight w:val="none"/>
              </w:rPr>
              <w:t>有效投标报价的最低价作为评标基准价，其最低报价为满分；按［投标报价得分=（评标基准价/投标报价）*30］的计算公式计算。</w:t>
            </w:r>
          </w:p>
          <w:p>
            <w:pPr>
              <w:widowControl/>
              <w:shd w:val="clear" w:color="auto" w:fill="FFFFFF"/>
              <w:adjustRightInd/>
              <w:spacing w:after="225" w:line="315" w:lineRule="atLeast"/>
              <w:ind w:firstLine="420"/>
              <w:jc w:val="left"/>
              <w:rPr>
                <w:rFonts w:ascii="宋体" w:hAnsi="宋体" w:cs="宋体"/>
                <w:color w:val="auto"/>
                <w:sz w:val="24"/>
                <w:highlight w:val="none"/>
              </w:rPr>
            </w:pPr>
            <w:r>
              <w:rPr>
                <w:rFonts w:hint="eastAsia" w:ascii="宋体" w:hAnsi="宋体" w:cs="宋体"/>
                <w:color w:val="auto"/>
                <w:sz w:val="24"/>
                <w:highlight w:val="none"/>
              </w:rPr>
              <w:t>评标过程中，不得去掉报价中的最高报价和最低报价。</w:t>
            </w:r>
          </w:p>
          <w:p>
            <w:pPr>
              <w:widowControl/>
              <w:shd w:val="clear" w:color="auto" w:fill="FFFFFF"/>
              <w:adjustRightInd/>
              <w:spacing w:after="225" w:line="315" w:lineRule="atLeast"/>
              <w:ind w:firstLine="420"/>
              <w:jc w:val="left"/>
              <w:rPr>
                <w:rFonts w:ascii="宋体" w:hAnsi="宋体" w:cs="宋体"/>
                <w:color w:val="auto"/>
                <w:sz w:val="24"/>
                <w:highlight w:val="none"/>
              </w:rPr>
            </w:pPr>
            <w:r>
              <w:rPr>
                <w:rFonts w:hint="eastAsia" w:cs="仿宋_GB2312" w:asciiTheme="minorEastAsia" w:hAnsiTheme="minorEastAsia" w:eastAsiaTheme="minorEastAsia"/>
                <w:sz w:val="24"/>
                <w:highlight w:val="none"/>
              </w:rPr>
              <w:t>对于未预留份额专门面向中小企业的政府采购服务项目，以及预留份额政府采购服务项目中的非预留部分标项，对小型和微型企业的投标报价给予</w:t>
            </w:r>
            <w:r>
              <w:rPr>
                <w:rFonts w:hint="default" w:cs="仿宋_GB2312" w:asciiTheme="minorEastAsia" w:hAnsiTheme="minorEastAsia" w:eastAsiaTheme="minorEastAsia"/>
                <w:b/>
                <w:sz w:val="24"/>
                <w:highlight w:val="none"/>
                <w:u w:val="single"/>
                <w:lang w:val="en-US"/>
              </w:rPr>
              <w:t>2</w:t>
            </w:r>
            <w:r>
              <w:rPr>
                <w:rFonts w:cs="仿宋_GB2312" w:asciiTheme="minorEastAsia" w:hAnsiTheme="minorEastAsia" w:eastAsiaTheme="minorEastAsia"/>
                <w:b/>
                <w:sz w:val="24"/>
                <w:highlight w:val="none"/>
                <w:u w:val="single"/>
              </w:rPr>
              <w:t>0%</w:t>
            </w:r>
            <w:r>
              <w:rPr>
                <w:rFonts w:hint="eastAsia" w:cs="仿宋_GB2312" w:asciiTheme="minorEastAsia" w:hAnsiTheme="minorEastAsia" w:eastAsiaTheme="minorEastAsia"/>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default" w:cs="仿宋_GB2312" w:asciiTheme="minorEastAsia" w:hAnsiTheme="minorEastAsia" w:eastAsiaTheme="minorEastAsia"/>
                <w:b/>
                <w:sz w:val="24"/>
                <w:highlight w:val="none"/>
                <w:u w:val="single"/>
                <w:lang w:val="en-US"/>
              </w:rPr>
              <w:t>6</w:t>
            </w:r>
            <w:r>
              <w:rPr>
                <w:rFonts w:cs="仿宋_GB2312" w:asciiTheme="minorEastAsia" w:hAnsiTheme="minorEastAsia" w:eastAsiaTheme="minorEastAsia"/>
                <w:b/>
                <w:sz w:val="24"/>
                <w:highlight w:val="none"/>
                <w:u w:val="single"/>
              </w:rPr>
              <w:t>%</w:t>
            </w:r>
            <w:r>
              <w:rPr>
                <w:rFonts w:hint="eastAsia" w:cs="仿宋_GB2312" w:asciiTheme="minorEastAsia" w:hAnsiTheme="minorEastAsia" w:eastAsiaTheme="minorEastAsia"/>
                <w:sz w:val="24"/>
                <w:highlight w:val="none"/>
              </w:rPr>
              <w:t>的扣除，用扣除后的价格参加评审</w:t>
            </w:r>
            <w:r>
              <w:rPr>
                <w:rFonts w:cs="仿宋_GB2312" w:asciiTheme="minorEastAsia" w:hAnsiTheme="minorEastAsia" w:eastAsiaTheme="minorEastAsia"/>
                <w:sz w:val="24"/>
                <w:highlight w:val="none"/>
              </w:rPr>
              <w:t>。</w:t>
            </w:r>
          </w:p>
        </w:tc>
        <w:tc>
          <w:tcPr>
            <w:tcW w:w="688" w:type="dxa"/>
            <w:vAlign w:val="center"/>
          </w:tcPr>
          <w:p>
            <w:pPr>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30</w:t>
            </w:r>
          </w:p>
        </w:tc>
        <w:tc>
          <w:tcPr>
            <w:tcW w:w="1350" w:type="dxa"/>
            <w:vAlign w:val="center"/>
          </w:tcPr>
          <w:p>
            <w:pPr>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w:t>
            </w:r>
          </w:p>
        </w:tc>
      </w:tr>
    </w:tbl>
    <w:p>
      <w:pPr>
        <w:rPr>
          <w:color w:val="auto"/>
        </w:rPr>
      </w:pPr>
    </w:p>
    <w:p>
      <w:pPr>
        <w:snapToGrid w:val="0"/>
        <w:spacing w:line="360" w:lineRule="auto"/>
        <w:rPr>
          <w:rFonts w:ascii="宋体" w:hAnsi="宋体" w:cs="宋体"/>
          <w:b/>
          <w:color w:val="auto"/>
          <w:sz w:val="24"/>
        </w:rPr>
      </w:pPr>
      <w:r>
        <w:rPr>
          <w:rFonts w:hint="eastAsia" w:ascii="宋体" w:hAnsi="宋体" w:cs="宋体"/>
          <w:color w:val="auto"/>
          <w:sz w:val="20"/>
          <w:szCs w:val="20"/>
          <w:shd w:val="clear" w:color="auto" w:fill="FFFFFF"/>
        </w:rPr>
        <w:t> *</w:t>
      </w:r>
      <w:r>
        <w:rPr>
          <w:rFonts w:hint="eastAsia" w:ascii="宋体" w:hAnsi="宋体" w:cs="宋体"/>
          <w:b/>
          <w:color w:val="auto"/>
          <w:sz w:val="24"/>
        </w:rPr>
        <w:t>备注：</w:t>
      </w:r>
      <w:r>
        <w:rPr>
          <w:rFonts w:hint="eastAsia" w:ascii="宋体" w:hAnsi="宋体" w:cs="宋体"/>
          <w:color w:val="auto"/>
          <w:sz w:val="24"/>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rPr>
      </w:pPr>
      <w:r>
        <w:rPr>
          <w:rFonts w:hint="eastAsia" w:ascii="宋体" w:hAnsi="宋体" w:cs="宋体"/>
          <w:b/>
          <w:color w:val="auto"/>
          <w:sz w:val="32"/>
        </w:rPr>
        <w:t>一、评标方法</w:t>
      </w:r>
    </w:p>
    <w:p>
      <w:pPr>
        <w:adjustRightInd/>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1.本项目采用综合评分法。</w:t>
      </w:r>
      <w:r>
        <w:rPr>
          <w:rFonts w:hint="eastAsia" w:ascii="宋体" w:hAnsi="宋体" w:cs="宋体"/>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rPr>
      </w:pPr>
      <w:r>
        <w:rPr>
          <w:rFonts w:hint="eastAsia" w:ascii="宋体" w:hAnsi="宋体" w:cs="宋体"/>
          <w:b/>
          <w:color w:val="auto"/>
          <w:sz w:val="32"/>
        </w:rPr>
        <w:t>二、评标标准</w:t>
      </w:r>
    </w:p>
    <w:p>
      <w:pPr>
        <w:spacing w:line="360" w:lineRule="auto"/>
        <w:ind w:firstLine="472" w:firstLineChars="196"/>
        <w:rPr>
          <w:rFonts w:ascii="宋体" w:hAnsi="宋体" w:cs="宋体"/>
          <w:b/>
          <w:color w:val="auto"/>
          <w:sz w:val="24"/>
        </w:rPr>
      </w:pPr>
      <w:r>
        <w:rPr>
          <w:rFonts w:hint="eastAsia" w:ascii="宋体" w:hAnsi="宋体" w:cs="宋体"/>
          <w:b/>
          <w:color w:val="auto"/>
          <w:sz w:val="24"/>
        </w:rPr>
        <w:t>2.</w:t>
      </w:r>
      <w:r>
        <w:rPr>
          <w:rFonts w:hint="eastAsia" w:ascii="宋体" w:hAnsi="宋体" w:cs="宋体"/>
          <w:color w:val="auto"/>
        </w:rPr>
        <w:t xml:space="preserve"> </w:t>
      </w:r>
      <w:r>
        <w:rPr>
          <w:rFonts w:hint="eastAsia" w:ascii="宋体" w:hAnsi="宋体" w:cs="宋体"/>
          <w:b/>
          <w:color w:val="auto"/>
          <w:sz w:val="24"/>
        </w:rPr>
        <w:t>评标标准：</w:t>
      </w:r>
      <w:r>
        <w:rPr>
          <w:rFonts w:hint="eastAsia" w:ascii="宋体" w:hAnsi="宋体" w:cs="宋体"/>
          <w:color w:val="auto"/>
          <w:kern w:val="0"/>
          <w:sz w:val="24"/>
        </w:rPr>
        <w:t>见评标办法前附表。</w:t>
      </w:r>
    </w:p>
    <w:p>
      <w:pPr>
        <w:spacing w:line="360" w:lineRule="auto"/>
        <w:outlineLvl w:val="0"/>
        <w:rPr>
          <w:rFonts w:ascii="宋体" w:hAnsi="宋体" w:cs="宋体"/>
          <w:b/>
          <w:color w:val="auto"/>
          <w:sz w:val="36"/>
          <w:szCs w:val="36"/>
        </w:rPr>
      </w:pPr>
      <w:r>
        <w:rPr>
          <w:rFonts w:hint="eastAsia" w:ascii="宋体" w:hAnsi="宋体" w:cs="宋体"/>
          <w:b/>
          <w:color w:val="auto"/>
          <w:sz w:val="36"/>
          <w:szCs w:val="36"/>
        </w:rPr>
        <w:t>三、评标程序</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3.1符合性审查。</w:t>
      </w:r>
      <w:r>
        <w:rPr>
          <w:rFonts w:hint="eastAsia" w:ascii="宋体" w:hAnsi="宋体" w:cs="宋体"/>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3.2 比较与评价。</w:t>
      </w:r>
      <w:r>
        <w:rPr>
          <w:rFonts w:hint="eastAsia" w:ascii="宋体" w:hAnsi="宋体" w:cs="宋体"/>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3.3汇总商务技术得分。</w:t>
      </w:r>
      <w:r>
        <w:rPr>
          <w:rFonts w:hint="eastAsia" w:ascii="宋体" w:hAnsi="宋体" w:cs="宋体"/>
          <w:color w:val="auto"/>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rPr>
      </w:pPr>
      <w:r>
        <w:rPr>
          <w:rFonts w:hint="eastAsia" w:ascii="宋体" w:hAnsi="宋体" w:cs="宋体"/>
          <w:b/>
          <w:color w:val="auto"/>
          <w:kern w:val="0"/>
          <w:sz w:val="24"/>
        </w:rPr>
        <w:t>3.4报价评审。</w:t>
      </w:r>
    </w:p>
    <w:p>
      <w:pPr>
        <w:pStyle w:val="128"/>
        <w:spacing w:before="0"/>
        <w:ind w:firstLine="508" w:firstLineChars="212"/>
        <w:rPr>
          <w:rFonts w:ascii="宋体" w:hAnsi="宋体" w:cs="宋体"/>
          <w:color w:val="auto"/>
          <w:kern w:val="0"/>
        </w:rPr>
      </w:pPr>
      <w:r>
        <w:rPr>
          <w:rFonts w:hint="eastAsia" w:ascii="宋体" w:hAnsi="宋体" w:cs="宋体"/>
          <w:color w:val="auto"/>
          <w:kern w:val="0"/>
        </w:rPr>
        <w:t>3.4.1投标文件报价出现前后不一致的，按照下列规定修正：</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3.4.1.1投标文件中开标一览表(报价表)内容与投标文件中相应内容不一致的，以开标一览表(报价表)为准;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3.4.1.2大写金额和小写金额不一致的，以大写金额为准;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3.4.1.3单价金额小数点或者百分比有明显错位的，以开标一览表的总价为准，并修改单价;</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3.4.1.4总价金额与按单价汇总金额不一致的，以单价金额计算结果为准。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3.4.3投标报价超过招标文件中规定的预算金额或者最高限价的，投标无效。</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3.4.5对于未预留份额专门面向中小企业的政府采购货物项目，以及预留份额政府采购货物项目中的非预留部分标项，对小型和微型企业的投标报价给予</w:t>
      </w:r>
      <w:r>
        <w:rPr>
          <w:rFonts w:ascii="宋体" w:hAnsi="宋体" w:cs="宋体"/>
          <w:color w:val="auto"/>
          <w:kern w:val="0"/>
          <w:szCs w:val="24"/>
        </w:rPr>
        <w:t>20</w:t>
      </w:r>
      <w:r>
        <w:rPr>
          <w:rFonts w:hint="eastAsia" w:ascii="宋体" w:hAnsi="宋体" w:cs="宋体"/>
          <w:color w:val="auto"/>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ascii="宋体" w:hAnsi="宋体" w:cs="宋体"/>
          <w:color w:val="auto"/>
          <w:kern w:val="0"/>
          <w:szCs w:val="24"/>
        </w:rPr>
        <w:t>6</w:t>
      </w:r>
      <w:r>
        <w:rPr>
          <w:rFonts w:hint="eastAsia" w:ascii="宋体" w:hAnsi="宋体" w:cs="宋体"/>
          <w:color w:val="auto"/>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rPr>
      </w:pPr>
      <w:r>
        <w:rPr>
          <w:rFonts w:hint="eastAsia" w:ascii="宋体" w:hAnsi="宋体" w:cs="宋体"/>
          <w:b/>
          <w:color w:val="auto"/>
          <w:kern w:val="0"/>
          <w:sz w:val="24"/>
        </w:rPr>
        <w:t>3.5排序与推荐。</w:t>
      </w:r>
      <w:r>
        <w:rPr>
          <w:rFonts w:hint="eastAsia" w:ascii="宋体" w:hAnsi="宋体" w:cs="宋体"/>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rPr>
      </w:pPr>
      <w:r>
        <w:rPr>
          <w:rFonts w:hint="eastAsia" w:ascii="宋体" w:hAnsi="宋体" w:cs="宋体"/>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3.6编写评标报告。</w:t>
      </w:r>
      <w:r>
        <w:rPr>
          <w:rFonts w:hint="eastAsia" w:ascii="宋体" w:hAnsi="宋体" w:cs="宋体"/>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rPr>
      </w:pPr>
      <w:r>
        <w:rPr>
          <w:rFonts w:hint="eastAsia" w:ascii="宋体" w:hAnsi="宋体" w:cs="宋体"/>
          <w:b/>
          <w:color w:val="auto"/>
          <w:sz w:val="32"/>
        </w:rPr>
        <w:t>四、评标中的其他事项</w:t>
      </w:r>
    </w:p>
    <w:p>
      <w:pPr>
        <w:pStyle w:val="128"/>
        <w:spacing w:before="0"/>
        <w:ind w:firstLine="472" w:firstLineChars="196"/>
        <w:rPr>
          <w:rFonts w:ascii="宋体" w:hAnsi="宋体" w:cs="宋体"/>
          <w:color w:val="auto"/>
          <w:kern w:val="0"/>
          <w:szCs w:val="24"/>
        </w:rPr>
      </w:pPr>
      <w:r>
        <w:rPr>
          <w:rFonts w:hint="eastAsia" w:ascii="宋体" w:hAnsi="宋体" w:cs="宋体"/>
          <w:b/>
          <w:color w:val="auto"/>
          <w:kern w:val="0"/>
          <w:szCs w:val="24"/>
        </w:rPr>
        <w:t>4.1投标人澄清、说明或者补正。</w:t>
      </w:r>
      <w:r>
        <w:rPr>
          <w:rFonts w:hint="eastAsia" w:ascii="宋体" w:hAnsi="宋体" w:cs="宋体"/>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color w:val="auto"/>
          <w:szCs w:val="21"/>
        </w:rPr>
      </w:pPr>
      <w:r>
        <w:rPr>
          <w:rFonts w:hint="eastAsia" w:cs="宋体"/>
          <w:b/>
          <w:color w:val="auto"/>
          <w:kern w:val="0"/>
        </w:rPr>
        <w:t>4.2投标无效。</w:t>
      </w:r>
      <w:r>
        <w:rPr>
          <w:rFonts w:hint="eastAsia" w:cs="宋体"/>
          <w:color w:val="auto"/>
          <w:szCs w:val="21"/>
        </w:rPr>
        <w:t>有下列情形之一的，投标无效：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4.2.2投标文件未按照招标文件要求签署、盖章的；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4.2.4投标文件含有采购人不能接受的附加条件的；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4.2.6投标文件出现不是唯一的、有选择性投标报价的;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4.2.7投标报价超过招标文件中规定的预算金额或者最高限价的;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4.2.9投标人对根据修正原则修正后的报价不确认的；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4.2.10投标人提供虚假材料投标的；</w:t>
      </w:r>
    </w:p>
    <w:p>
      <w:pPr>
        <w:spacing w:line="360" w:lineRule="auto"/>
        <w:ind w:firstLine="240" w:firstLineChars="100"/>
        <w:rPr>
          <w:rFonts w:ascii="宋体" w:hAnsi="宋体" w:cs="宋体"/>
          <w:color w:val="auto"/>
          <w:kern w:val="0"/>
          <w:sz w:val="24"/>
        </w:rPr>
      </w:pPr>
      <w:r>
        <w:rPr>
          <w:rFonts w:hint="eastAsia" w:ascii="宋体" w:hAnsi="宋体" w:cs="宋体"/>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4.2.13投标人未提供样品或提供的样品不满足采购需求实质性条件的，投标无效；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w:t>
      </w:r>
      <w:r>
        <w:rPr>
          <w:rFonts w:hint="eastAsia" w:ascii="宋体" w:hAnsi="宋体" w:cs="宋体"/>
          <w:color w:val="auto"/>
          <w:kern w:val="0"/>
          <w:sz w:val="24"/>
          <w:highlight w:val="none"/>
        </w:rPr>
        <w:t>14</w:t>
      </w:r>
      <w:r>
        <w:rPr>
          <w:rFonts w:hint="eastAsia" w:ascii="宋体" w:hAnsi="宋体" w:cs="宋体"/>
          <w:color w:val="auto"/>
          <w:kern w:val="0"/>
          <w:sz w:val="24"/>
        </w:rPr>
        <w:t xml:space="preserve"> 投标文件不满足招标文件的其它实质性要求的；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w:t>
      </w:r>
      <w:r>
        <w:rPr>
          <w:rFonts w:hint="eastAsia" w:ascii="宋体" w:hAnsi="宋体" w:cs="宋体"/>
          <w:color w:val="auto"/>
          <w:kern w:val="0"/>
          <w:sz w:val="24"/>
          <w:highlight w:val="none"/>
        </w:rPr>
        <w:t>15</w:t>
      </w:r>
      <w:r>
        <w:rPr>
          <w:rFonts w:hint="eastAsia" w:ascii="宋体" w:hAnsi="宋体" w:cs="宋体"/>
          <w:color w:val="auto"/>
          <w:kern w:val="0"/>
          <w:sz w:val="24"/>
        </w:rPr>
        <w:t>法律、法规、规章（适用本市的）及省级以上规范性文件（适用本市的）规定的其他无效情形。</w:t>
      </w:r>
    </w:p>
    <w:p>
      <w:pPr>
        <w:pStyle w:val="25"/>
        <w:snapToGrid w:val="0"/>
        <w:spacing w:line="360" w:lineRule="auto"/>
        <w:ind w:firstLine="472" w:firstLineChars="196"/>
        <w:rPr>
          <w:rFonts w:cs="宋体"/>
          <w:color w:val="auto"/>
        </w:rPr>
      </w:pPr>
      <w:r>
        <w:rPr>
          <w:rFonts w:hint="eastAsia" w:cs="宋体"/>
          <w:b/>
          <w:color w:val="auto"/>
        </w:rPr>
        <w:t>5.废标。</w:t>
      </w:r>
      <w:r>
        <w:rPr>
          <w:rFonts w:hint="eastAsia" w:cs="宋体"/>
          <w:color w:val="auto"/>
        </w:rPr>
        <w:t>根据《中华人民共和国政府采购法》第三十六条之规定，在采购中，出现下列情形之一的，应予废标：</w:t>
      </w:r>
    </w:p>
    <w:p>
      <w:pPr>
        <w:pStyle w:val="25"/>
        <w:snapToGrid w:val="0"/>
        <w:spacing w:line="360" w:lineRule="auto"/>
        <w:rPr>
          <w:rFonts w:cs="宋体"/>
          <w:color w:val="auto"/>
        </w:rPr>
      </w:pPr>
      <w:r>
        <w:rPr>
          <w:rFonts w:hint="eastAsia" w:cs="宋体"/>
          <w:color w:val="auto"/>
        </w:rPr>
        <w:t>5.1符合专业条件的供应商或者对招标文件作实质响应的供应商不足3家的；</w:t>
      </w:r>
    </w:p>
    <w:p>
      <w:pPr>
        <w:pStyle w:val="25"/>
        <w:snapToGrid w:val="0"/>
        <w:spacing w:line="360" w:lineRule="auto"/>
        <w:rPr>
          <w:rFonts w:cs="宋体"/>
          <w:color w:val="auto"/>
        </w:rPr>
      </w:pPr>
      <w:r>
        <w:rPr>
          <w:rFonts w:hint="eastAsia" w:cs="宋体"/>
          <w:color w:val="auto"/>
        </w:rPr>
        <w:t>5.2出现影响采购公正的违法、违规行为的；</w:t>
      </w:r>
    </w:p>
    <w:p>
      <w:pPr>
        <w:pStyle w:val="25"/>
        <w:snapToGrid w:val="0"/>
        <w:spacing w:line="360" w:lineRule="auto"/>
        <w:rPr>
          <w:rFonts w:cs="宋体"/>
          <w:color w:val="auto"/>
        </w:rPr>
      </w:pPr>
      <w:r>
        <w:rPr>
          <w:rFonts w:hint="eastAsia" w:cs="宋体"/>
          <w:color w:val="auto"/>
        </w:rPr>
        <w:t>5.3投标人的报价均超过了采购预算，采购人不能支付的；</w:t>
      </w:r>
    </w:p>
    <w:p>
      <w:pPr>
        <w:pStyle w:val="25"/>
        <w:snapToGrid w:val="0"/>
        <w:spacing w:line="360" w:lineRule="auto"/>
        <w:rPr>
          <w:rFonts w:cs="宋体"/>
          <w:color w:val="auto"/>
        </w:rPr>
      </w:pPr>
      <w:r>
        <w:rPr>
          <w:rFonts w:hint="eastAsia" w:cs="宋体"/>
          <w:color w:val="auto"/>
        </w:rPr>
        <w:t>5.4因重大变故，采购任务取消的。</w:t>
      </w:r>
    </w:p>
    <w:p>
      <w:pPr>
        <w:pStyle w:val="25"/>
        <w:snapToGrid w:val="0"/>
        <w:spacing w:line="360" w:lineRule="auto"/>
        <w:rPr>
          <w:rFonts w:cs="宋体"/>
          <w:color w:val="auto"/>
        </w:rPr>
      </w:pPr>
      <w:r>
        <w:rPr>
          <w:rFonts w:hint="eastAsia" w:cs="宋体"/>
          <w:color w:val="auto"/>
        </w:rPr>
        <w:t>废标后，采购机构应当将废标理由通知所有投标人。</w:t>
      </w:r>
    </w:p>
    <w:p>
      <w:pPr>
        <w:pStyle w:val="25"/>
        <w:snapToGrid w:val="0"/>
        <w:spacing w:line="360" w:lineRule="auto"/>
        <w:ind w:firstLine="590" w:firstLineChars="245"/>
        <w:rPr>
          <w:rFonts w:cs="宋体"/>
          <w:color w:val="auto"/>
        </w:rPr>
      </w:pPr>
      <w:r>
        <w:rPr>
          <w:rFonts w:hint="eastAsia" w:cs="宋体"/>
          <w:b/>
          <w:color w:val="auto"/>
        </w:rPr>
        <w:t>6.修改招标文件，重新组织采购活动。</w:t>
      </w:r>
      <w:r>
        <w:rPr>
          <w:rFonts w:hint="eastAsia" w:cs="宋体"/>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482"/>
        <w:rPr>
          <w:rFonts w:cs="宋体"/>
          <w:color w:val="auto"/>
        </w:rPr>
      </w:pPr>
      <w:r>
        <w:rPr>
          <w:rFonts w:hint="eastAsia" w:cs="宋体"/>
          <w:b/>
          <w:color w:val="auto"/>
          <w:kern w:val="0"/>
        </w:rPr>
        <w:t>7.重新开展采购。</w:t>
      </w:r>
      <w:r>
        <w:rPr>
          <w:rFonts w:hint="eastAsia" w:cs="宋体"/>
          <w:color w:val="auto"/>
        </w:rPr>
        <w:t>有政府采购法第七十一条、第七十二条规定的违法行为之一，影响或者可能影响中标结果的，依照下列规定处理：</w:t>
      </w:r>
    </w:p>
    <w:p>
      <w:pPr>
        <w:pStyle w:val="25"/>
        <w:snapToGrid w:val="0"/>
        <w:spacing w:line="360" w:lineRule="auto"/>
        <w:rPr>
          <w:rFonts w:cs="宋体"/>
          <w:color w:val="auto"/>
        </w:rPr>
      </w:pPr>
      <w:r>
        <w:rPr>
          <w:rFonts w:hint="eastAsia" w:cs="宋体"/>
          <w:color w:val="auto"/>
        </w:rPr>
        <w:t>7.1未确定中标供应商的，终止本次政府采购活动，重新开展政府采购活动。</w:t>
      </w:r>
    </w:p>
    <w:p>
      <w:pPr>
        <w:pStyle w:val="25"/>
        <w:snapToGrid w:val="0"/>
        <w:spacing w:line="360" w:lineRule="auto"/>
        <w:rPr>
          <w:rFonts w:cs="宋体"/>
          <w:color w:val="auto"/>
        </w:rPr>
      </w:pPr>
      <w:r>
        <w:rPr>
          <w:rFonts w:hint="eastAsia" w:cs="宋体"/>
          <w:color w:val="auto"/>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color w:val="auto"/>
        </w:rPr>
      </w:pPr>
      <w:r>
        <w:rPr>
          <w:rFonts w:hint="eastAsia" w:cs="宋体"/>
          <w:color w:val="auto"/>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color w:val="auto"/>
        </w:rPr>
      </w:pPr>
      <w:r>
        <w:rPr>
          <w:rFonts w:hint="eastAsia" w:cs="宋体"/>
          <w:color w:val="auto"/>
        </w:rPr>
        <w:t>7.4政府采购合同已经履行，给采购人、供应商造成损失的，由责任人承担赔偿责任。</w:t>
      </w:r>
    </w:p>
    <w:p>
      <w:pPr>
        <w:pStyle w:val="25"/>
        <w:snapToGrid w:val="0"/>
        <w:spacing w:line="360" w:lineRule="auto"/>
        <w:rPr>
          <w:rFonts w:cs="宋体"/>
          <w:color w:val="auto"/>
        </w:rPr>
      </w:pPr>
      <w:r>
        <w:rPr>
          <w:rFonts w:hint="eastAsia" w:cs="宋体"/>
          <w:color w:val="auto"/>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color w:val="auto"/>
        </w:rPr>
      </w:pPr>
    </w:p>
    <w:bookmarkEnd w:id="31"/>
    <w:p>
      <w:pPr>
        <w:spacing w:line="360" w:lineRule="auto"/>
        <w:ind w:left="720" w:leftChars="343" w:firstLine="1084" w:firstLineChars="300"/>
        <w:outlineLvl w:val="0"/>
        <w:rPr>
          <w:rFonts w:ascii="宋体" w:hAnsi="宋体" w:cs="宋体"/>
          <w:b/>
          <w:color w:val="auto"/>
          <w:sz w:val="36"/>
          <w:szCs w:val="36"/>
        </w:rPr>
      </w:pPr>
      <w:bookmarkStart w:id="397" w:name="第五部分"/>
      <w:bookmarkStart w:id="398" w:name="_Toc86217003"/>
    </w:p>
    <w:p>
      <w:pPr>
        <w:spacing w:line="360" w:lineRule="auto"/>
        <w:ind w:left="720" w:leftChars="343" w:firstLine="1084" w:firstLineChars="300"/>
        <w:outlineLvl w:val="0"/>
        <w:rPr>
          <w:rFonts w:hint="eastAsia" w:ascii="宋体" w:hAnsi="宋体" w:cs="宋体"/>
          <w:b/>
          <w:color w:val="auto"/>
          <w:sz w:val="36"/>
          <w:szCs w:val="36"/>
        </w:rPr>
      </w:pPr>
      <w:r>
        <w:rPr>
          <w:rFonts w:hint="eastAsia" w:ascii="宋体" w:hAnsi="宋体" w:cs="宋体"/>
          <w:b/>
          <w:color w:val="auto"/>
          <w:sz w:val="36"/>
          <w:szCs w:val="36"/>
        </w:rPr>
        <w:t xml:space="preserve">    </w:t>
      </w:r>
    </w:p>
    <w:p>
      <w:pPr>
        <w:pStyle w:val="2"/>
        <w:rPr>
          <w:rFonts w:hint="eastAsia" w:ascii="宋体" w:hAnsi="宋体" w:cs="宋体"/>
          <w:b/>
          <w:color w:val="auto"/>
          <w:sz w:val="36"/>
          <w:szCs w:val="36"/>
        </w:rPr>
      </w:pPr>
    </w:p>
    <w:p>
      <w:pPr>
        <w:pStyle w:val="3"/>
        <w:rPr>
          <w:rFonts w:hint="eastAsia" w:ascii="宋体" w:hAnsi="宋体" w:cs="宋体"/>
          <w:b/>
          <w:color w:val="auto"/>
          <w:sz w:val="36"/>
          <w:szCs w:val="36"/>
        </w:rPr>
      </w:pPr>
    </w:p>
    <w:p>
      <w:pPr>
        <w:pStyle w:val="3"/>
        <w:rPr>
          <w:rFonts w:hint="eastAsia" w:ascii="宋体" w:hAnsi="宋体" w:cs="宋体"/>
          <w:b/>
          <w:color w:val="auto"/>
          <w:sz w:val="36"/>
          <w:szCs w:val="36"/>
        </w:rPr>
      </w:pPr>
    </w:p>
    <w:p>
      <w:pPr>
        <w:pStyle w:val="3"/>
        <w:rPr>
          <w:rFonts w:hint="eastAsia" w:ascii="宋体" w:hAnsi="宋体" w:cs="宋体"/>
          <w:b/>
          <w:color w:val="auto"/>
          <w:sz w:val="36"/>
          <w:szCs w:val="36"/>
        </w:rPr>
      </w:pPr>
    </w:p>
    <w:p>
      <w:pPr>
        <w:pStyle w:val="3"/>
        <w:rPr>
          <w:rFonts w:hint="eastAsia" w:ascii="宋体" w:hAnsi="宋体" w:cs="宋体"/>
          <w:b/>
          <w:color w:val="auto"/>
          <w:sz w:val="36"/>
          <w:szCs w:val="36"/>
        </w:rPr>
      </w:pPr>
    </w:p>
    <w:p>
      <w:pPr>
        <w:pStyle w:val="3"/>
        <w:rPr>
          <w:rFonts w:hint="eastAsia" w:ascii="宋体" w:hAnsi="宋体" w:cs="宋体"/>
          <w:b/>
          <w:color w:val="auto"/>
          <w:sz w:val="36"/>
          <w:szCs w:val="36"/>
        </w:rPr>
      </w:pPr>
    </w:p>
    <w:p>
      <w:pPr>
        <w:pStyle w:val="3"/>
        <w:rPr>
          <w:rFonts w:hint="eastAsia" w:ascii="宋体" w:hAnsi="宋体" w:cs="宋体"/>
          <w:b/>
          <w:color w:val="auto"/>
          <w:sz w:val="36"/>
          <w:szCs w:val="36"/>
        </w:rPr>
      </w:pPr>
    </w:p>
    <w:p>
      <w:pPr>
        <w:pStyle w:val="3"/>
        <w:rPr>
          <w:rFonts w:hint="eastAsia" w:ascii="宋体" w:hAnsi="宋体" w:cs="宋体"/>
          <w:b/>
          <w:color w:val="auto"/>
          <w:sz w:val="36"/>
          <w:szCs w:val="36"/>
        </w:rPr>
      </w:pPr>
    </w:p>
    <w:p>
      <w:pPr>
        <w:pStyle w:val="3"/>
        <w:rPr>
          <w:rFonts w:hint="eastAsia" w:ascii="宋体" w:hAnsi="宋体" w:cs="宋体"/>
          <w:b/>
          <w:color w:val="auto"/>
          <w:sz w:val="36"/>
          <w:szCs w:val="36"/>
        </w:rPr>
      </w:pPr>
    </w:p>
    <w:p>
      <w:pPr>
        <w:spacing w:line="360" w:lineRule="auto"/>
        <w:ind w:left="720" w:leftChars="343" w:firstLine="1084" w:firstLineChars="300"/>
        <w:outlineLvl w:val="0"/>
        <w:rPr>
          <w:rFonts w:ascii="宋体" w:hAnsi="宋体" w:cs="宋体"/>
          <w:b/>
          <w:color w:val="auto"/>
          <w:sz w:val="36"/>
          <w:szCs w:val="36"/>
        </w:rPr>
      </w:pPr>
      <w:r>
        <w:rPr>
          <w:rFonts w:hint="eastAsia" w:ascii="宋体" w:hAnsi="宋体" w:cs="宋体"/>
          <w:b/>
          <w:color w:val="auto"/>
          <w:sz w:val="36"/>
          <w:szCs w:val="36"/>
        </w:rPr>
        <w:t>第五部分 拟签订的合同文本</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根据《中华人民共和国政府采购法》和《中华人民共和国民法典》、地方有关法律、法规和政策，在平等、自愿、协商一致的基础上，就甲方（</w:t>
      </w:r>
      <w:r>
        <w:rPr>
          <w:rFonts w:hint="eastAsia" w:ascii="宋体" w:hAnsi="宋体" w:cs="宋体"/>
          <w:sz w:val="24"/>
          <w:highlight w:val="none"/>
          <w:lang w:eastAsia="zh-CN"/>
        </w:rPr>
        <w:t>杭州市西溪中学</w:t>
      </w:r>
      <w:r>
        <w:rPr>
          <w:rFonts w:hint="eastAsia" w:asciiTheme="minorEastAsia" w:hAnsiTheme="minorEastAsia" w:eastAsiaTheme="minorEastAsia" w:cstheme="minorEastAsia"/>
          <w:color w:val="auto"/>
          <w:sz w:val="24"/>
          <w:highlight w:val="none"/>
        </w:rPr>
        <w:t>）委托乙方（</w:t>
      </w:r>
      <w:r>
        <w:rPr>
          <w:rFonts w:hint="eastAsia" w:asciiTheme="minorEastAsia" w:hAnsiTheme="minorEastAsia" w:eastAsiaTheme="minorEastAsia" w:cstheme="minorEastAsia"/>
          <w:color w:val="auto"/>
          <w:kern w:val="0"/>
          <w:sz w:val="24"/>
          <w:highlight w:val="none"/>
          <w:lang w:val="zh-CN"/>
        </w:rPr>
        <w:t>经评审最终确定的</w:t>
      </w:r>
      <w:r>
        <w:rPr>
          <w:rFonts w:hint="eastAsia" w:asciiTheme="minorEastAsia" w:hAnsiTheme="minorEastAsia" w:eastAsiaTheme="minorEastAsia" w:cstheme="minorEastAsia"/>
          <w:color w:val="auto"/>
          <w:sz w:val="24"/>
          <w:highlight w:val="none"/>
        </w:rPr>
        <w:t>成交供应商）对</w:t>
      </w:r>
      <w:r>
        <w:rPr>
          <w:rFonts w:hint="eastAsia" w:ascii="宋体" w:hAnsi="宋体" w:cs="宋体"/>
          <w:color w:val="auto"/>
          <w:sz w:val="24"/>
          <w:lang w:eastAsia="zh-CN"/>
        </w:rPr>
        <w:t>杭州市西溪中学新校区网络设备采购项目</w:t>
      </w:r>
      <w:r>
        <w:rPr>
          <w:rFonts w:hint="eastAsia" w:asciiTheme="minorEastAsia" w:hAnsiTheme="minorEastAsia" w:eastAsiaTheme="minorEastAsia" w:cstheme="minorEastAsia"/>
          <w:color w:val="auto"/>
          <w:sz w:val="24"/>
          <w:highlight w:val="none"/>
        </w:rPr>
        <w:t>订立本合同。</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1．定义</w:t>
      </w:r>
    </w:p>
    <w:p>
      <w:pPr>
        <w:spacing w:line="360" w:lineRule="auto"/>
        <w:ind w:firstLine="480" w:firstLineChars="200"/>
        <w:rPr>
          <w:rFonts w:hint="eastAsia" w:ascii="宋体" w:hAnsi="宋体" w:eastAsia="宋体" w:cs="宋体"/>
          <w:b/>
          <w:sz w:val="24"/>
          <w:highlight w:val="none"/>
        </w:rPr>
      </w:pPr>
      <w:r>
        <w:rPr>
          <w:rFonts w:hint="eastAsia" w:ascii="宋体" w:hAnsi="宋体" w:eastAsia="宋体" w:cs="宋体"/>
          <w:sz w:val="24"/>
          <w:highlight w:val="none"/>
        </w:rPr>
        <w:t>1.1“</w:t>
      </w:r>
      <w:r>
        <w:rPr>
          <w:rFonts w:hint="eastAsia" w:ascii="宋体" w:hAnsi="宋体" w:eastAsia="宋体" w:cs="宋体"/>
          <w:kern w:val="0"/>
          <w:sz w:val="24"/>
          <w:highlight w:val="none"/>
          <w:lang w:val="zh-CN"/>
        </w:rPr>
        <w:t>合同”</w:t>
      </w:r>
      <w:r>
        <w:rPr>
          <w:rFonts w:hint="eastAsia" w:ascii="宋体" w:hAnsi="宋体" w:eastAsia="宋体" w:cs="宋体"/>
          <w:sz w:val="24"/>
          <w:highlight w:val="none"/>
        </w:rPr>
        <w:t>即由</w:t>
      </w:r>
      <w:r>
        <w:rPr>
          <w:rFonts w:hint="eastAsia" w:ascii="宋体" w:hAnsi="宋体" w:eastAsia="宋体" w:cs="宋体"/>
          <w:kern w:val="0"/>
          <w:sz w:val="24"/>
          <w:highlight w:val="none"/>
          <w:lang w:val="zh-CN"/>
        </w:rPr>
        <w:t>甲乙方</w:t>
      </w:r>
      <w:r>
        <w:rPr>
          <w:rFonts w:hint="eastAsia" w:ascii="宋体" w:hAnsi="宋体" w:eastAsia="宋体" w:cs="宋体"/>
          <w:sz w:val="24"/>
          <w:highlight w:val="none"/>
        </w:rPr>
        <w:t>双方签订的合同格式中的文件，包括所有的附件、附录和组成合同部分的所有其他文件。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合同将由</w:t>
      </w:r>
      <w:r>
        <w:rPr>
          <w:rFonts w:hint="eastAsia" w:ascii="宋体" w:hAnsi="宋体" w:cs="宋体"/>
          <w:sz w:val="24"/>
          <w:highlight w:val="none"/>
          <w:lang w:eastAsia="zh-CN"/>
        </w:rPr>
        <w:t>杭州市西溪中学</w:t>
      </w:r>
      <w:r>
        <w:rPr>
          <w:rFonts w:hint="eastAsia" w:ascii="宋体" w:hAnsi="宋体" w:eastAsia="宋体" w:cs="宋体"/>
          <w:sz w:val="24"/>
          <w:highlight w:val="none"/>
        </w:rPr>
        <w:t>（以下简称甲方）与经评审最终确定的中标人（以下简称乙方）结合本项目具体情况协商后签订</w:t>
      </w:r>
      <w:r>
        <w:rPr>
          <w:rFonts w:hint="eastAsia" w:ascii="宋体" w:hAnsi="宋体" w:eastAsia="宋体" w:cs="宋体"/>
          <w:kern w:val="0"/>
          <w:sz w:val="24"/>
          <w:highlight w:val="none"/>
          <w:lang w:val="zh-CN"/>
        </w:rPr>
        <w:t>。以下为采购人提出涉及乙方的主要条款，投标人在投标文件中应对其进行确认或拒绝。如投标人在其投标文件中未做拒绝或提出修改要求的，采购人将视作认同</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1.2“合同价格”系指根据合同规定，在供应商全面正确地履行合同义务时，采购人应支付给供应商的款项。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1.3“服务”系指招标文件规定供应商须承担的安装、调试、技术协助、校准、培训以及其它类似的义务。</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1.4“甲方”系指通过采购接受合同及服务的</w:t>
      </w:r>
      <w:r>
        <w:rPr>
          <w:rFonts w:hint="eastAsia" w:ascii="宋体" w:hAnsi="宋体" w:cs="宋体"/>
          <w:sz w:val="24"/>
          <w:highlight w:val="none"/>
          <w:lang w:eastAsia="zh-CN"/>
        </w:rPr>
        <w:t xml:space="preserve">杭州市西溪中学 </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1.5“乙方”系指</w:t>
      </w:r>
      <w:r>
        <w:rPr>
          <w:rFonts w:hint="eastAsia" w:ascii="宋体" w:hAnsi="宋体" w:eastAsia="宋体" w:cs="宋体"/>
          <w:kern w:val="0"/>
          <w:sz w:val="24"/>
          <w:highlight w:val="none"/>
          <w:lang w:val="zh-CN"/>
        </w:rPr>
        <w:t>经评审最终确定的中标人</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1.6“现场”系指将要进行系统安装和运转的地点。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1.7“验收”系指采购人依据技术规格规定接受合同所依据的程序和条件。</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2．适用范围</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本合同条款适用与本次采购活动。项目实施范围详见附件——招标文件和投标文件及补充文件、采购设计图、承诺书等。 </w:t>
      </w:r>
    </w:p>
    <w:p>
      <w:pPr>
        <w:numPr>
          <w:ilvl w:val="0"/>
          <w:numId w:val="8"/>
        </w:numPr>
        <w:spacing w:line="360" w:lineRule="auto"/>
        <w:rPr>
          <w:rFonts w:hint="eastAsia" w:ascii="宋体" w:hAnsi="宋体" w:eastAsia="宋体" w:cs="宋体"/>
          <w:b/>
          <w:sz w:val="24"/>
          <w:highlight w:val="none"/>
        </w:rPr>
      </w:pPr>
      <w:r>
        <w:rPr>
          <w:rFonts w:hint="eastAsia" w:ascii="宋体" w:hAnsi="宋体" w:eastAsia="宋体" w:cs="宋体"/>
          <w:b/>
          <w:sz w:val="24"/>
          <w:highlight w:val="none"/>
          <w:lang w:eastAsia="zh-CN"/>
        </w:rPr>
        <w:t>采购</w:t>
      </w:r>
      <w:r>
        <w:rPr>
          <w:rFonts w:hint="eastAsia" w:ascii="宋体" w:hAnsi="宋体" w:eastAsia="宋体" w:cs="宋体"/>
          <w:b/>
          <w:sz w:val="24"/>
          <w:highlight w:val="none"/>
        </w:rPr>
        <w:t>内容</w:t>
      </w:r>
    </w:p>
    <w:p>
      <w:pPr>
        <w:spacing w:line="360" w:lineRule="auto"/>
        <w:ind w:firstLine="480" w:firstLineChars="200"/>
        <w:rPr>
          <w:rFonts w:hint="eastAsia" w:ascii="宋体" w:hAnsi="宋体" w:eastAsia="宋体" w:cs="宋体"/>
          <w:i w:val="0"/>
          <w:iCs w:val="0"/>
          <w:color w:val="auto"/>
          <w:sz w:val="24"/>
          <w:szCs w:val="24"/>
          <w:highlight w:val="none"/>
          <w:lang w:val="en-US" w:eastAsia="zh-CN"/>
        </w:rPr>
      </w:pPr>
      <w:r>
        <w:rPr>
          <w:rFonts w:hint="default" w:ascii="宋体" w:hAnsi="宋体" w:cs="宋体"/>
          <w:i w:val="0"/>
          <w:iCs w:val="0"/>
          <w:color w:val="auto"/>
          <w:sz w:val="24"/>
          <w:szCs w:val="24"/>
          <w:highlight w:val="none"/>
          <w:lang w:val="en-US" w:eastAsia="zh-CN"/>
        </w:rPr>
        <w:t>3</w:t>
      </w:r>
      <w:r>
        <w:rPr>
          <w:rFonts w:hint="eastAsia" w:ascii="宋体" w:hAnsi="宋体" w:eastAsia="宋体" w:cs="宋体"/>
          <w:i w:val="0"/>
          <w:iCs w:val="0"/>
          <w:color w:val="auto"/>
          <w:sz w:val="24"/>
          <w:szCs w:val="24"/>
          <w:highlight w:val="none"/>
          <w:lang w:val="en-US" w:eastAsia="zh-CN"/>
        </w:rPr>
        <w:t>.1 本次甲方向乙方采购合同货物的具体信息如下：</w:t>
      </w:r>
    </w:p>
    <w:tbl>
      <w:tblPr>
        <w:tblStyle w:val="62"/>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198"/>
        <w:gridCol w:w="1486"/>
        <w:gridCol w:w="1486"/>
        <w:gridCol w:w="1142"/>
        <w:gridCol w:w="812"/>
        <w:gridCol w:w="129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lang w:eastAsia="zh-CN"/>
              </w:rPr>
              <w:t>序号</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产品名称</w:t>
            </w:r>
          </w:p>
        </w:tc>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lang w:eastAsia="zh-CN"/>
              </w:rPr>
              <w:t>品牌</w:t>
            </w:r>
          </w:p>
        </w:tc>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型号</w:t>
            </w:r>
          </w:p>
        </w:tc>
        <w:tc>
          <w:tcPr>
            <w:tcW w:w="11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单价</w:t>
            </w:r>
          </w:p>
        </w:tc>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数量</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rPr>
              <w:t>总价</w:t>
            </w:r>
            <w:r>
              <w:rPr>
                <w:rFonts w:hint="eastAsia" w:ascii="宋体" w:hAnsi="宋体" w:eastAsia="宋体" w:cs="宋体"/>
                <w:i w:val="0"/>
                <w:iCs w:val="0"/>
                <w:color w:val="auto"/>
                <w:sz w:val="24"/>
                <w:szCs w:val="24"/>
                <w:highlight w:val="none"/>
                <w:lang w:eastAsia="zh-CN"/>
              </w:rPr>
              <w:t>（元）</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1</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1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2</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1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cs="宋体"/>
                <w:i w:val="0"/>
                <w:iCs w:val="0"/>
                <w:color w:val="auto"/>
                <w:sz w:val="24"/>
                <w:szCs w:val="24"/>
                <w:highlight w:val="none"/>
                <w:lang w:val="en-US" w:eastAsia="zh-CN"/>
              </w:rPr>
              <w:t>……</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4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1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i w:val="0"/>
                <w:i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right"/>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合计：人民币</w:t>
            </w:r>
            <w:r>
              <w:rPr>
                <w:rFonts w:hint="default" w:ascii="宋体" w:hAnsi="宋体" w:cs="宋体"/>
                <w:i w:val="0"/>
                <w:iCs w:val="0"/>
                <w:color w:val="auto"/>
                <w:sz w:val="24"/>
                <w:szCs w:val="24"/>
                <w:highlight w:val="none"/>
                <w:u w:val="single"/>
                <w:lang w:val="en-US"/>
              </w:rPr>
              <w:t xml:space="preserve">     </w:t>
            </w:r>
            <w:r>
              <w:rPr>
                <w:rFonts w:hint="eastAsia" w:ascii="宋体" w:hAnsi="宋体" w:eastAsia="宋体" w:cs="宋体"/>
                <w:i w:val="0"/>
                <w:iCs w:val="0"/>
                <w:color w:val="auto"/>
                <w:sz w:val="24"/>
                <w:szCs w:val="24"/>
                <w:highlight w:val="none"/>
              </w:rPr>
              <w:t>元整（大写人民币</w:t>
            </w:r>
            <w:r>
              <w:rPr>
                <w:rFonts w:hint="default" w:ascii="宋体" w:hAnsi="宋体" w:cs="宋体"/>
                <w:i w:val="0"/>
                <w:iCs w:val="0"/>
                <w:color w:val="auto"/>
                <w:sz w:val="24"/>
                <w:szCs w:val="24"/>
                <w:highlight w:val="none"/>
                <w:u w:val="single"/>
                <w:lang w:val="en-US"/>
              </w:rPr>
              <w:t xml:space="preserve">      </w:t>
            </w:r>
            <w:r>
              <w:rPr>
                <w:rFonts w:hint="eastAsia" w:ascii="宋体" w:hAnsi="宋体" w:eastAsia="宋体" w:cs="宋体"/>
                <w:i w:val="0"/>
                <w:iCs w:val="0"/>
                <w:color w:val="auto"/>
                <w:sz w:val="24"/>
                <w:szCs w:val="24"/>
                <w:highlight w:val="none"/>
              </w:rPr>
              <w:t>元）</w:t>
            </w:r>
          </w:p>
        </w:tc>
      </w:tr>
    </w:tbl>
    <w:p>
      <w:pPr>
        <w:spacing w:line="360" w:lineRule="auto"/>
        <w:ind w:firstLine="480" w:firstLineChars="200"/>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（注：1.如果合同货物有其余需要明确的信息，请在此一并约定；2.如果合同货物品目较多，可将其作为合同附件。）</w:t>
      </w:r>
    </w:p>
    <w:p>
      <w:pPr>
        <w:spacing w:line="360" w:lineRule="auto"/>
        <w:ind w:firstLine="480" w:firstLineChars="200"/>
        <w:rPr>
          <w:rFonts w:hint="eastAsia" w:ascii="宋体" w:hAnsi="宋体" w:eastAsia="宋体" w:cs="宋体"/>
          <w:i w:val="0"/>
          <w:iCs w:val="0"/>
          <w:color w:val="auto"/>
          <w:sz w:val="24"/>
          <w:szCs w:val="24"/>
          <w:highlight w:val="none"/>
          <w:lang w:val="en-US" w:eastAsia="zh-CN"/>
        </w:rPr>
      </w:pPr>
      <w:r>
        <w:rPr>
          <w:rFonts w:hint="default" w:ascii="宋体" w:hAnsi="宋体" w:cs="宋体"/>
          <w:i w:val="0"/>
          <w:iCs w:val="0"/>
          <w:color w:val="auto"/>
          <w:sz w:val="24"/>
          <w:szCs w:val="24"/>
          <w:highlight w:val="none"/>
          <w:lang w:val="en-US" w:eastAsia="zh-CN"/>
        </w:rPr>
        <w:t>3</w:t>
      </w:r>
      <w:r>
        <w:rPr>
          <w:rFonts w:hint="eastAsia" w:ascii="宋体" w:hAnsi="宋体" w:eastAsia="宋体" w:cs="宋体"/>
          <w:i w:val="0"/>
          <w:iCs w:val="0"/>
          <w:color w:val="auto"/>
          <w:sz w:val="24"/>
          <w:szCs w:val="24"/>
          <w:highlight w:val="none"/>
          <w:lang w:val="en-US" w:eastAsia="zh-CN"/>
        </w:rPr>
        <w:t>.2 合同总价包括但不限于：设备购置费、辅助材料费、运杂费、安装调试费、保险费、培训费、税金等相关费税。</w:t>
      </w:r>
    </w:p>
    <w:p>
      <w:pPr>
        <w:spacing w:line="360" w:lineRule="auto"/>
        <w:rPr>
          <w:rFonts w:hint="eastAsia" w:ascii="宋体" w:hAnsi="宋体" w:eastAsia="宋体" w:cs="宋体"/>
          <w:b/>
          <w:sz w:val="24"/>
          <w:highlight w:val="none"/>
        </w:rPr>
      </w:pPr>
      <w:r>
        <w:rPr>
          <w:rFonts w:hint="default" w:ascii="宋体" w:hAnsi="宋体" w:cs="宋体"/>
          <w:b/>
          <w:sz w:val="24"/>
          <w:highlight w:val="none"/>
          <w:lang w:val="en-US"/>
        </w:rPr>
        <w:t>4</w:t>
      </w:r>
      <w:r>
        <w:rPr>
          <w:rFonts w:hint="eastAsia" w:ascii="宋体" w:hAnsi="宋体" w:eastAsia="宋体" w:cs="宋体"/>
          <w:b/>
          <w:sz w:val="24"/>
          <w:highlight w:val="none"/>
        </w:rPr>
        <w:t>．供货</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4</w:t>
      </w:r>
      <w:r>
        <w:rPr>
          <w:rFonts w:hint="eastAsia" w:ascii="宋体" w:hAnsi="宋体" w:eastAsia="宋体" w:cs="宋体"/>
          <w:sz w:val="24"/>
          <w:highlight w:val="none"/>
        </w:rPr>
        <w:t>.1 乙方提供的设备及有关产品部件等货物必须是</w:t>
      </w:r>
      <w:r>
        <w:rPr>
          <w:rFonts w:hint="eastAsia" w:ascii="宋体" w:hAnsi="宋体" w:eastAsia="宋体" w:cs="宋体"/>
          <w:sz w:val="24"/>
          <w:szCs w:val="28"/>
          <w:highlight w:val="none"/>
        </w:rPr>
        <w:t>符合国家技术规范和质量标准</w:t>
      </w:r>
      <w:r>
        <w:rPr>
          <w:rFonts w:hint="eastAsia" w:ascii="宋体" w:hAnsi="宋体" w:eastAsia="宋体" w:cs="宋体"/>
          <w:sz w:val="24"/>
          <w:highlight w:val="none"/>
        </w:rPr>
        <w:t>，经国家“3C”认证或通过国家有关部门检测的原产地合格产品。采购前需经甲方和监理单位的认可。</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4</w:t>
      </w:r>
      <w:r>
        <w:rPr>
          <w:rFonts w:hint="eastAsia" w:ascii="宋体" w:hAnsi="宋体" w:eastAsia="宋体" w:cs="宋体"/>
          <w:sz w:val="24"/>
          <w:highlight w:val="none"/>
        </w:rPr>
        <w:t>.2 乙方在投标文件中所列设备的名称、型号应与安装实施中实际使用的设备完全一致，都必须是报价中的产地，并提供相关证明，需原装封箱包装。如发现实物与投标报价书等资料不符，甲方有权更换，其一切后果及费用由乙方承担。如发现不符合质量要求或破裂、损坏等情况由乙方负责调换或补足，并不得影响工期。</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4</w:t>
      </w:r>
      <w:r>
        <w:rPr>
          <w:rFonts w:hint="eastAsia" w:ascii="宋体" w:hAnsi="宋体" w:eastAsia="宋体" w:cs="宋体"/>
          <w:sz w:val="24"/>
          <w:highlight w:val="none"/>
        </w:rPr>
        <w:t>.3</w:t>
      </w:r>
      <w:r>
        <w:rPr>
          <w:rFonts w:hint="eastAsia" w:ascii="宋体" w:hAnsi="宋体" w:eastAsia="宋体" w:cs="宋体"/>
          <w:kern w:val="0"/>
          <w:sz w:val="24"/>
          <w:highlight w:val="none"/>
          <w:lang w:val="zh-CN"/>
        </w:rPr>
        <w:t>乙方</w:t>
      </w:r>
      <w:r>
        <w:rPr>
          <w:rFonts w:hint="eastAsia" w:ascii="宋体" w:hAnsi="宋体" w:eastAsia="宋体" w:cs="宋体"/>
          <w:sz w:val="24"/>
          <w:szCs w:val="21"/>
          <w:highlight w:val="none"/>
        </w:rPr>
        <w:t>对所提供的产品、技术和服务等拥有</w:t>
      </w:r>
      <w:r>
        <w:rPr>
          <w:rFonts w:hint="eastAsia" w:ascii="宋体" w:hAnsi="宋体" w:eastAsia="宋体" w:cs="宋体"/>
          <w:sz w:val="24"/>
          <w:highlight w:val="none"/>
        </w:rPr>
        <w:t>合法的占有和处置权，并对涉及项目的</w:t>
      </w:r>
      <w:r>
        <w:rPr>
          <w:rFonts w:hint="eastAsia" w:ascii="宋体" w:hAnsi="宋体" w:eastAsia="宋体" w:cs="宋体"/>
          <w:sz w:val="24"/>
          <w:szCs w:val="21"/>
          <w:highlight w:val="none"/>
        </w:rPr>
        <w:t>所有内容可能侵权行为指控负责，保证不伤害</w:t>
      </w:r>
      <w:r>
        <w:rPr>
          <w:rFonts w:hint="eastAsia" w:ascii="宋体" w:hAnsi="宋体" w:eastAsia="宋体" w:cs="宋体"/>
          <w:sz w:val="24"/>
          <w:highlight w:val="none"/>
        </w:rPr>
        <w:t>甲方</w:t>
      </w:r>
      <w:r>
        <w:rPr>
          <w:rFonts w:hint="eastAsia" w:ascii="宋体" w:hAnsi="宋体" w:eastAsia="宋体" w:cs="宋体"/>
          <w:sz w:val="24"/>
          <w:szCs w:val="21"/>
          <w:highlight w:val="none"/>
        </w:rPr>
        <w:t>的利益。在法律范围内，如果出现文字、图片、商标和技术等侵权行为而造成的纠纷和产生的一切费用，</w:t>
      </w:r>
      <w:r>
        <w:rPr>
          <w:rFonts w:hint="eastAsia" w:ascii="宋体" w:hAnsi="宋体" w:eastAsia="宋体" w:cs="宋体"/>
          <w:sz w:val="24"/>
          <w:highlight w:val="none"/>
        </w:rPr>
        <w:t>甲方</w:t>
      </w:r>
      <w:r>
        <w:rPr>
          <w:rFonts w:hint="eastAsia" w:ascii="宋体" w:hAnsi="宋体" w:eastAsia="宋体" w:cs="宋体"/>
          <w:sz w:val="24"/>
          <w:szCs w:val="21"/>
          <w:highlight w:val="none"/>
        </w:rPr>
        <w:t>概不负责，由此给</w:t>
      </w:r>
      <w:r>
        <w:rPr>
          <w:rFonts w:hint="eastAsia" w:ascii="宋体" w:hAnsi="宋体" w:eastAsia="宋体" w:cs="宋体"/>
          <w:sz w:val="24"/>
          <w:highlight w:val="none"/>
        </w:rPr>
        <w:t>甲方</w:t>
      </w:r>
      <w:r>
        <w:rPr>
          <w:rFonts w:hint="eastAsia" w:ascii="宋体" w:hAnsi="宋体" w:eastAsia="宋体" w:cs="宋体"/>
          <w:sz w:val="24"/>
          <w:szCs w:val="21"/>
          <w:highlight w:val="none"/>
        </w:rPr>
        <w:t>造成损失的，</w:t>
      </w:r>
      <w:r>
        <w:rPr>
          <w:rFonts w:hint="eastAsia" w:ascii="宋体" w:hAnsi="宋体" w:eastAsia="宋体" w:cs="宋体"/>
          <w:kern w:val="0"/>
          <w:sz w:val="24"/>
          <w:highlight w:val="none"/>
          <w:lang w:val="zh-CN"/>
        </w:rPr>
        <w:t>乙方</w:t>
      </w:r>
      <w:r>
        <w:rPr>
          <w:rFonts w:hint="eastAsia" w:ascii="宋体" w:hAnsi="宋体" w:eastAsia="宋体" w:cs="宋体"/>
          <w:sz w:val="24"/>
          <w:highlight w:val="none"/>
        </w:rPr>
        <w:t>要承担相应后果，</w:t>
      </w:r>
      <w:r>
        <w:rPr>
          <w:rFonts w:hint="eastAsia" w:ascii="宋体" w:hAnsi="宋体" w:eastAsia="宋体" w:cs="宋体"/>
          <w:kern w:val="0"/>
          <w:sz w:val="24"/>
          <w:highlight w:val="none"/>
          <w:lang w:val="zh-CN"/>
        </w:rPr>
        <w:t>并负责赔偿。乙方</w:t>
      </w:r>
      <w:r>
        <w:rPr>
          <w:rFonts w:hint="eastAsia" w:ascii="宋体" w:hAnsi="宋体" w:eastAsia="宋体" w:cs="宋体"/>
          <w:sz w:val="24"/>
          <w:highlight w:val="none"/>
        </w:rPr>
        <w:t>为执行本项目合同而提供的技术资料等归甲方所有。</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4</w:t>
      </w:r>
      <w:r>
        <w:rPr>
          <w:rFonts w:hint="eastAsia" w:ascii="宋体" w:hAnsi="宋体" w:eastAsia="宋体" w:cs="宋体"/>
          <w:sz w:val="24"/>
          <w:highlight w:val="none"/>
        </w:rPr>
        <w:t>.4 乙方所提供的设备交货时间必须按照本项目的工程安装进度进场。</w:t>
      </w:r>
    </w:p>
    <w:p>
      <w:pPr>
        <w:spacing w:line="360" w:lineRule="auto"/>
        <w:rPr>
          <w:rFonts w:hint="eastAsia" w:ascii="宋体" w:hAnsi="宋体" w:eastAsia="宋体" w:cs="宋体"/>
          <w:b/>
          <w:sz w:val="24"/>
          <w:highlight w:val="none"/>
        </w:rPr>
      </w:pPr>
      <w:r>
        <w:rPr>
          <w:rFonts w:hint="default" w:ascii="宋体" w:hAnsi="宋体" w:cs="宋体"/>
          <w:b/>
          <w:sz w:val="24"/>
          <w:highlight w:val="none"/>
          <w:lang w:val="en-US"/>
        </w:rPr>
        <w:t>5</w:t>
      </w:r>
      <w:r>
        <w:rPr>
          <w:rFonts w:hint="eastAsia" w:ascii="宋体" w:hAnsi="宋体" w:eastAsia="宋体" w:cs="宋体"/>
          <w:b/>
          <w:sz w:val="24"/>
          <w:highlight w:val="none"/>
        </w:rPr>
        <w:t>．安装调试和系统接入</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5</w:t>
      </w:r>
      <w:r>
        <w:rPr>
          <w:rFonts w:hint="eastAsia" w:ascii="宋体" w:hAnsi="宋体" w:eastAsia="宋体" w:cs="宋体"/>
          <w:sz w:val="24"/>
          <w:highlight w:val="none"/>
        </w:rPr>
        <w:t>.1 甲方提供堆放材料和工具场地，设备和材料的堆放安全由乙方负责。</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5</w:t>
      </w:r>
      <w:r>
        <w:rPr>
          <w:rFonts w:hint="eastAsia" w:ascii="宋体" w:hAnsi="宋体" w:eastAsia="宋体" w:cs="宋体"/>
          <w:sz w:val="24"/>
          <w:highlight w:val="none"/>
        </w:rPr>
        <w:t>.2 甲方提供工程所需的水源和电源，费用由乙方承担。</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5</w:t>
      </w:r>
      <w:r>
        <w:rPr>
          <w:rFonts w:hint="eastAsia" w:ascii="宋体" w:hAnsi="宋体" w:eastAsia="宋体" w:cs="宋体"/>
          <w:sz w:val="24"/>
          <w:highlight w:val="none"/>
        </w:rPr>
        <w:t>.3 乙方项目实施人员须服从甲方、监理管理人员管理，项目质量纳入现场监理。乙方项目实施人员必须遵守现场的各项规章制度。</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5</w:t>
      </w:r>
      <w:r>
        <w:rPr>
          <w:rFonts w:hint="eastAsia" w:ascii="宋体" w:hAnsi="宋体" w:eastAsia="宋体" w:cs="宋体"/>
          <w:sz w:val="24"/>
          <w:highlight w:val="none"/>
        </w:rPr>
        <w:t>.4 乙方应根据项目情况提供安装、到货计划，安装的实施进度计划，经甲、乙双方共同确定后作为双方共同执行的合同条款，乙方应按计划完工交付验收，若超过计划完工日15天以上的天数按超期处罚。</w:t>
      </w:r>
    </w:p>
    <w:p>
      <w:pPr>
        <w:spacing w:line="360" w:lineRule="auto"/>
        <w:rPr>
          <w:rFonts w:hint="eastAsia" w:ascii="宋体" w:hAnsi="宋体" w:eastAsia="宋体" w:cs="宋体"/>
          <w:b/>
          <w:sz w:val="24"/>
          <w:highlight w:val="none"/>
        </w:rPr>
      </w:pPr>
      <w:r>
        <w:rPr>
          <w:rFonts w:hint="default" w:ascii="宋体" w:hAnsi="宋体" w:cs="宋体"/>
          <w:b/>
          <w:sz w:val="24"/>
          <w:highlight w:val="none"/>
          <w:lang w:val="en-US"/>
        </w:rPr>
        <w:t>6</w:t>
      </w:r>
      <w:r>
        <w:rPr>
          <w:rFonts w:hint="eastAsia" w:ascii="宋体" w:hAnsi="宋体" w:eastAsia="宋体" w:cs="宋体"/>
          <w:b/>
          <w:sz w:val="24"/>
          <w:highlight w:val="none"/>
        </w:rPr>
        <w:t>．培训保修</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6</w:t>
      </w:r>
      <w:r>
        <w:rPr>
          <w:rFonts w:hint="eastAsia" w:ascii="宋体" w:hAnsi="宋体" w:eastAsia="宋体" w:cs="宋体"/>
          <w:sz w:val="24"/>
          <w:highlight w:val="none"/>
        </w:rPr>
        <w:t>.1 乙方对甲方提供操作维护、管理等培训，至熟练操作为止。</w:t>
      </w:r>
    </w:p>
    <w:p>
      <w:pPr>
        <w:spacing w:line="360" w:lineRule="auto"/>
        <w:ind w:firstLine="480" w:firstLineChars="200"/>
        <w:rPr>
          <w:rFonts w:hint="eastAsia" w:ascii="宋体" w:hAnsi="宋体" w:eastAsia="宋体" w:cs="宋体"/>
          <w:sz w:val="24"/>
          <w:highlight w:val="none"/>
        </w:rPr>
      </w:pPr>
      <w:r>
        <w:rPr>
          <w:rFonts w:hint="default" w:ascii="宋体" w:hAnsi="宋体" w:cs="宋体"/>
          <w:sz w:val="24"/>
          <w:highlight w:val="none"/>
          <w:lang w:val="en-US"/>
        </w:rPr>
        <w:t>6</w:t>
      </w:r>
      <w:r>
        <w:rPr>
          <w:rFonts w:hint="eastAsia" w:ascii="宋体" w:hAnsi="宋体" w:eastAsia="宋体" w:cs="宋体"/>
          <w:sz w:val="24"/>
          <w:highlight w:val="none"/>
        </w:rPr>
        <w:t>.2 乙方提供免费维修（即质保期）：硬件要求提供不少于三年7×24免费设备保修和售后现场技术服务，系统软件产品的保修执行原厂商的标准保修服务和投标人的承诺，因使用不当更换设备材料费用按不高于投标报价价格收费。</w:t>
      </w:r>
    </w:p>
    <w:p>
      <w:pPr>
        <w:spacing w:line="360" w:lineRule="auto"/>
        <w:ind w:firstLine="480" w:firstLineChars="200"/>
        <w:rPr>
          <w:rFonts w:hint="eastAsia" w:ascii="宋体" w:hAnsi="宋体" w:eastAsia="宋体" w:cs="宋体"/>
          <w:sz w:val="24"/>
          <w:highlight w:val="none"/>
          <w:lang w:eastAsia="zh-CN"/>
        </w:rPr>
      </w:pPr>
      <w:r>
        <w:rPr>
          <w:rFonts w:hint="default" w:ascii="宋体" w:hAnsi="宋体" w:cs="宋体"/>
          <w:sz w:val="24"/>
          <w:highlight w:val="none"/>
          <w:lang w:val="en-US"/>
        </w:rPr>
        <w:t>6</w:t>
      </w:r>
      <w:r>
        <w:rPr>
          <w:rFonts w:hint="eastAsia" w:ascii="宋体" w:hAnsi="宋体" w:eastAsia="宋体" w:cs="宋体"/>
          <w:sz w:val="24"/>
          <w:highlight w:val="none"/>
        </w:rPr>
        <w:t>.3 质保期内</w:t>
      </w:r>
      <w:r>
        <w:rPr>
          <w:rFonts w:hint="eastAsia" w:ascii="宋体" w:hAnsi="宋体" w:eastAsia="宋体" w:cs="宋体"/>
          <w:sz w:val="24"/>
          <w:highlight w:val="none"/>
          <w:lang w:eastAsia="zh-CN"/>
        </w:rPr>
        <w:t>，乙方须</w:t>
      </w:r>
      <w:r>
        <w:rPr>
          <w:rFonts w:hint="eastAsia" w:ascii="宋体" w:hAnsi="宋体" w:eastAsia="宋体" w:cs="宋体"/>
          <w:sz w:val="24"/>
          <w:highlight w:val="none"/>
        </w:rPr>
        <w:t>协同学校完成</w:t>
      </w:r>
      <w:r>
        <w:rPr>
          <w:rFonts w:hint="eastAsia" w:ascii="宋体" w:hAnsi="宋体" w:eastAsia="宋体" w:cs="宋体"/>
          <w:sz w:val="24"/>
          <w:highlight w:val="none"/>
          <w:u w:val="single"/>
          <w:lang w:val="en-US"/>
        </w:rPr>
        <w:t xml:space="preserve">  </w:t>
      </w:r>
      <w:r>
        <w:rPr>
          <w:rFonts w:hint="eastAsia" w:ascii="宋体" w:hAnsi="宋体" w:eastAsia="宋体" w:cs="宋体"/>
          <w:sz w:val="24"/>
          <w:highlight w:val="none"/>
        </w:rPr>
        <w:t>次</w:t>
      </w:r>
      <w:r>
        <w:rPr>
          <w:rFonts w:hint="eastAsia" w:ascii="宋体" w:hAnsi="宋体" w:eastAsia="宋体" w:cs="宋体"/>
          <w:sz w:val="24"/>
          <w:highlight w:val="none"/>
          <w:lang w:val="en-US"/>
        </w:rPr>
        <w:t>/</w:t>
      </w:r>
      <w:r>
        <w:rPr>
          <w:rFonts w:hint="eastAsia" w:ascii="宋体" w:hAnsi="宋体" w:eastAsia="宋体" w:cs="宋体"/>
          <w:sz w:val="24"/>
          <w:highlight w:val="none"/>
          <w:lang w:val="en-US" w:eastAsia="zh-CN"/>
        </w:rPr>
        <w:t>年</w:t>
      </w:r>
      <w:r>
        <w:rPr>
          <w:rFonts w:hint="eastAsia" w:ascii="宋体" w:hAnsi="宋体" w:eastAsia="宋体" w:cs="宋体"/>
          <w:sz w:val="24"/>
          <w:highlight w:val="none"/>
        </w:rPr>
        <w:t>的检测</w:t>
      </w:r>
      <w:r>
        <w:rPr>
          <w:rFonts w:hint="eastAsia" w:ascii="宋体" w:hAnsi="宋体" w:eastAsia="宋体" w:cs="宋体"/>
          <w:sz w:val="24"/>
          <w:highlight w:val="none"/>
          <w:lang w:eastAsia="zh-CN"/>
        </w:rPr>
        <w:t>。</w:t>
      </w:r>
    </w:p>
    <w:p>
      <w:pPr>
        <w:spacing w:line="360" w:lineRule="auto"/>
        <w:rPr>
          <w:rFonts w:hint="eastAsia" w:ascii="宋体" w:hAnsi="宋体" w:eastAsia="宋体" w:cs="宋体"/>
          <w:sz w:val="24"/>
          <w:highlight w:val="none"/>
        </w:rPr>
      </w:pPr>
      <w:r>
        <w:rPr>
          <w:rFonts w:hint="default" w:ascii="宋体" w:hAnsi="宋体" w:cs="宋体"/>
          <w:b/>
          <w:sz w:val="24"/>
          <w:highlight w:val="none"/>
          <w:lang w:val="en-US"/>
        </w:rPr>
        <w:t>7</w:t>
      </w:r>
      <w:r>
        <w:rPr>
          <w:rFonts w:hint="eastAsia" w:ascii="宋体" w:hAnsi="宋体" w:eastAsia="宋体" w:cs="宋体"/>
          <w:b/>
          <w:sz w:val="24"/>
          <w:highlight w:val="none"/>
        </w:rPr>
        <w:t>．验收</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bCs/>
          <w:sz w:val="24"/>
          <w:highlight w:val="none"/>
        </w:rPr>
        <w:t>乙方承诺在</w:t>
      </w:r>
      <w:r>
        <w:rPr>
          <w:rFonts w:hint="eastAsia" w:ascii="宋体" w:hAnsi="宋体" w:cs="宋体"/>
          <w:b/>
          <w:bCs/>
          <w:sz w:val="24"/>
          <w:highlight w:val="none"/>
          <w:u w:val="single"/>
          <w:lang w:val="en-US" w:eastAsia="zh-CN"/>
        </w:rPr>
        <w:t xml:space="preserve">  </w:t>
      </w:r>
      <w:r>
        <w:rPr>
          <w:rFonts w:hint="eastAsia" w:ascii="宋体" w:hAnsi="宋体" w:eastAsia="宋体" w:cs="宋体"/>
          <w:b/>
          <w:bCs/>
          <w:kern w:val="0"/>
          <w:sz w:val="24"/>
          <w:highlight w:val="none"/>
          <w:lang w:val="zh-CN"/>
        </w:rPr>
        <w:t>日</w:t>
      </w:r>
      <w:r>
        <w:rPr>
          <w:rFonts w:hint="eastAsia" w:ascii="宋体" w:hAnsi="宋体" w:eastAsia="宋体" w:cs="宋体"/>
          <w:kern w:val="0"/>
          <w:sz w:val="24"/>
          <w:highlight w:val="none"/>
          <w:lang w:val="zh-CN"/>
        </w:rPr>
        <w:t>完成项目的所有安装调试工作，由</w:t>
      </w:r>
      <w:r>
        <w:rPr>
          <w:rFonts w:hint="eastAsia" w:ascii="宋体" w:hAnsi="宋体" w:eastAsia="宋体" w:cs="宋体"/>
          <w:sz w:val="24"/>
          <w:highlight w:val="none"/>
        </w:rPr>
        <w:t>甲方对所供设备进行最终验收。采购方将组织有关专家随机对所供设备进行现场检查。如果发现与合同中要求不符，乙方须承担由此发生的一切损失和费用，并接受相应的处罚。验收合格后，甲乙双方共同签署《杭州市西湖区政府采购验收回复单》或验收报告，一式二份，一份交甲方留存，一份由乙方用作结算凭证，同时由甲方填写《杭州市西湖区政府采购售后服务质量反馈表》，该表与设备运行期内甲方的反馈意见，都将作为考核乙方售后服务和质量的依据。</w:t>
      </w:r>
    </w:p>
    <w:p>
      <w:pPr>
        <w:numPr>
          <w:ilvl w:val="0"/>
          <w:numId w:val="9"/>
        </w:num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工程价款及调整</w:t>
      </w:r>
    </w:p>
    <w:p>
      <w:pPr>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本</w:t>
      </w:r>
      <w:r>
        <w:rPr>
          <w:rFonts w:hint="eastAsia" w:ascii="宋体" w:hAnsi="宋体" w:cs="宋体"/>
          <w:kern w:val="0"/>
          <w:sz w:val="24"/>
          <w:highlight w:val="none"/>
          <w:lang w:val="zh-CN"/>
        </w:rPr>
        <w:t>次项目</w:t>
      </w:r>
      <w:r>
        <w:rPr>
          <w:rFonts w:hint="eastAsia" w:ascii="宋体" w:hAnsi="宋体" w:eastAsia="宋体" w:cs="宋体"/>
          <w:kern w:val="0"/>
          <w:sz w:val="24"/>
          <w:highlight w:val="none"/>
          <w:lang w:val="zh-CN"/>
        </w:rPr>
        <w:t>招标采取固定总价承包，未经甲方认可，不得以任何理由予以变更，除以下列明的价款调整和计算方法之外，所有费用包干，不予调整。乙方应按甲方提供的要求报价，缺项、漏项和设备选型偏离视作报价已包含在其它子项中，不予以调整。允许乙方对招标文件提供的技术方案在投标价格不增加且能扩大使用功能的前提下，可提出合理化建议或优化方案，做出其优越性、先进性等详细说明。</w:t>
      </w:r>
    </w:p>
    <w:p>
      <w:pPr>
        <w:spacing w:line="360" w:lineRule="auto"/>
        <w:rPr>
          <w:rFonts w:hint="eastAsia" w:ascii="宋体" w:hAnsi="宋体" w:eastAsia="宋体" w:cs="宋体"/>
          <w:b/>
          <w:sz w:val="24"/>
          <w:highlight w:val="none"/>
        </w:rPr>
      </w:pPr>
      <w:r>
        <w:rPr>
          <w:rFonts w:hint="default" w:ascii="宋体" w:hAnsi="宋体" w:cs="宋体"/>
          <w:b/>
          <w:sz w:val="24"/>
          <w:highlight w:val="none"/>
          <w:lang w:val="en-US"/>
        </w:rPr>
        <w:t>9</w:t>
      </w:r>
      <w:r>
        <w:rPr>
          <w:rFonts w:hint="eastAsia" w:ascii="宋体" w:hAnsi="宋体" w:eastAsia="宋体" w:cs="宋体"/>
          <w:b/>
          <w:sz w:val="24"/>
          <w:highlight w:val="none"/>
        </w:rPr>
        <w:t>．支付</w:t>
      </w:r>
    </w:p>
    <w:p>
      <w:pPr>
        <w:autoSpaceDE w:val="0"/>
        <w:autoSpaceDN w:val="0"/>
        <w:adjustRightInd w:val="0"/>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本次项目合同总价为人民币</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元），采用(分期付款)方式</w:t>
      </w:r>
      <w:r>
        <w:rPr>
          <w:rFonts w:hint="eastAsia" w:ascii="宋体" w:hAnsi="宋体" w:eastAsia="宋体" w:cs="宋体"/>
          <w:kern w:val="0"/>
          <w:sz w:val="24"/>
          <w:highlight w:val="none"/>
        </w:rPr>
        <w:t>：</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2"/>
        <w:gridCol w:w="1936"/>
        <w:gridCol w:w="1936"/>
        <w:gridCol w:w="1767"/>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2"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付款期数</w:t>
            </w:r>
          </w:p>
        </w:tc>
        <w:tc>
          <w:tcPr>
            <w:tcW w:w="1936"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付款比例</w:t>
            </w:r>
          </w:p>
        </w:tc>
        <w:tc>
          <w:tcPr>
            <w:tcW w:w="1936"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付款大写金额（元）</w:t>
            </w:r>
          </w:p>
        </w:tc>
        <w:tc>
          <w:tcPr>
            <w:tcW w:w="1767"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付款小写金额（元）</w:t>
            </w:r>
          </w:p>
        </w:tc>
        <w:tc>
          <w:tcPr>
            <w:tcW w:w="1822"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2"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第一期</w:t>
            </w:r>
          </w:p>
        </w:tc>
        <w:tc>
          <w:tcPr>
            <w:tcW w:w="1936"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en-US"/>
              </w:rPr>
            </w:pPr>
            <w:r>
              <w:rPr>
                <w:rFonts w:hint="eastAsia" w:ascii="宋体" w:hAnsi="宋体" w:eastAsia="宋体" w:cs="宋体"/>
                <w:kern w:val="0"/>
                <w:sz w:val="24"/>
                <w:szCs w:val="24"/>
                <w:highlight w:val="none"/>
                <w:lang w:val="en-US"/>
              </w:rPr>
              <w:t>40%</w:t>
            </w:r>
          </w:p>
        </w:tc>
        <w:tc>
          <w:tcPr>
            <w:tcW w:w="1936"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p>
        </w:tc>
        <w:tc>
          <w:tcPr>
            <w:tcW w:w="1767"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p>
        </w:tc>
        <w:tc>
          <w:tcPr>
            <w:tcW w:w="1822"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en-US"/>
              </w:rPr>
            </w:pPr>
            <w:r>
              <w:rPr>
                <w:rFonts w:hint="eastAsia" w:ascii="宋体" w:hAnsi="宋体" w:eastAsia="宋体" w:cs="宋体"/>
                <w:b w:val="0"/>
                <w:bCs w:val="0"/>
                <w:i w:val="0"/>
                <w:iCs w:val="0"/>
                <w:color w:val="auto"/>
                <w:kern w:val="2"/>
                <w:sz w:val="24"/>
                <w:szCs w:val="24"/>
                <w:highlight w:val="none"/>
                <w:lang w:val="en-US" w:eastAsia="zh-CN" w:bidi="ar"/>
              </w:rPr>
              <w:t>合同签订后</w:t>
            </w:r>
            <w:r>
              <w:rPr>
                <w:rFonts w:hint="eastAsia" w:ascii="宋体" w:hAnsi="宋体" w:cs="宋体"/>
                <w:b w:val="0"/>
                <w:bCs w:val="0"/>
                <w:i w:val="0"/>
                <w:iCs w:val="0"/>
                <w:color w:val="auto"/>
                <w:kern w:val="2"/>
                <w:sz w:val="24"/>
                <w:szCs w:val="24"/>
                <w:highlight w:val="none"/>
                <w:lang w:val="en-US" w:eastAsia="zh-CN" w:bidi="ar"/>
              </w:rPr>
              <w:t>7</w:t>
            </w:r>
            <w:r>
              <w:rPr>
                <w:rFonts w:hint="eastAsia" w:ascii="宋体" w:hAnsi="宋体" w:eastAsia="宋体" w:cs="宋体"/>
                <w:b w:val="0"/>
                <w:bCs w:val="0"/>
                <w:i w:val="0"/>
                <w:iCs w:val="0"/>
                <w:color w:val="auto"/>
                <w:kern w:val="2"/>
                <w:sz w:val="24"/>
                <w:szCs w:val="24"/>
                <w:highlight w:val="none"/>
                <w:lang w:val="en-US" w:eastAsia="zh-CN" w:bidi="ar"/>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2"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第二期</w:t>
            </w:r>
          </w:p>
        </w:tc>
        <w:tc>
          <w:tcPr>
            <w:tcW w:w="1936"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en-US"/>
              </w:rPr>
            </w:pPr>
            <w:r>
              <w:rPr>
                <w:rFonts w:hint="eastAsia" w:ascii="宋体" w:hAnsi="宋体" w:eastAsia="宋体" w:cs="宋体"/>
                <w:kern w:val="0"/>
                <w:sz w:val="24"/>
                <w:szCs w:val="24"/>
                <w:highlight w:val="none"/>
                <w:lang w:val="en-US"/>
              </w:rPr>
              <w:t>60%</w:t>
            </w:r>
          </w:p>
        </w:tc>
        <w:tc>
          <w:tcPr>
            <w:tcW w:w="1936"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p>
        </w:tc>
        <w:tc>
          <w:tcPr>
            <w:tcW w:w="1767"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p>
        </w:tc>
        <w:tc>
          <w:tcPr>
            <w:tcW w:w="1822" w:type="dxa"/>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b w:val="0"/>
                <w:bCs w:val="0"/>
                <w:i w:val="0"/>
                <w:iCs w:val="0"/>
                <w:color w:val="auto"/>
                <w:kern w:val="2"/>
                <w:sz w:val="24"/>
                <w:szCs w:val="24"/>
                <w:highlight w:val="none"/>
                <w:lang w:val="en-US" w:eastAsia="zh-CN" w:bidi="ar"/>
              </w:rPr>
              <w:t>项目竣工并整体验收合格后</w:t>
            </w:r>
            <w:r>
              <w:rPr>
                <w:rFonts w:hint="eastAsia" w:ascii="宋体" w:hAnsi="宋体" w:cs="宋体"/>
                <w:b w:val="0"/>
                <w:bCs w:val="0"/>
                <w:i w:val="0"/>
                <w:iCs w:val="0"/>
                <w:color w:val="auto"/>
                <w:kern w:val="2"/>
                <w:sz w:val="24"/>
                <w:szCs w:val="24"/>
                <w:highlight w:val="none"/>
                <w:lang w:val="en-US" w:eastAsia="zh-CN" w:bidi="ar"/>
              </w:rPr>
              <w:t>15</w:t>
            </w:r>
            <w:r>
              <w:rPr>
                <w:rFonts w:hint="eastAsia" w:ascii="宋体" w:hAnsi="宋体" w:eastAsia="宋体" w:cs="宋体"/>
                <w:b w:val="0"/>
                <w:bCs w:val="0"/>
                <w:i w:val="0"/>
                <w:iCs w:val="0"/>
                <w:color w:val="auto"/>
                <w:kern w:val="2"/>
                <w:sz w:val="24"/>
                <w:szCs w:val="24"/>
                <w:highlight w:val="none"/>
                <w:lang w:val="en-US" w:eastAsia="zh-CN" w:bidi="ar"/>
              </w:rPr>
              <w:t>个工作日支付。</w:t>
            </w:r>
          </w:p>
        </w:tc>
      </w:tr>
    </w:tbl>
    <w:p>
      <w:pPr>
        <w:pStyle w:val="33"/>
        <w:spacing w:line="360" w:lineRule="auto"/>
        <w:rPr>
          <w:rFonts w:hint="eastAsia" w:ascii="宋体" w:hAnsi="宋体" w:eastAsia="宋体" w:cs="宋体"/>
          <w:b/>
          <w:sz w:val="24"/>
          <w:highlight w:val="none"/>
          <w:lang w:val="zh-CN"/>
        </w:rPr>
      </w:pPr>
      <w:r>
        <w:rPr>
          <w:rFonts w:hint="default" w:hAnsi="宋体" w:cs="宋体"/>
          <w:b/>
          <w:sz w:val="24"/>
          <w:highlight w:val="none"/>
          <w:lang w:val="en-US"/>
        </w:rPr>
        <w:t>10</w:t>
      </w:r>
      <w:r>
        <w:rPr>
          <w:rFonts w:hint="eastAsia" w:ascii="宋体" w:hAnsi="宋体" w:eastAsia="宋体" w:cs="宋体"/>
          <w:sz w:val="24"/>
          <w:highlight w:val="none"/>
        </w:rPr>
        <w:t xml:space="preserve">. </w:t>
      </w:r>
      <w:r>
        <w:rPr>
          <w:rFonts w:hint="eastAsia" w:ascii="宋体" w:hAnsi="宋体" w:eastAsia="宋体" w:cs="宋体"/>
          <w:b/>
          <w:sz w:val="24"/>
          <w:highlight w:val="none"/>
          <w:lang w:val="zh-CN"/>
        </w:rPr>
        <w:t>履约保证金缴纳及退付</w:t>
      </w:r>
    </w:p>
    <w:p>
      <w:pPr>
        <w:pStyle w:val="128"/>
        <w:adjustRightInd w:val="0"/>
        <w:snapToGrid w:val="0"/>
        <w:spacing w:before="0" w:line="360" w:lineRule="auto"/>
        <w:ind w:firstLine="480"/>
        <w:rPr>
          <w:rFonts w:hint="eastAsia" w:ascii="宋体" w:hAnsi="宋体" w:eastAsia="宋体" w:cs="宋体"/>
          <w:highlight w:val="none"/>
        </w:rPr>
      </w:pPr>
      <w:r>
        <w:rPr>
          <w:rFonts w:hint="default" w:ascii="宋体" w:hAnsi="宋体" w:cs="宋体"/>
          <w:kern w:val="0"/>
          <w:highlight w:val="none"/>
          <w:lang w:val="en-US"/>
        </w:rPr>
        <w:t>10</w:t>
      </w:r>
      <w:r>
        <w:rPr>
          <w:rFonts w:hint="eastAsia" w:ascii="宋体" w:hAnsi="宋体" w:eastAsia="宋体" w:cs="宋体"/>
          <w:kern w:val="0"/>
          <w:highlight w:val="none"/>
          <w:lang w:val="zh-CN"/>
        </w:rPr>
        <w:t>.1 签订合同后3个工作日内，中标人</w:t>
      </w:r>
      <w:r>
        <w:rPr>
          <w:rFonts w:hint="eastAsia" w:ascii="宋体" w:hAnsi="宋体" w:cs="宋体"/>
          <w:kern w:val="0"/>
          <w:highlight w:val="none"/>
          <w:lang w:val="zh-CN"/>
        </w:rPr>
        <w:t>（乙方）</w:t>
      </w:r>
      <w:r>
        <w:rPr>
          <w:rFonts w:hint="eastAsia" w:ascii="宋体" w:hAnsi="宋体" w:eastAsia="宋体" w:cs="宋体"/>
          <w:kern w:val="0"/>
          <w:highlight w:val="none"/>
          <w:lang w:val="zh-CN"/>
        </w:rPr>
        <w:t>须向采购人</w:t>
      </w:r>
      <w:r>
        <w:rPr>
          <w:rFonts w:hint="eastAsia" w:ascii="宋体" w:hAnsi="宋体" w:cs="宋体"/>
          <w:kern w:val="0"/>
          <w:highlight w:val="none"/>
          <w:lang w:val="zh-CN"/>
        </w:rPr>
        <w:t>（甲方）</w:t>
      </w:r>
      <w:r>
        <w:rPr>
          <w:rFonts w:hint="eastAsia" w:ascii="宋体" w:hAnsi="宋体" w:eastAsia="宋体" w:cs="宋体"/>
          <w:kern w:val="0"/>
          <w:highlight w:val="none"/>
          <w:lang w:val="zh-CN"/>
        </w:rPr>
        <w:t>缴纳不超过政府采购合同总额</w:t>
      </w:r>
      <w:r>
        <w:rPr>
          <w:rFonts w:hint="default" w:ascii="宋体" w:hAnsi="宋体" w:cs="宋体"/>
          <w:kern w:val="0"/>
          <w:highlight w:val="none"/>
          <w:lang w:val="en-US"/>
        </w:rPr>
        <w:t>1</w:t>
      </w:r>
      <w:r>
        <w:rPr>
          <w:rFonts w:hint="eastAsia" w:ascii="宋体" w:hAnsi="宋体" w:eastAsia="宋体" w:cs="宋体"/>
          <w:kern w:val="0"/>
          <w:highlight w:val="none"/>
          <w:lang w:val="zh-CN"/>
        </w:rPr>
        <w:t>％的履约保证金，缴纳金额:</w:t>
      </w:r>
      <w:r>
        <w:rPr>
          <w:rFonts w:hint="eastAsia" w:ascii="宋体" w:hAnsi="宋体" w:eastAsia="宋体" w:cs="宋体"/>
          <w:kern w:val="0"/>
          <w:highlight w:val="none"/>
          <w:u w:val="single"/>
          <w:lang w:val="zh-CN"/>
        </w:rPr>
        <w:t xml:space="preserve">            </w:t>
      </w:r>
      <w:r>
        <w:rPr>
          <w:rFonts w:hint="eastAsia" w:ascii="宋体" w:hAnsi="宋体" w:eastAsia="宋体" w:cs="宋体"/>
          <w:kern w:val="0"/>
          <w:highlight w:val="none"/>
          <w:lang w:val="zh-CN"/>
        </w:rPr>
        <w:t>（￥</w:t>
      </w:r>
      <w:r>
        <w:rPr>
          <w:rFonts w:hint="eastAsia" w:ascii="宋体" w:hAnsi="宋体" w:eastAsia="宋体" w:cs="宋体"/>
          <w:kern w:val="0"/>
          <w:highlight w:val="none"/>
          <w:u w:val="single"/>
          <w:lang w:val="zh-CN"/>
        </w:rPr>
        <w:t xml:space="preserve">    </w:t>
      </w:r>
      <w:r>
        <w:rPr>
          <w:rFonts w:hint="eastAsia" w:ascii="宋体" w:hAnsi="宋体" w:eastAsia="宋体" w:cs="宋体"/>
          <w:kern w:val="0"/>
          <w:highlight w:val="none"/>
          <w:lang w:val="zh-CN"/>
        </w:rPr>
        <w:t>元）。</w:t>
      </w:r>
      <w:r>
        <w:rPr>
          <w:rFonts w:hint="eastAsia" w:ascii="宋体" w:hAnsi="宋体" w:eastAsia="宋体" w:cs="宋体"/>
          <w:highlight w:val="none"/>
        </w:rPr>
        <w:t>履约保证金在项目验收合格后，若无质量和服务等问题，在5个工作日内采购人应将履约保证金原额（无息）归还中标人；</w:t>
      </w:r>
    </w:p>
    <w:p>
      <w:pPr>
        <w:pStyle w:val="128"/>
        <w:adjustRightInd w:val="0"/>
        <w:snapToGrid w:val="0"/>
        <w:spacing w:before="0" w:line="360" w:lineRule="auto"/>
        <w:ind w:firstLine="480"/>
        <w:rPr>
          <w:rFonts w:hint="default" w:ascii="宋体" w:hAnsi="宋体" w:cs="宋体"/>
          <w:b/>
          <w:bCs/>
          <w:highlight w:val="none"/>
          <w:lang w:val="en-US"/>
        </w:rPr>
      </w:pPr>
      <w:r>
        <w:rPr>
          <w:rFonts w:hint="default" w:ascii="宋体" w:hAnsi="宋体" w:cs="宋体"/>
          <w:b/>
          <w:bCs/>
          <w:highlight w:val="none"/>
          <w:lang w:val="en-US"/>
        </w:rPr>
        <w:t xml:space="preserve">10.2 </w:t>
      </w:r>
      <w:r>
        <w:rPr>
          <w:rFonts w:hint="eastAsia" w:ascii="宋体" w:hAnsi="宋体" w:cs="宋体"/>
          <w:b/>
          <w:bCs/>
          <w:highlight w:val="none"/>
          <w:lang w:val="en-US" w:eastAsia="zh-CN"/>
        </w:rPr>
        <w:t>甲方</w:t>
      </w:r>
      <w:r>
        <w:rPr>
          <w:rFonts w:hint="default" w:ascii="宋体" w:hAnsi="宋体" w:cs="宋体"/>
          <w:b/>
          <w:bCs/>
          <w:highlight w:val="none"/>
          <w:lang w:val="en-US"/>
        </w:rPr>
        <w:t>根据杭州市政府采购网公布的供应商履约评价情况减免履约保证金。</w:t>
      </w:r>
      <w:r>
        <w:rPr>
          <w:rFonts w:hint="eastAsia" w:ascii="宋体" w:hAnsi="宋体" w:cs="宋体"/>
          <w:b/>
          <w:bCs/>
          <w:highlight w:val="none"/>
          <w:lang w:val="en-US" w:eastAsia="zh-CN"/>
        </w:rPr>
        <w:t>乙方</w:t>
      </w:r>
      <w:r>
        <w:rPr>
          <w:rFonts w:hint="default" w:ascii="宋体" w:hAnsi="宋体" w:cs="宋体"/>
          <w:b/>
          <w:bCs/>
          <w:highlight w:val="none"/>
          <w:lang w:val="en-US"/>
        </w:rPr>
        <w:t>履约验收评价总分为100分的，甲方免收履约保证金。</w:t>
      </w:r>
    </w:p>
    <w:p>
      <w:pPr>
        <w:pStyle w:val="128"/>
        <w:adjustRightInd w:val="0"/>
        <w:snapToGrid w:val="0"/>
        <w:spacing w:before="0" w:line="360" w:lineRule="auto"/>
        <w:ind w:firstLine="480"/>
        <w:rPr>
          <w:rFonts w:hint="eastAsia" w:ascii="宋体" w:hAnsi="宋体" w:eastAsia="宋体" w:cs="宋体"/>
          <w:kern w:val="0"/>
          <w:highlight w:val="none"/>
          <w:lang w:val="zh-CN"/>
        </w:rPr>
      </w:pPr>
      <w:r>
        <w:rPr>
          <w:rFonts w:hint="default" w:ascii="宋体" w:hAnsi="宋体" w:cs="宋体"/>
          <w:kern w:val="0"/>
          <w:highlight w:val="none"/>
          <w:lang w:val="en-US"/>
        </w:rPr>
        <w:t>10</w:t>
      </w:r>
      <w:r>
        <w:rPr>
          <w:rFonts w:hint="eastAsia" w:ascii="宋体" w:hAnsi="宋体" w:eastAsia="宋体" w:cs="宋体"/>
          <w:kern w:val="0"/>
          <w:highlight w:val="none"/>
          <w:lang w:val="zh-CN"/>
        </w:rPr>
        <w:t>.</w:t>
      </w:r>
      <w:r>
        <w:rPr>
          <w:rFonts w:hint="default" w:ascii="宋体" w:hAnsi="宋体" w:cs="宋体"/>
          <w:kern w:val="0"/>
          <w:highlight w:val="none"/>
          <w:lang w:val="en-US"/>
        </w:rPr>
        <w:t>3</w:t>
      </w:r>
      <w:r>
        <w:rPr>
          <w:rFonts w:hint="eastAsia" w:ascii="宋体" w:hAnsi="宋体" w:eastAsia="宋体" w:cs="宋体"/>
          <w:kern w:val="0"/>
          <w:highlight w:val="none"/>
          <w:lang w:val="zh-CN"/>
        </w:rPr>
        <w:t>履约保证金可以用支票、汇票、本票或者银行、保险公司出具的保函等非现金形式交纳。</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1</w:t>
      </w:r>
      <w:r>
        <w:rPr>
          <w:rFonts w:hint="default" w:ascii="宋体" w:hAnsi="宋体" w:cs="宋体"/>
          <w:b/>
          <w:sz w:val="24"/>
          <w:highlight w:val="none"/>
          <w:lang w:val="en-US"/>
        </w:rPr>
        <w:t>1</w:t>
      </w:r>
      <w:r>
        <w:rPr>
          <w:rFonts w:hint="eastAsia" w:ascii="宋体" w:hAnsi="宋体" w:eastAsia="宋体" w:cs="宋体"/>
          <w:b/>
          <w:sz w:val="24"/>
          <w:highlight w:val="none"/>
        </w:rPr>
        <w:t>．延期交付与核定损失额</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如果</w:t>
      </w:r>
      <w:r>
        <w:rPr>
          <w:rFonts w:hint="eastAsia" w:ascii="宋体" w:hAnsi="宋体" w:eastAsia="宋体" w:cs="宋体"/>
          <w:kern w:val="0"/>
          <w:sz w:val="24"/>
          <w:highlight w:val="none"/>
          <w:lang w:val="zh-CN"/>
        </w:rPr>
        <w:t>乙方</w:t>
      </w:r>
      <w:r>
        <w:rPr>
          <w:rFonts w:hint="eastAsia" w:ascii="宋体" w:hAnsi="宋体" w:eastAsia="宋体" w:cs="宋体"/>
          <w:sz w:val="24"/>
          <w:highlight w:val="none"/>
        </w:rPr>
        <w:t>在正常情况下未能按合同规定的时间按期交付使用或未能按合同规定履行其义务，</w:t>
      </w:r>
      <w:r>
        <w:rPr>
          <w:rFonts w:hint="eastAsia" w:ascii="宋体" w:hAnsi="宋体" w:eastAsia="宋体" w:cs="宋体"/>
          <w:kern w:val="0"/>
          <w:sz w:val="24"/>
          <w:highlight w:val="none"/>
          <w:lang w:val="zh-CN"/>
        </w:rPr>
        <w:t>乙方</w:t>
      </w:r>
      <w:r>
        <w:rPr>
          <w:rFonts w:hint="eastAsia" w:ascii="宋体" w:hAnsi="宋体" w:eastAsia="宋体" w:cs="宋体"/>
          <w:sz w:val="24"/>
          <w:highlight w:val="none"/>
        </w:rPr>
        <w:t>将承担相应后果，甲方有权从履约</w:t>
      </w:r>
      <w:r>
        <w:rPr>
          <w:rFonts w:hint="eastAsia" w:ascii="宋体" w:hAnsi="宋体" w:eastAsia="宋体" w:cs="宋体"/>
          <w:kern w:val="0"/>
          <w:sz w:val="24"/>
          <w:highlight w:val="none"/>
          <w:lang w:val="zh-CN"/>
        </w:rPr>
        <w:t>保证金中取得补偿。</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1</w:t>
      </w:r>
      <w:r>
        <w:rPr>
          <w:rFonts w:hint="default" w:ascii="宋体" w:hAnsi="宋体" w:cs="宋体"/>
          <w:b/>
          <w:sz w:val="24"/>
          <w:highlight w:val="none"/>
          <w:lang w:val="en-US"/>
        </w:rPr>
        <w:t>2</w:t>
      </w:r>
      <w:r>
        <w:rPr>
          <w:rFonts w:hint="eastAsia" w:ascii="宋体" w:hAnsi="宋体" w:eastAsia="宋体" w:cs="宋体"/>
          <w:b/>
          <w:sz w:val="24"/>
          <w:highlight w:val="none"/>
        </w:rPr>
        <w:t>．不可抗力</w:t>
      </w:r>
    </w:p>
    <w:p>
      <w:pPr>
        <w:autoSpaceDE w:val="0"/>
        <w:autoSpaceDN w:val="0"/>
        <w:adjustRightInd w:val="0"/>
        <w:spacing w:line="360" w:lineRule="auto"/>
        <w:ind w:firstLine="480" w:firstLineChars="200"/>
        <w:jc w:val="left"/>
        <w:rPr>
          <w:rFonts w:hint="eastAsia" w:ascii="宋体" w:hAnsi="宋体" w:eastAsia="宋体" w:cs="宋体"/>
          <w:b/>
          <w:bCs/>
          <w:kern w:val="0"/>
          <w:sz w:val="24"/>
          <w:highlight w:val="none"/>
          <w:lang w:val="zh-CN"/>
        </w:rPr>
      </w:pPr>
      <w:r>
        <w:rPr>
          <w:rFonts w:hint="eastAsia" w:ascii="宋体" w:hAnsi="宋体" w:eastAsia="宋体" w:cs="宋体"/>
          <w:sz w:val="24"/>
          <w:highlight w:val="none"/>
        </w:rPr>
        <w:t>签约双方任一方由于不可抗力事故的影响而不能执行合同时，履行合同的期限应予以延长。不可抗力事故系指甲乙双方在缔结合同时所不能预见的，并且它的发生及其后果无法避免和无法克服的事故。</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3</w:t>
      </w:r>
      <w:r>
        <w:rPr>
          <w:rFonts w:hint="eastAsia" w:ascii="宋体" w:hAnsi="宋体" w:eastAsia="宋体" w:cs="宋体"/>
          <w:b/>
          <w:kern w:val="0"/>
          <w:sz w:val="24"/>
          <w:highlight w:val="none"/>
          <w:lang w:val="zh-CN"/>
        </w:rPr>
        <w:t>. 乙方的责任与义务</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3</w:t>
      </w:r>
      <w:r>
        <w:rPr>
          <w:rFonts w:hint="eastAsia" w:ascii="宋体" w:hAnsi="宋体" w:eastAsia="宋体" w:cs="宋体"/>
          <w:kern w:val="0"/>
          <w:sz w:val="24"/>
          <w:highlight w:val="none"/>
          <w:lang w:val="zh-CN"/>
        </w:rPr>
        <w:t>.1 根据投标文件的承诺向甲方委派</w:t>
      </w:r>
      <w:r>
        <w:rPr>
          <w:rFonts w:hint="eastAsia" w:ascii="宋体" w:hAnsi="宋体" w:eastAsia="宋体" w:cs="宋体"/>
          <w:sz w:val="24"/>
          <w:highlight w:val="none"/>
        </w:rPr>
        <w:t>项目负责人、技术负责人</w:t>
      </w:r>
      <w:r>
        <w:rPr>
          <w:rFonts w:hint="eastAsia" w:ascii="宋体" w:hAnsi="宋体" w:eastAsia="宋体" w:cs="宋体"/>
          <w:kern w:val="0"/>
          <w:sz w:val="24"/>
          <w:highlight w:val="none"/>
          <w:lang w:val="zh-CN"/>
        </w:rPr>
        <w:t>和专业技术人员。</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3</w:t>
      </w:r>
      <w:r>
        <w:rPr>
          <w:rFonts w:hint="eastAsia" w:ascii="宋体" w:hAnsi="宋体" w:eastAsia="宋体" w:cs="宋体"/>
          <w:kern w:val="0"/>
          <w:sz w:val="24"/>
          <w:highlight w:val="none"/>
          <w:lang w:val="zh-CN"/>
        </w:rPr>
        <w:t>.2 在履行本合同义务的期间，应运用合理的技能，认真、勤奋的工作。</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3</w:t>
      </w:r>
      <w:r>
        <w:rPr>
          <w:rFonts w:hint="eastAsia" w:ascii="宋体" w:hAnsi="宋体" w:eastAsia="宋体" w:cs="宋体"/>
          <w:kern w:val="0"/>
          <w:sz w:val="24"/>
          <w:highlight w:val="none"/>
          <w:lang w:val="zh-CN"/>
        </w:rPr>
        <w:t>.3 在本合同期内或合同终止后，未征得有关方同意，不得</w:t>
      </w:r>
      <w:r>
        <w:rPr>
          <w:rFonts w:hint="eastAsia" w:ascii="宋体" w:hAnsi="宋体" w:cs="宋体"/>
          <w:kern w:val="0"/>
          <w:sz w:val="24"/>
          <w:highlight w:val="none"/>
          <w:lang w:val="zh-CN"/>
        </w:rPr>
        <w:t>泄露</w:t>
      </w:r>
      <w:r>
        <w:rPr>
          <w:rFonts w:hint="eastAsia" w:ascii="宋体" w:hAnsi="宋体" w:eastAsia="宋体" w:cs="宋体"/>
          <w:kern w:val="0"/>
          <w:sz w:val="24"/>
          <w:highlight w:val="none"/>
          <w:lang w:val="zh-CN"/>
        </w:rPr>
        <w:t>与本项目、本合同有关的技术、资料等，不得以任何形式侵害甲方的知识产权。</w:t>
      </w:r>
    </w:p>
    <w:p>
      <w:pPr>
        <w:autoSpaceDE w:val="0"/>
        <w:autoSpaceDN w:val="0"/>
        <w:adjustRightInd w:val="0"/>
        <w:spacing w:line="360" w:lineRule="auto"/>
        <w:ind w:firstLine="480"/>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3</w:t>
      </w:r>
      <w:r>
        <w:rPr>
          <w:rFonts w:hint="eastAsia" w:ascii="宋体" w:hAnsi="宋体" w:eastAsia="宋体" w:cs="宋体"/>
          <w:kern w:val="0"/>
          <w:sz w:val="24"/>
          <w:highlight w:val="none"/>
          <w:lang w:val="zh-CN"/>
        </w:rPr>
        <w:t xml:space="preserve">.4 </w:t>
      </w:r>
      <w:r>
        <w:rPr>
          <w:rFonts w:hint="eastAsia" w:ascii="宋体" w:hAnsi="宋体" w:eastAsia="宋体" w:cs="宋体"/>
          <w:sz w:val="24"/>
          <w:highlight w:val="none"/>
        </w:rPr>
        <w:t>负责本系统项目建设及整体联动，负责处理好与其他项目实施单位的协调。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3</w:t>
      </w:r>
      <w:r>
        <w:rPr>
          <w:rFonts w:hint="eastAsia" w:ascii="宋体" w:hAnsi="宋体" w:eastAsia="宋体" w:cs="宋体"/>
          <w:kern w:val="0"/>
          <w:sz w:val="24"/>
          <w:highlight w:val="none"/>
          <w:lang w:val="zh-CN"/>
        </w:rPr>
        <w:t>.5 项目建设有关事项包括：项目规划、设计标准、规范和使用功能要求，向甲方的建议权；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3</w:t>
      </w:r>
      <w:r>
        <w:rPr>
          <w:rFonts w:hint="eastAsia" w:ascii="宋体" w:hAnsi="宋体" w:eastAsia="宋体" w:cs="宋体"/>
          <w:kern w:val="0"/>
          <w:sz w:val="24"/>
          <w:highlight w:val="none"/>
          <w:lang w:val="zh-CN"/>
        </w:rPr>
        <w:t>.6 项目设计中的技术问题，按照安全和优化的原则，提出建议，并向甲方提出书面报告。如果由于拟提出的建议会提高项目造价，或延长工期，应当事先取的甲方的同意；</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3</w:t>
      </w:r>
      <w:r>
        <w:rPr>
          <w:rFonts w:hint="eastAsia" w:ascii="宋体" w:hAnsi="宋体" w:eastAsia="宋体" w:cs="宋体"/>
          <w:kern w:val="0"/>
          <w:sz w:val="24"/>
          <w:highlight w:val="none"/>
          <w:lang w:val="zh-CN"/>
        </w:rPr>
        <w:t>.7 项目实施组织设计和技术方案，按照保质量、保工期和降低成本的原则，向甲方提出书面报告。如果由于拟提出的建议会提高项目造价，或延长工期，应当事先取得甲方的同意。</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4</w:t>
      </w:r>
      <w:r>
        <w:rPr>
          <w:rFonts w:hint="eastAsia" w:ascii="宋体" w:hAnsi="宋体" w:eastAsia="宋体" w:cs="宋体"/>
          <w:b/>
          <w:kern w:val="0"/>
          <w:sz w:val="24"/>
          <w:highlight w:val="none"/>
          <w:lang w:val="zh-CN"/>
        </w:rPr>
        <w:t>. 甲方的责任与义务</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4</w:t>
      </w:r>
      <w:r>
        <w:rPr>
          <w:rFonts w:hint="eastAsia" w:ascii="宋体" w:hAnsi="宋体" w:eastAsia="宋体" w:cs="宋体"/>
          <w:kern w:val="0"/>
          <w:sz w:val="24"/>
          <w:highlight w:val="none"/>
          <w:lang w:val="zh-CN"/>
        </w:rPr>
        <w:t>.1甲方应当主要负责项目建设的所有外部关系的联系与协调，为乙方工作提供良好的外部条件。</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4</w:t>
      </w:r>
      <w:r>
        <w:rPr>
          <w:rFonts w:hint="eastAsia" w:ascii="宋体" w:hAnsi="宋体" w:eastAsia="宋体" w:cs="宋体"/>
          <w:kern w:val="0"/>
          <w:sz w:val="24"/>
          <w:highlight w:val="none"/>
          <w:lang w:val="zh-CN"/>
        </w:rPr>
        <w:t>.2 甲方应当按合同条款双方约定的内容和时间，向乙方提供与项目建设有关的项目等资料。</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4</w:t>
      </w:r>
      <w:r>
        <w:rPr>
          <w:rFonts w:hint="eastAsia" w:ascii="宋体" w:hAnsi="宋体" w:eastAsia="宋体" w:cs="宋体"/>
          <w:kern w:val="0"/>
          <w:sz w:val="24"/>
          <w:highlight w:val="none"/>
          <w:lang w:val="zh-CN"/>
        </w:rPr>
        <w:t>.3 甲方应当按合同条款约定的时间就乙方书面提交并要求做出决定的一切事宜做出书面决定。逾期应视为甲方同意。</w:t>
      </w:r>
    </w:p>
    <w:p>
      <w:pPr>
        <w:autoSpaceDE w:val="0"/>
        <w:autoSpaceDN w:val="0"/>
        <w:adjustRightInd w:val="0"/>
        <w:spacing w:line="360" w:lineRule="auto"/>
        <w:ind w:firstLine="48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4</w:t>
      </w:r>
      <w:r>
        <w:rPr>
          <w:rFonts w:hint="eastAsia" w:ascii="宋体" w:hAnsi="宋体" w:eastAsia="宋体" w:cs="宋体"/>
          <w:kern w:val="0"/>
          <w:sz w:val="24"/>
          <w:highlight w:val="none"/>
          <w:lang w:val="zh-CN"/>
        </w:rPr>
        <w:t>.4 甲方应授权一名熟悉本项目情况、能迅速做出决定的项目代表，负责与乙方联系。更换代表，要提前通知乙方。</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4</w:t>
      </w:r>
      <w:r>
        <w:rPr>
          <w:rFonts w:hint="eastAsia" w:ascii="宋体" w:hAnsi="宋体" w:eastAsia="宋体" w:cs="宋体"/>
          <w:kern w:val="0"/>
          <w:sz w:val="24"/>
          <w:highlight w:val="none"/>
          <w:lang w:val="zh-CN"/>
        </w:rPr>
        <w:t>.5 甲方有与乙方订立补充合同的签订权。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4</w:t>
      </w:r>
      <w:r>
        <w:rPr>
          <w:rFonts w:hint="eastAsia" w:ascii="宋体" w:hAnsi="宋体" w:eastAsia="宋体" w:cs="宋体"/>
          <w:kern w:val="0"/>
          <w:sz w:val="24"/>
          <w:highlight w:val="none"/>
          <w:lang w:val="zh-CN"/>
        </w:rPr>
        <w:t>.6 甲方有对项目规模、设计标准、规范和设计使用功能要求的认定权，以及对项目建设、设计变更的审批权。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4</w:t>
      </w:r>
      <w:r>
        <w:rPr>
          <w:rFonts w:hint="eastAsia" w:ascii="宋体" w:hAnsi="宋体" w:eastAsia="宋体" w:cs="宋体"/>
          <w:kern w:val="0"/>
          <w:sz w:val="24"/>
          <w:highlight w:val="none"/>
          <w:lang w:val="zh-CN"/>
        </w:rPr>
        <w:t>.7 甲方有权要求乙方提交工作月度报告及专项报告等。</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5</w:t>
      </w:r>
      <w:r>
        <w:rPr>
          <w:rFonts w:hint="eastAsia" w:ascii="宋体" w:hAnsi="宋体" w:eastAsia="宋体" w:cs="宋体"/>
          <w:b/>
          <w:kern w:val="0"/>
          <w:sz w:val="24"/>
          <w:highlight w:val="none"/>
          <w:lang w:val="zh-CN"/>
        </w:rPr>
        <w:t xml:space="preserve">.安全施工 </w:t>
      </w:r>
    </w:p>
    <w:p>
      <w:pPr>
        <w:adjustRightInd w:val="0"/>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遵</w:t>
      </w:r>
      <w:r>
        <w:rPr>
          <w:rFonts w:hint="eastAsia" w:ascii="宋体" w:hAnsi="宋体" w:eastAsia="宋体" w:cs="宋体"/>
          <w:kern w:val="0"/>
          <w:sz w:val="24"/>
          <w:highlight w:val="none"/>
          <w:lang w:val="zh-CN"/>
        </w:rPr>
        <w:t>守国家《安全生产法》及《建筑工程安全管理条例》，执行JGJ59-99标准，并参照通用条款第20、21、22条，安全生产措施费专款专用并已包含在报价中，在施工过程中由于乙方原因而发生的人员伤亡、财产损</w:t>
      </w:r>
      <w:r>
        <w:rPr>
          <w:rFonts w:hint="eastAsia" w:ascii="宋体" w:hAnsi="宋体" w:eastAsia="宋体" w:cs="宋体"/>
          <w:sz w:val="24"/>
          <w:szCs w:val="24"/>
          <w:highlight w:val="none"/>
        </w:rPr>
        <w:t xml:space="preserve">失以及其他一切事故，其责任、费用全部由乙方承担。          </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6</w:t>
      </w:r>
      <w:r>
        <w:rPr>
          <w:rFonts w:hint="eastAsia" w:ascii="宋体" w:hAnsi="宋体" w:eastAsia="宋体" w:cs="宋体"/>
          <w:b/>
          <w:kern w:val="0"/>
          <w:sz w:val="24"/>
          <w:highlight w:val="none"/>
          <w:lang w:val="zh-CN"/>
        </w:rPr>
        <w:t>. 合同生效、变更和终止</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6</w:t>
      </w:r>
      <w:r>
        <w:rPr>
          <w:rFonts w:hint="eastAsia" w:ascii="宋体" w:hAnsi="宋体" w:eastAsia="宋体" w:cs="宋体"/>
          <w:kern w:val="0"/>
          <w:sz w:val="24"/>
          <w:highlight w:val="none"/>
          <w:lang w:val="zh-CN"/>
        </w:rPr>
        <w:t xml:space="preserve">.1 </w:t>
      </w:r>
      <w:r>
        <w:rPr>
          <w:rFonts w:hint="eastAsia" w:ascii="宋体" w:hAnsi="宋体" w:eastAsia="宋体" w:cs="宋体"/>
          <w:sz w:val="24"/>
          <w:highlight w:val="none"/>
        </w:rPr>
        <w:t>本合同经甲乙双方法定代表人或其委托人签字盖章，并且乙方向甲方缴纳合同约定金额的履约保证金，</w:t>
      </w:r>
      <w:r>
        <w:rPr>
          <w:rFonts w:hint="eastAsia" w:ascii="宋体" w:hAnsi="宋体" w:eastAsia="宋体" w:cs="宋体"/>
          <w:sz w:val="24"/>
          <w:highlight w:val="none"/>
          <w:lang w:val="zh-CN"/>
        </w:rPr>
        <w:t>合同由甲方自行在政采云平台备案生效</w:t>
      </w:r>
      <w:r>
        <w:rPr>
          <w:rFonts w:hint="eastAsia" w:ascii="宋体" w:hAnsi="宋体" w:eastAsia="宋体" w:cs="宋体"/>
          <w:sz w:val="24"/>
          <w:highlight w:val="none"/>
        </w:rPr>
        <w:t>。</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6</w:t>
      </w:r>
      <w:r>
        <w:rPr>
          <w:rFonts w:hint="eastAsia" w:ascii="宋体" w:hAnsi="宋体" w:eastAsia="宋体" w:cs="宋体"/>
          <w:kern w:val="0"/>
          <w:sz w:val="24"/>
          <w:highlight w:val="none"/>
          <w:lang w:val="zh-CN"/>
        </w:rPr>
        <w:t>.2 在乙方的责任期即合同的有效期内，如因</w:t>
      </w:r>
      <w:r>
        <w:rPr>
          <w:rFonts w:hint="eastAsia" w:ascii="宋体" w:hAnsi="宋体" w:eastAsia="宋体" w:cs="宋体"/>
          <w:sz w:val="24"/>
          <w:highlight w:val="none"/>
        </w:rPr>
        <w:t>甲方</w:t>
      </w:r>
      <w:r>
        <w:rPr>
          <w:rFonts w:hint="eastAsia" w:ascii="宋体" w:hAnsi="宋体" w:eastAsia="宋体" w:cs="宋体"/>
          <w:kern w:val="0"/>
          <w:sz w:val="24"/>
          <w:highlight w:val="none"/>
          <w:lang w:val="zh-CN"/>
        </w:rPr>
        <w:t>的原因，导致项目建设进度的推迟或延误而超过约定的日期，</w:t>
      </w:r>
      <w:r>
        <w:rPr>
          <w:rFonts w:hint="eastAsia" w:ascii="宋体" w:hAnsi="宋体" w:eastAsia="宋体" w:cs="宋体"/>
          <w:sz w:val="24"/>
          <w:highlight w:val="none"/>
        </w:rPr>
        <w:t>甲乙</w:t>
      </w:r>
      <w:r>
        <w:rPr>
          <w:rFonts w:hint="eastAsia" w:ascii="宋体" w:hAnsi="宋体" w:eastAsia="宋体" w:cs="宋体"/>
          <w:kern w:val="0"/>
          <w:sz w:val="24"/>
          <w:highlight w:val="none"/>
          <w:lang w:val="zh-CN"/>
        </w:rPr>
        <w:t>双方应协商，重新约定相应延长的合同期。因乙方的责任，导致项目建设进度的推迟或延误而超过约定的日期</w:t>
      </w:r>
      <w:r>
        <w:rPr>
          <w:rFonts w:hint="eastAsia" w:ascii="宋体" w:hAnsi="宋体" w:eastAsia="宋体" w:cs="宋体"/>
          <w:sz w:val="24"/>
          <w:highlight w:val="none"/>
          <w:lang w:val="zh-CN"/>
        </w:rPr>
        <w:t>按</w:t>
      </w:r>
      <w:r>
        <w:rPr>
          <w:rFonts w:hint="eastAsia" w:ascii="宋体" w:hAnsi="宋体" w:eastAsia="宋体" w:cs="宋体"/>
          <w:bCs/>
          <w:kern w:val="0"/>
          <w:sz w:val="24"/>
          <w:highlight w:val="none"/>
          <w:lang w:val="zh-CN"/>
        </w:rPr>
        <w:t>违约责任处罚。</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6</w:t>
      </w:r>
      <w:r>
        <w:rPr>
          <w:rFonts w:hint="eastAsia" w:ascii="宋体" w:hAnsi="宋体" w:eastAsia="宋体" w:cs="宋体"/>
          <w:kern w:val="0"/>
          <w:sz w:val="24"/>
          <w:highlight w:val="none"/>
          <w:lang w:val="zh-CN"/>
        </w:rPr>
        <w:t>.3 在合同签订后，实际情况发生变化，使得乙方不能全部或部分执行项目时，乙方应当立即通知甲方。该项目的完成时间应延长。当恢复执行项目时，是否需增加时间用于恢复执行，由双方协商确定。</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6</w:t>
      </w:r>
      <w:r>
        <w:rPr>
          <w:rFonts w:hint="eastAsia" w:ascii="宋体" w:hAnsi="宋体" w:eastAsia="宋体" w:cs="宋体"/>
          <w:kern w:val="0"/>
          <w:sz w:val="24"/>
          <w:highlight w:val="none"/>
          <w:lang w:val="zh-CN"/>
        </w:rPr>
        <w:t>.4 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7</w:t>
      </w:r>
      <w:r>
        <w:rPr>
          <w:rFonts w:hint="eastAsia" w:ascii="宋体" w:hAnsi="宋体" w:eastAsia="宋体" w:cs="宋体"/>
          <w:b/>
          <w:kern w:val="0"/>
          <w:sz w:val="24"/>
          <w:highlight w:val="none"/>
          <w:lang w:val="zh-CN"/>
        </w:rPr>
        <w:t>. 违约责任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7</w:t>
      </w:r>
      <w:r>
        <w:rPr>
          <w:rFonts w:hint="eastAsia" w:ascii="宋体" w:hAnsi="宋体" w:eastAsia="宋体" w:cs="宋体"/>
          <w:kern w:val="0"/>
          <w:sz w:val="24"/>
          <w:highlight w:val="none"/>
          <w:lang w:val="zh-CN"/>
        </w:rPr>
        <w:t>.1</w:t>
      </w:r>
      <w:r>
        <w:rPr>
          <w:rFonts w:hint="eastAsia" w:ascii="宋体" w:hAnsi="宋体" w:eastAsia="宋体" w:cs="宋体"/>
          <w:sz w:val="24"/>
          <w:highlight w:val="none"/>
        </w:rPr>
        <w:t>乙方必须在整个项目安装调试开通全部完成后半个月内，会同甲方、及有关部门共同按有关规范验收，如因产品质量和项目实施质量问题，不能按期验收或验收不合格，乙方应负责返工所造成的经济损失。由此而造成推迟交货的时间按超期天数计算，每超过一天乙方按本项目总价款的2‰赔偿甲方的经济损失。如因甲方原因造成不能按期完工，工期相应顺延。</w:t>
      </w:r>
    </w:p>
    <w:p>
      <w:pPr>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sz w:val="24"/>
          <w:highlight w:val="none"/>
        </w:rPr>
        <w:t>1</w:t>
      </w:r>
      <w:r>
        <w:rPr>
          <w:rFonts w:hint="default" w:ascii="宋体" w:hAnsi="宋体" w:cs="宋体"/>
          <w:sz w:val="24"/>
          <w:highlight w:val="none"/>
          <w:lang w:val="en-US"/>
        </w:rPr>
        <w:t>7</w:t>
      </w:r>
      <w:r>
        <w:rPr>
          <w:rFonts w:hint="eastAsia" w:ascii="宋体" w:hAnsi="宋体" w:eastAsia="宋体" w:cs="宋体"/>
          <w:sz w:val="24"/>
          <w:highlight w:val="none"/>
        </w:rPr>
        <w:t>.2 如</w:t>
      </w:r>
      <w:r>
        <w:rPr>
          <w:rFonts w:hint="eastAsia" w:ascii="宋体" w:hAnsi="宋体" w:eastAsia="宋体" w:cs="宋体"/>
          <w:kern w:val="0"/>
          <w:sz w:val="24"/>
          <w:highlight w:val="none"/>
          <w:lang w:val="zh-CN"/>
        </w:rPr>
        <w:t>在合同规定的工期内，达不到项目规定的技术指标，乙方应当承担违约责任。承担方式和违约金额如下：超期30天内，每天扣合同金额的0.5‰；累计超期30天，甲方有权终止执行合同，并没收履约保证金。</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1</w:t>
      </w:r>
      <w:r>
        <w:rPr>
          <w:rFonts w:hint="default" w:ascii="宋体" w:hAnsi="宋体" w:cs="宋体"/>
          <w:sz w:val="24"/>
          <w:highlight w:val="none"/>
          <w:lang w:val="en-US"/>
        </w:rPr>
        <w:t>7</w:t>
      </w:r>
      <w:r>
        <w:rPr>
          <w:rFonts w:hint="eastAsia" w:ascii="宋体" w:hAnsi="宋体" w:eastAsia="宋体" w:cs="宋体"/>
          <w:sz w:val="24"/>
          <w:highlight w:val="none"/>
          <w:lang w:val="zh-CN"/>
        </w:rPr>
        <w:t>.3 如因乙方原因达不到合格等级的，则必须无条件返工至合格，并全额没收履约保证金。</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sz w:val="24"/>
          <w:highlight w:val="none"/>
        </w:rPr>
        <w:t>1</w:t>
      </w:r>
      <w:r>
        <w:rPr>
          <w:rFonts w:hint="default" w:ascii="宋体" w:hAnsi="宋体" w:cs="宋体"/>
          <w:sz w:val="24"/>
          <w:highlight w:val="none"/>
          <w:lang w:val="en-US"/>
        </w:rPr>
        <w:t>7</w:t>
      </w:r>
      <w:r>
        <w:rPr>
          <w:rFonts w:hint="eastAsia" w:ascii="宋体" w:hAnsi="宋体" w:eastAsia="宋体" w:cs="宋体"/>
          <w:sz w:val="24"/>
          <w:highlight w:val="none"/>
        </w:rPr>
        <w:t>.4 乙方承诺的项目</w:t>
      </w:r>
      <w:r>
        <w:rPr>
          <w:rFonts w:hint="eastAsia" w:ascii="宋体" w:hAnsi="宋体" w:cs="宋体"/>
          <w:sz w:val="24"/>
          <w:highlight w:val="none"/>
          <w:lang w:eastAsia="zh-CN"/>
        </w:rPr>
        <w:t>经理、项目负责人、项目技术人员</w:t>
      </w:r>
      <w:r>
        <w:rPr>
          <w:rFonts w:hint="eastAsia" w:ascii="宋体" w:hAnsi="宋体" w:eastAsia="宋体" w:cs="宋体"/>
          <w:sz w:val="24"/>
          <w:highlight w:val="none"/>
        </w:rPr>
        <w:t>必须全部按投标承诺名单及时到位，项目负责人月到位率不足80%的，甲方有权中止合同，没收履约保证金，同时乙方赔偿甲方由此造成的损失；项目经理月到位率达不到90%的，或者投标承诺的项目班子管理人员擅自更换的，每人次扣除人员履约保证金的1%；项目班子管理人员(除项目负责人外)月到位率达不到90%的，每人次扣除人员履约保证金的1%。乙方应严格依法经营，严禁将项目转包。发现私自转包或挂靠经营现象，所有履约保证金归甲方，同时赔偿甲方损失，并责令退出工地。</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w:t>
      </w:r>
      <w:r>
        <w:rPr>
          <w:rFonts w:hint="default" w:ascii="宋体" w:hAnsi="宋体" w:cs="宋体"/>
          <w:sz w:val="24"/>
          <w:highlight w:val="none"/>
          <w:lang w:val="en-US"/>
        </w:rPr>
        <w:t>7</w:t>
      </w:r>
      <w:r>
        <w:rPr>
          <w:rFonts w:hint="eastAsia" w:ascii="宋体" w:hAnsi="宋体" w:eastAsia="宋体" w:cs="宋体"/>
          <w:sz w:val="24"/>
          <w:highlight w:val="none"/>
        </w:rPr>
        <w:t>.5因乙方原因造成采购单位</w:t>
      </w:r>
      <w:r>
        <w:rPr>
          <w:rFonts w:hint="eastAsia" w:ascii="宋体" w:hAnsi="宋体" w:cs="宋体"/>
          <w:sz w:val="24"/>
          <w:highlight w:val="none"/>
          <w:lang w:eastAsia="zh-CN"/>
        </w:rPr>
        <w:t>平台系统</w:t>
      </w:r>
      <w:r>
        <w:rPr>
          <w:rFonts w:hint="eastAsia" w:ascii="宋体" w:hAnsi="宋体" w:eastAsia="宋体" w:cs="宋体"/>
          <w:sz w:val="24"/>
          <w:highlight w:val="none"/>
        </w:rPr>
        <w:t>不能正常运行，酿成重大事故（正常工作日系统中断一天或一天以上）的，将承担全部法律责任，并赔偿经济损失，赔偿金额最高为项目总价的50%。</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sz w:val="24"/>
          <w:highlight w:val="none"/>
        </w:rPr>
        <w:t>1</w:t>
      </w:r>
      <w:r>
        <w:rPr>
          <w:rFonts w:hint="default" w:ascii="宋体" w:hAnsi="宋体" w:cs="宋体"/>
          <w:sz w:val="24"/>
          <w:highlight w:val="none"/>
          <w:lang w:val="en-US"/>
        </w:rPr>
        <w:t>7</w:t>
      </w:r>
      <w:r>
        <w:rPr>
          <w:rFonts w:hint="eastAsia" w:ascii="宋体" w:hAnsi="宋体" w:eastAsia="宋体" w:cs="宋体"/>
          <w:sz w:val="24"/>
          <w:highlight w:val="none"/>
        </w:rPr>
        <w:t xml:space="preserve">.6 </w:t>
      </w:r>
      <w:r>
        <w:rPr>
          <w:rFonts w:hint="eastAsia" w:ascii="宋体" w:hAnsi="宋体" w:eastAsia="宋体" w:cs="宋体"/>
          <w:kern w:val="0"/>
          <w:sz w:val="24"/>
          <w:highlight w:val="none"/>
          <w:lang w:val="zh-CN"/>
        </w:rPr>
        <w:t>履行本合同的过程中，确因在现有水平和条件下难以克服的技术困难，导致部分或全部失败所造成的损失，风险责任由乙方全部承担。</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sz w:val="24"/>
          <w:highlight w:val="none"/>
        </w:rPr>
        <w:t>1</w:t>
      </w:r>
      <w:r>
        <w:rPr>
          <w:rFonts w:hint="default" w:ascii="宋体" w:hAnsi="宋体" w:cs="宋体"/>
          <w:sz w:val="24"/>
          <w:highlight w:val="none"/>
          <w:lang w:val="en-US"/>
        </w:rPr>
        <w:t>7</w:t>
      </w:r>
      <w:r>
        <w:rPr>
          <w:rFonts w:hint="eastAsia" w:ascii="宋体" w:hAnsi="宋体" w:eastAsia="宋体" w:cs="宋体"/>
          <w:sz w:val="24"/>
          <w:highlight w:val="none"/>
        </w:rPr>
        <w:t xml:space="preserve">.7 </w:t>
      </w:r>
      <w:r>
        <w:rPr>
          <w:rFonts w:hint="eastAsia" w:ascii="宋体" w:hAnsi="宋体" w:eastAsia="宋体" w:cs="宋体"/>
          <w:kern w:val="0"/>
          <w:sz w:val="24"/>
          <w:highlight w:val="none"/>
          <w:lang w:val="zh-CN"/>
        </w:rPr>
        <w:t>因不可抗力导致合同不能全部或部分履行，</w:t>
      </w:r>
      <w:r>
        <w:rPr>
          <w:rFonts w:hint="eastAsia" w:ascii="宋体" w:hAnsi="宋体" w:eastAsia="宋体" w:cs="宋体"/>
          <w:sz w:val="24"/>
          <w:highlight w:val="none"/>
        </w:rPr>
        <w:t>甲、</w:t>
      </w:r>
      <w:r>
        <w:rPr>
          <w:rFonts w:hint="eastAsia" w:ascii="宋体" w:hAnsi="宋体" w:eastAsia="宋体" w:cs="宋体"/>
          <w:kern w:val="0"/>
          <w:sz w:val="24"/>
          <w:highlight w:val="none"/>
          <w:lang w:val="zh-CN"/>
        </w:rPr>
        <w:t>乙双方协商解决。</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8</w:t>
      </w:r>
      <w:r>
        <w:rPr>
          <w:rFonts w:hint="eastAsia" w:ascii="宋体" w:hAnsi="宋体" w:eastAsia="宋体" w:cs="宋体"/>
          <w:b/>
          <w:kern w:val="0"/>
          <w:sz w:val="24"/>
          <w:highlight w:val="none"/>
          <w:lang w:val="zh-CN"/>
        </w:rPr>
        <w:t>.项目质量</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.1 乙方保证按ISO9001系列标准或相应的质量管理和质量保证体系，对项目安装、调试、检验等各个环节进行严格的质量和质量控制。</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.2 乙方须严格按设计方案和国家现行项目实施验收规范有关规定，精心组织施工、记录、检验。</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.3 项目的质量、技术标准如在招标文件和投标文件中无相应说明，则按中华人民共和国有关部门颁布的最新的国家或专业（部）标准或相应的国际标准执行。没有国家或专业（部）标准的，按企业标准执行。</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.4 项目竣工验收：应按设计方案、技术交底、会审纪要、设计变更通知单、国家和（部）颁发的有关规范和质量检验评定标准、相关的国际标准为依据，并有相关专业测试单位出具相应的测验结论报告。</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.5 项目实施过程中应严格做好安全防范措施，如乙方项目实施人员在施工中违反操作规定造成人员伤亡事故或施工现场防范措施设置不明造成人员伤害事故，一切责任均有乙方负责。</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9</w:t>
      </w:r>
      <w:r>
        <w:rPr>
          <w:rFonts w:hint="eastAsia" w:ascii="宋体" w:hAnsi="宋体" w:eastAsia="宋体" w:cs="宋体"/>
          <w:b/>
          <w:kern w:val="0"/>
          <w:sz w:val="24"/>
          <w:highlight w:val="none"/>
          <w:lang w:val="zh-CN"/>
        </w:rPr>
        <w:t>. 争议处理</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kern w:val="0"/>
          <w:sz w:val="24"/>
          <w:highlight w:val="none"/>
          <w:lang w:val="zh-CN"/>
        </w:rPr>
        <w:t>.1 合同在履行过程中发生争议时，甲方与乙方及时协商解决。协商不成时，</w:t>
      </w:r>
      <w:r>
        <w:rPr>
          <w:rFonts w:hint="eastAsia" w:ascii="宋体" w:hAnsi="宋体" w:eastAsia="宋体" w:cs="宋体"/>
          <w:sz w:val="24"/>
          <w:szCs w:val="24"/>
          <w:highlight w:val="none"/>
        </w:rPr>
        <w:t>依法向人民法院起诉。</w:t>
      </w:r>
    </w:p>
    <w:p>
      <w:pPr>
        <w:spacing w:line="360" w:lineRule="auto"/>
        <w:ind w:firstLine="480" w:firstLineChars="200"/>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9</w:t>
      </w:r>
      <w:r>
        <w:rPr>
          <w:rFonts w:hint="eastAsia" w:ascii="宋体" w:hAnsi="宋体" w:eastAsia="宋体" w:cs="宋体"/>
          <w:kern w:val="0"/>
          <w:sz w:val="24"/>
          <w:highlight w:val="none"/>
          <w:lang w:val="zh-CN"/>
        </w:rPr>
        <w:t>.2 对于因违反或终止合同而引起的损失、损害的赔偿，由甲方与乙方友好协商</w:t>
      </w:r>
    </w:p>
    <w:p>
      <w:pPr>
        <w:spacing w:line="360" w:lineRule="auto"/>
        <w:rPr>
          <w:rFonts w:hint="eastAsia" w:ascii="宋体" w:hAnsi="宋体" w:eastAsia="宋体" w:cs="宋体"/>
          <w:b/>
          <w:kern w:val="0"/>
          <w:sz w:val="24"/>
          <w:highlight w:val="none"/>
          <w:lang w:val="zh-CN"/>
        </w:rPr>
      </w:pPr>
      <w:r>
        <w:rPr>
          <w:rFonts w:hint="eastAsia" w:ascii="宋体" w:hAnsi="宋体" w:eastAsia="宋体" w:cs="宋体"/>
          <w:kern w:val="0"/>
          <w:sz w:val="24"/>
          <w:highlight w:val="none"/>
          <w:lang w:val="zh-CN"/>
        </w:rPr>
        <w:t>解决，经协商仍未能达成一致的，</w:t>
      </w:r>
      <w:r>
        <w:rPr>
          <w:rFonts w:hint="eastAsia" w:ascii="宋体" w:hAnsi="宋体" w:eastAsia="宋体" w:cs="宋体"/>
          <w:sz w:val="24"/>
          <w:szCs w:val="24"/>
          <w:highlight w:val="none"/>
        </w:rPr>
        <w:t>依法向人民法院起诉。</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default" w:ascii="宋体" w:hAnsi="宋体" w:cs="宋体"/>
          <w:b/>
          <w:kern w:val="0"/>
          <w:sz w:val="24"/>
          <w:highlight w:val="none"/>
          <w:lang w:val="en-US"/>
        </w:rPr>
        <w:t>20</w:t>
      </w:r>
      <w:r>
        <w:rPr>
          <w:rFonts w:hint="eastAsia" w:ascii="宋体" w:hAnsi="宋体" w:eastAsia="宋体" w:cs="宋体"/>
          <w:b/>
          <w:kern w:val="0"/>
          <w:sz w:val="24"/>
          <w:highlight w:val="none"/>
          <w:lang w:val="zh-CN"/>
        </w:rPr>
        <w:t>. 其他</w:t>
      </w:r>
    </w:p>
    <w:p>
      <w:pPr>
        <w:autoSpaceDE w:val="0"/>
        <w:autoSpaceDN w:val="0"/>
        <w:adjustRightInd w:val="0"/>
        <w:spacing w:line="360" w:lineRule="auto"/>
        <w:jc w:val="left"/>
        <w:rPr>
          <w:rFonts w:hint="eastAsia" w:ascii="宋体" w:hAnsi="宋体" w:eastAsia="宋体" w:cs="宋体"/>
          <w:kern w:val="0"/>
          <w:sz w:val="24"/>
          <w:highlight w:val="none"/>
          <w:lang w:val="zh-CN"/>
        </w:rPr>
      </w:pPr>
      <w:r>
        <w:rPr>
          <w:rFonts w:hint="eastAsia" w:ascii="宋体" w:hAnsi="宋体" w:eastAsia="宋体" w:cs="宋体"/>
          <w:b/>
          <w:kern w:val="0"/>
          <w:sz w:val="24"/>
          <w:highlight w:val="none"/>
          <w:lang w:val="zh-CN"/>
        </w:rPr>
        <w:t xml:space="preserve">    </w:t>
      </w:r>
      <w:r>
        <w:rPr>
          <w:rFonts w:hint="default" w:ascii="宋体" w:hAnsi="宋体" w:cs="宋体"/>
          <w:b w:val="0"/>
          <w:bCs/>
          <w:kern w:val="0"/>
          <w:sz w:val="24"/>
          <w:highlight w:val="none"/>
          <w:lang w:val="en-US"/>
        </w:rPr>
        <w:t>20</w:t>
      </w:r>
      <w:r>
        <w:rPr>
          <w:rFonts w:hint="eastAsia" w:ascii="宋体" w:hAnsi="宋体" w:eastAsia="宋体" w:cs="宋体"/>
          <w:kern w:val="0"/>
          <w:sz w:val="24"/>
          <w:highlight w:val="none"/>
          <w:lang w:val="zh-CN"/>
        </w:rPr>
        <w:t>.1 本合同（□是  □否）为可融资合同（若为可融资合同，则甲方必须将采购资金支付到合同中指定的融资银行及收款账号，开户银行：     账号：        ）。关于中小企业信用融资事项可</w:t>
      </w:r>
      <w:r>
        <w:rPr>
          <w:rFonts w:hint="eastAsia" w:ascii="宋体" w:hAnsi="宋体" w:cs="宋体"/>
          <w:kern w:val="0"/>
          <w:sz w:val="24"/>
          <w:highlight w:val="none"/>
          <w:lang w:val="zh-CN"/>
        </w:rPr>
        <w:t>登录</w:t>
      </w:r>
      <w:r>
        <w:rPr>
          <w:rFonts w:hint="eastAsia" w:ascii="宋体" w:hAnsi="宋体" w:eastAsia="宋体" w:cs="宋体"/>
          <w:kern w:val="0"/>
          <w:sz w:val="24"/>
          <w:highlight w:val="none"/>
          <w:lang w:val="zh-CN"/>
        </w:rPr>
        <w:t>杭州市政府采购网“中小企业信用融资”专栏进行查询。</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default" w:ascii="宋体" w:hAnsi="宋体" w:cs="宋体"/>
          <w:kern w:val="0"/>
          <w:sz w:val="24"/>
          <w:highlight w:val="none"/>
          <w:lang w:val="en-US"/>
        </w:rPr>
        <w:t>20</w:t>
      </w:r>
      <w:r>
        <w:rPr>
          <w:rFonts w:hint="eastAsia" w:ascii="宋体" w:hAnsi="宋体" w:eastAsia="宋体" w:cs="宋体"/>
          <w:kern w:val="0"/>
          <w:sz w:val="24"/>
          <w:highlight w:val="none"/>
          <w:lang w:val="zh-CN"/>
        </w:rPr>
        <w:t>.2 未经过甲方的书面同意，乙方不得转让其应履行的合同项下的义务，和将部分合同项下的义务分包给其他单位完成。</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default" w:ascii="宋体" w:hAnsi="宋体" w:cs="宋体"/>
          <w:kern w:val="0"/>
          <w:sz w:val="24"/>
          <w:highlight w:val="none"/>
          <w:lang w:val="en-US"/>
        </w:rPr>
        <w:t>20</w:t>
      </w:r>
      <w:r>
        <w:rPr>
          <w:rFonts w:hint="eastAsia" w:ascii="宋体" w:hAnsi="宋体" w:eastAsia="宋体" w:cs="宋体"/>
          <w:kern w:val="0"/>
          <w:sz w:val="24"/>
          <w:highlight w:val="none"/>
          <w:lang w:val="zh-CN"/>
        </w:rPr>
        <w:t>.3 乙方不得参与可能与合同规定的与甲方的利益相冲突的任何活动。</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default" w:ascii="宋体" w:hAnsi="宋体" w:cs="宋体"/>
          <w:kern w:val="0"/>
          <w:sz w:val="24"/>
          <w:highlight w:val="none"/>
          <w:lang w:val="en-US"/>
        </w:rPr>
        <w:t>20</w:t>
      </w:r>
      <w:r>
        <w:rPr>
          <w:rFonts w:hint="eastAsia" w:ascii="宋体" w:hAnsi="宋体" w:eastAsia="宋体" w:cs="宋体"/>
          <w:kern w:val="0"/>
          <w:sz w:val="24"/>
          <w:highlight w:val="none"/>
          <w:lang w:val="zh-CN"/>
        </w:rPr>
        <w:t>.4 乙方人员在甲方场地工作时，应遵守甲方相关规章、制度。</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default" w:ascii="宋体" w:hAnsi="宋体" w:cs="宋体"/>
          <w:kern w:val="0"/>
          <w:sz w:val="24"/>
          <w:highlight w:val="none"/>
          <w:lang w:val="en-US"/>
        </w:rPr>
        <w:t>20</w:t>
      </w:r>
      <w:r>
        <w:rPr>
          <w:rFonts w:hint="eastAsia" w:ascii="宋体" w:hAnsi="宋体" w:eastAsia="宋体" w:cs="宋体"/>
          <w:kern w:val="0"/>
          <w:sz w:val="24"/>
          <w:highlight w:val="none"/>
          <w:lang w:val="zh-CN"/>
        </w:rPr>
        <w:t xml:space="preserve">.5 </w:t>
      </w:r>
      <w:r>
        <w:rPr>
          <w:rFonts w:hint="eastAsia" w:ascii="宋体" w:hAnsi="宋体" w:eastAsia="宋体" w:cs="宋体"/>
          <w:sz w:val="24"/>
          <w:highlight w:val="none"/>
        </w:rPr>
        <w:t>本合同任何一方给另一方的通知，都应以书面或电传/传真/电报的形式发送，而另一方应以书面形式确认并发送到对方明确的地址。</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default" w:ascii="宋体" w:hAnsi="宋体" w:cs="宋体"/>
          <w:kern w:val="0"/>
          <w:sz w:val="24"/>
          <w:highlight w:val="none"/>
          <w:lang w:val="en-US"/>
        </w:rPr>
        <w:t>20</w:t>
      </w:r>
      <w:r>
        <w:rPr>
          <w:rFonts w:hint="eastAsia" w:ascii="宋体" w:hAnsi="宋体" w:eastAsia="宋体" w:cs="宋体"/>
          <w:kern w:val="0"/>
          <w:sz w:val="24"/>
          <w:highlight w:val="none"/>
          <w:lang w:val="zh-CN"/>
        </w:rPr>
        <w:t xml:space="preserve">.6 </w:t>
      </w:r>
      <w:r>
        <w:rPr>
          <w:rFonts w:hint="eastAsia" w:ascii="宋体" w:hAnsi="宋体" w:eastAsia="宋体" w:cs="宋体"/>
          <w:sz w:val="24"/>
          <w:highlight w:val="none"/>
        </w:rPr>
        <w:t>合同履行期内甲乙双方均不得随意变更或解除合同。合同若有未尽事宜，需经双方共同协商，订立补充协议，补充协议与本合同有同等法律效力。</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default" w:ascii="宋体" w:hAnsi="宋体" w:cs="宋体"/>
          <w:kern w:val="0"/>
          <w:sz w:val="24"/>
          <w:highlight w:val="none"/>
          <w:lang w:val="en-US"/>
        </w:rPr>
        <w:t>20</w:t>
      </w:r>
      <w:r>
        <w:rPr>
          <w:rFonts w:hint="eastAsia" w:ascii="宋体" w:hAnsi="宋体" w:eastAsia="宋体" w:cs="宋体"/>
          <w:kern w:val="0"/>
          <w:sz w:val="24"/>
          <w:highlight w:val="none"/>
          <w:lang w:val="zh-CN"/>
        </w:rPr>
        <w:t xml:space="preserve">.7 </w:t>
      </w:r>
      <w:r>
        <w:rPr>
          <w:rFonts w:hint="eastAsia" w:ascii="宋体" w:hAnsi="宋体" w:eastAsia="宋体" w:cs="宋体"/>
          <w:sz w:val="24"/>
          <w:highlight w:val="none"/>
        </w:rPr>
        <w:t>招标文件[编号：</w:t>
      </w:r>
      <w:r>
        <w:rPr>
          <w:rFonts w:hint="eastAsia" w:ascii="宋体" w:hAnsi="宋体" w:cs="宋体"/>
          <w:sz w:val="24"/>
          <w:highlight w:val="none"/>
          <w:lang w:eastAsia="zh-CN"/>
        </w:rPr>
        <w:t>XHZFCG-2023-G-20</w:t>
      </w:r>
      <w:r>
        <w:rPr>
          <w:rFonts w:hint="eastAsia" w:ascii="宋体" w:hAnsi="宋体" w:eastAsia="宋体" w:cs="宋体"/>
          <w:sz w:val="24"/>
          <w:highlight w:val="none"/>
        </w:rPr>
        <w:t>]、投标文件及评标过程中形成的文字资料、询标纪要均作为本合同的组成部分，具有同等效力。</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default" w:ascii="宋体" w:hAnsi="宋体" w:cs="宋体"/>
          <w:kern w:val="0"/>
          <w:sz w:val="24"/>
          <w:highlight w:val="none"/>
          <w:lang w:val="en-US"/>
        </w:rPr>
        <w:t>20</w:t>
      </w:r>
      <w:r>
        <w:rPr>
          <w:rFonts w:hint="eastAsia" w:ascii="宋体" w:hAnsi="宋体" w:eastAsia="宋体" w:cs="宋体"/>
          <w:kern w:val="0"/>
          <w:sz w:val="24"/>
          <w:highlight w:val="none"/>
          <w:lang w:val="zh-CN"/>
        </w:rPr>
        <w:t xml:space="preserve">.8 </w:t>
      </w:r>
      <w:r>
        <w:rPr>
          <w:rFonts w:hint="eastAsia" w:ascii="宋体" w:hAnsi="宋体" w:eastAsia="宋体" w:cs="宋体"/>
          <w:sz w:val="24"/>
          <w:highlight w:val="none"/>
        </w:rPr>
        <w:t>本合同经甲乙双方法定代表人或其委托人签字盖章，并且乙方向甲方缴纳合同约定金额的履约保证金，</w:t>
      </w:r>
      <w:r>
        <w:rPr>
          <w:rFonts w:hint="eastAsia" w:ascii="宋体" w:hAnsi="宋体" w:eastAsia="宋体" w:cs="宋体"/>
          <w:sz w:val="24"/>
          <w:highlight w:val="none"/>
          <w:lang w:val="zh-CN"/>
        </w:rPr>
        <w:t>合同由甲方自行在政采云平台备案生效。</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default" w:ascii="宋体" w:hAnsi="宋体" w:cs="宋体"/>
          <w:kern w:val="0"/>
          <w:sz w:val="24"/>
          <w:highlight w:val="none"/>
          <w:lang w:val="en-US"/>
        </w:rPr>
        <w:t>20</w:t>
      </w:r>
      <w:r>
        <w:rPr>
          <w:rFonts w:hint="eastAsia" w:ascii="宋体" w:hAnsi="宋体" w:eastAsia="宋体" w:cs="宋体"/>
          <w:kern w:val="0"/>
          <w:sz w:val="24"/>
          <w:highlight w:val="none"/>
          <w:lang w:val="zh-CN"/>
        </w:rPr>
        <w:t xml:space="preserve">.9 </w:t>
      </w:r>
      <w:r>
        <w:rPr>
          <w:rFonts w:hint="eastAsia" w:ascii="宋体" w:hAnsi="宋体" w:eastAsia="宋体" w:cs="宋体"/>
          <w:sz w:val="24"/>
          <w:highlight w:val="none"/>
        </w:rPr>
        <w:t>本合同一式伍份，甲方、乙方各执贰份，采购机构执壹份。</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default" w:ascii="宋体" w:hAnsi="宋体" w:cs="宋体"/>
          <w:sz w:val="24"/>
          <w:highlight w:val="none"/>
          <w:lang w:val="en-US"/>
        </w:rPr>
        <w:t>20</w:t>
      </w:r>
      <w:r>
        <w:rPr>
          <w:rFonts w:hint="eastAsia" w:ascii="宋体" w:hAnsi="宋体" w:eastAsia="宋体" w:cs="宋体"/>
          <w:sz w:val="24"/>
          <w:highlight w:val="none"/>
        </w:rPr>
        <w:t>.10 适用法律：本合同应按照中华人民共和国的法律进行解释。</w:t>
      </w:r>
    </w:p>
    <w:p>
      <w:pPr>
        <w:autoSpaceDE w:val="0"/>
        <w:autoSpaceDN w:val="0"/>
        <w:adjustRightInd w:val="0"/>
        <w:spacing w:line="360" w:lineRule="auto"/>
        <w:ind w:firstLine="360" w:firstLineChars="150"/>
        <w:jc w:val="left"/>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default" w:ascii="宋体" w:hAnsi="宋体" w:cs="宋体"/>
          <w:sz w:val="24"/>
          <w:highlight w:val="none"/>
          <w:lang w:val="en-US"/>
        </w:rPr>
        <w:t>20</w:t>
      </w:r>
      <w:r>
        <w:rPr>
          <w:rFonts w:hint="eastAsia" w:ascii="宋体" w:hAnsi="宋体" w:eastAsia="宋体" w:cs="宋体"/>
          <w:sz w:val="24"/>
          <w:highlight w:val="none"/>
        </w:rPr>
        <w:t>.11 以上是合同的主要条款，合同条款包括但不止于以上条款（如安全生产责任状以及廉政合同</w:t>
      </w:r>
      <w:r>
        <w:rPr>
          <w:rFonts w:hint="eastAsia" w:ascii="宋体" w:hAnsi="宋体" w:cs="宋体"/>
          <w:sz w:val="24"/>
          <w:highlight w:val="none"/>
          <w:lang w:eastAsia="zh-CN"/>
        </w:rPr>
        <w:t>等</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甲方（盖章）：                             乙方（盖章）：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法定代表人：                              </w:t>
      </w:r>
      <w:r>
        <w:rPr>
          <w:rFonts w:hint="default" w:ascii="宋体" w:hAnsi="宋体" w:cs="宋体"/>
          <w:sz w:val="24"/>
          <w:highlight w:val="none"/>
          <w:lang w:val="en-US"/>
        </w:rPr>
        <w:t xml:space="preserve"> </w:t>
      </w:r>
      <w:r>
        <w:rPr>
          <w:rFonts w:hint="eastAsia" w:ascii="宋体" w:hAnsi="宋体" w:eastAsia="宋体" w:cs="宋体"/>
          <w:sz w:val="24"/>
          <w:highlight w:val="none"/>
        </w:rPr>
        <w:t xml:space="preserve">法定代表人：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或受委托人（签字）：                       或受委托人（签字）：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联系人：                                 </w:t>
      </w:r>
      <w:r>
        <w:rPr>
          <w:rFonts w:hint="default" w:ascii="宋体" w:hAnsi="宋体" w:cs="宋体"/>
          <w:sz w:val="24"/>
          <w:highlight w:val="none"/>
          <w:lang w:val="en-US"/>
        </w:rPr>
        <w:t xml:space="preserve"> </w:t>
      </w:r>
      <w:r>
        <w:rPr>
          <w:rFonts w:hint="eastAsia" w:ascii="宋体" w:hAnsi="宋体" w:eastAsia="宋体" w:cs="宋体"/>
          <w:sz w:val="24"/>
          <w:highlight w:val="none"/>
        </w:rPr>
        <w:t xml:space="preserve"> 联系人：</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地址：                                    </w:t>
      </w:r>
      <w:r>
        <w:rPr>
          <w:rFonts w:hint="default" w:ascii="宋体" w:hAnsi="宋体" w:cs="宋体"/>
          <w:sz w:val="24"/>
          <w:highlight w:val="none"/>
          <w:lang w:val="en-US"/>
        </w:rPr>
        <w:t xml:space="preserve"> </w:t>
      </w:r>
      <w:r>
        <w:rPr>
          <w:rFonts w:hint="eastAsia" w:ascii="宋体" w:hAnsi="宋体" w:eastAsia="宋体" w:cs="宋体"/>
          <w:sz w:val="24"/>
          <w:highlight w:val="none"/>
        </w:rPr>
        <w:t xml:space="preserve">地址：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电话：                                   </w:t>
      </w:r>
      <w:r>
        <w:rPr>
          <w:rFonts w:hint="default" w:ascii="宋体" w:hAnsi="宋体" w:cs="宋体"/>
          <w:sz w:val="24"/>
          <w:highlight w:val="none"/>
          <w:lang w:val="en-US"/>
        </w:rPr>
        <w:t xml:space="preserve"> </w:t>
      </w:r>
      <w:r>
        <w:rPr>
          <w:rFonts w:hint="eastAsia" w:ascii="宋体" w:hAnsi="宋体" w:eastAsia="宋体" w:cs="宋体"/>
          <w:sz w:val="24"/>
          <w:highlight w:val="none"/>
        </w:rPr>
        <w:t xml:space="preserve"> 电话：</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传真：                                    </w:t>
      </w:r>
      <w:r>
        <w:rPr>
          <w:rFonts w:hint="default" w:ascii="宋体" w:hAnsi="宋体" w:cs="宋体"/>
          <w:sz w:val="24"/>
          <w:highlight w:val="none"/>
          <w:lang w:val="en-US"/>
        </w:rPr>
        <w:t xml:space="preserve"> </w:t>
      </w:r>
      <w:r>
        <w:rPr>
          <w:rFonts w:hint="eastAsia" w:ascii="宋体" w:hAnsi="宋体" w:eastAsia="宋体" w:cs="宋体"/>
          <w:sz w:val="24"/>
          <w:highlight w:val="none"/>
        </w:rPr>
        <w:t>传真：</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开户银行：                                </w:t>
      </w:r>
      <w:r>
        <w:rPr>
          <w:rFonts w:hint="default" w:ascii="宋体" w:hAnsi="宋体" w:cs="宋体"/>
          <w:sz w:val="24"/>
          <w:highlight w:val="none"/>
          <w:lang w:val="en-US"/>
        </w:rPr>
        <w:t xml:space="preserve"> </w:t>
      </w:r>
      <w:r>
        <w:rPr>
          <w:rFonts w:hint="eastAsia" w:ascii="宋体" w:hAnsi="宋体" w:eastAsia="宋体" w:cs="宋体"/>
          <w:sz w:val="24"/>
          <w:highlight w:val="none"/>
        </w:rPr>
        <w:t xml:space="preserve">开户银行：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帐号：                                    </w:t>
      </w:r>
      <w:r>
        <w:rPr>
          <w:rFonts w:hint="default" w:ascii="宋体" w:hAnsi="宋体" w:cs="宋体"/>
          <w:sz w:val="24"/>
          <w:highlight w:val="none"/>
          <w:lang w:val="en-US"/>
        </w:rPr>
        <w:t xml:space="preserve"> </w:t>
      </w:r>
      <w:r>
        <w:rPr>
          <w:rFonts w:hint="eastAsia" w:ascii="宋体" w:hAnsi="宋体" w:eastAsia="宋体" w:cs="宋体"/>
          <w:sz w:val="24"/>
          <w:highlight w:val="none"/>
        </w:rPr>
        <w:t>帐号：</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w:t>
      </w:r>
    </w:p>
    <w:p>
      <w:pPr>
        <w:spacing w:line="360" w:lineRule="auto"/>
        <w:ind w:firstLine="5280" w:firstLineChars="2200"/>
        <w:rPr>
          <w:rFonts w:hint="eastAsia" w:ascii="宋体" w:hAnsi="宋体" w:eastAsia="宋体" w:cs="宋体"/>
          <w:sz w:val="24"/>
          <w:highlight w:val="none"/>
        </w:rPr>
      </w:pPr>
      <w:r>
        <w:rPr>
          <w:rFonts w:hint="eastAsia" w:ascii="宋体" w:hAnsi="宋体" w:eastAsia="宋体" w:cs="宋体"/>
          <w:sz w:val="24"/>
          <w:highlight w:val="none"/>
        </w:rPr>
        <w:t>签 约 地：</w:t>
      </w:r>
    </w:p>
    <w:p>
      <w:pPr>
        <w:spacing w:line="360" w:lineRule="auto"/>
        <w:ind w:left="-420" w:leftChars="-200" w:right="-420" w:rightChars="-200" w:firstLine="480" w:firstLineChars="200"/>
        <w:rPr>
          <w:rFonts w:ascii="宋体" w:hAnsi="宋体" w:cs="宋体"/>
          <w:color w:val="auto"/>
          <w:sz w:val="24"/>
        </w:rPr>
      </w:pPr>
      <w:r>
        <w:rPr>
          <w:rFonts w:hint="eastAsia" w:ascii="宋体" w:hAnsi="宋体" w:eastAsia="宋体" w:cs="宋体"/>
          <w:sz w:val="24"/>
          <w:highlight w:val="none"/>
        </w:rPr>
        <w:t xml:space="preserve">                                            签约日期：   年   月</w:t>
      </w:r>
      <w:r>
        <w:rPr>
          <w:rFonts w:hint="default" w:ascii="宋体" w:hAnsi="宋体" w:cs="宋体"/>
          <w:sz w:val="24"/>
          <w:highlight w:val="none"/>
          <w:lang w:val="en-US"/>
        </w:rPr>
        <w:t xml:space="preserve">   </w:t>
      </w:r>
      <w:r>
        <w:rPr>
          <w:rFonts w:hint="eastAsia" w:ascii="宋体" w:hAnsi="宋体" w:cs="宋体"/>
          <w:sz w:val="24"/>
          <w:highlight w:val="none"/>
          <w:lang w:val="en-US" w:eastAsia="zh-CN"/>
        </w:rPr>
        <w:t>日</w:t>
      </w:r>
    </w:p>
    <w:p>
      <w:pPr>
        <w:spacing w:line="360" w:lineRule="auto"/>
        <w:ind w:left="-420" w:leftChars="-200" w:right="-420" w:rightChars="-200"/>
        <w:rPr>
          <w:rFonts w:ascii="宋体" w:hAnsi="宋体" w:cs="宋体"/>
          <w:color w:val="auto"/>
          <w:sz w:val="24"/>
        </w:rPr>
      </w:pPr>
    </w:p>
    <w:p>
      <w:pPr>
        <w:spacing w:line="360" w:lineRule="auto"/>
        <w:ind w:left="-420" w:leftChars="-200" w:right="-420" w:rightChars="-200" w:firstLine="480" w:firstLineChars="200"/>
        <w:jc w:val="center"/>
        <w:outlineLvl w:val="0"/>
        <w:rPr>
          <w:rFonts w:ascii="宋体" w:hAnsi="宋体" w:cs="宋体"/>
          <w:color w:val="auto"/>
          <w:sz w:val="24"/>
        </w:rPr>
      </w:pPr>
    </w:p>
    <w:p>
      <w:pPr>
        <w:pStyle w:val="2"/>
        <w:rPr>
          <w:rFonts w:ascii="宋体" w:hAnsi="宋体" w:cs="宋体"/>
          <w:color w:val="auto"/>
          <w:sz w:val="24"/>
        </w:rPr>
      </w:pPr>
    </w:p>
    <w:p>
      <w:pPr>
        <w:pStyle w:val="3"/>
        <w:rPr>
          <w:rFonts w:ascii="宋体" w:hAnsi="宋体" w:cs="宋体"/>
          <w:color w:val="auto"/>
          <w:sz w:val="24"/>
        </w:rPr>
      </w:pPr>
    </w:p>
    <w:p>
      <w:pPr>
        <w:pStyle w:val="3"/>
        <w:rPr>
          <w:rFonts w:ascii="宋体" w:hAnsi="宋体" w:cs="宋体"/>
          <w:color w:val="auto"/>
          <w:sz w:val="24"/>
        </w:rPr>
      </w:pPr>
    </w:p>
    <w:p>
      <w:pPr>
        <w:pStyle w:val="3"/>
        <w:rPr>
          <w:rFonts w:ascii="宋体" w:hAnsi="宋体" w:cs="宋体"/>
          <w:color w:val="auto"/>
          <w:sz w:val="24"/>
        </w:rPr>
      </w:pPr>
    </w:p>
    <w:p>
      <w:pPr>
        <w:pStyle w:val="3"/>
        <w:rPr>
          <w:rFonts w:ascii="宋体" w:hAnsi="宋体" w:cs="宋体"/>
          <w:color w:val="auto"/>
          <w:sz w:val="24"/>
        </w:rPr>
      </w:pPr>
    </w:p>
    <w:p>
      <w:pPr>
        <w:pStyle w:val="3"/>
        <w:rPr>
          <w:rFonts w:ascii="宋体" w:hAnsi="宋体" w:cs="宋体"/>
          <w:color w:val="auto"/>
          <w:sz w:val="24"/>
        </w:rPr>
      </w:pPr>
    </w:p>
    <w:p>
      <w:pPr>
        <w:pStyle w:val="3"/>
        <w:rPr>
          <w:rFonts w:ascii="宋体" w:hAnsi="宋体" w:cs="宋体"/>
          <w:color w:val="auto"/>
          <w:sz w:val="24"/>
        </w:rPr>
      </w:pPr>
    </w:p>
    <w:p>
      <w:pPr>
        <w:pStyle w:val="3"/>
        <w:rPr>
          <w:rFonts w:ascii="宋体" w:hAnsi="宋体" w:cs="宋体"/>
          <w:color w:val="auto"/>
          <w:sz w:val="24"/>
        </w:rPr>
      </w:pPr>
    </w:p>
    <w:p>
      <w:pPr>
        <w:pStyle w:val="3"/>
        <w:rPr>
          <w:rFonts w:ascii="宋体" w:hAnsi="宋体" w:cs="宋体"/>
          <w:color w:val="auto"/>
          <w:sz w:val="24"/>
        </w:rPr>
      </w:pPr>
    </w:p>
    <w:p>
      <w:pPr>
        <w:pStyle w:val="3"/>
        <w:rPr>
          <w:rFonts w:ascii="宋体" w:hAnsi="宋体" w:cs="宋体"/>
          <w:color w:val="auto"/>
          <w:sz w:val="24"/>
        </w:rPr>
      </w:pPr>
    </w:p>
    <w:p>
      <w:pPr>
        <w:pStyle w:val="3"/>
        <w:rPr>
          <w:rFonts w:ascii="宋体" w:hAnsi="宋体" w:cs="宋体"/>
          <w:color w:val="auto"/>
          <w:sz w:val="24"/>
        </w:rPr>
      </w:pPr>
    </w:p>
    <w:p>
      <w:pPr>
        <w:pStyle w:val="3"/>
        <w:rPr>
          <w:rFonts w:ascii="宋体" w:hAnsi="宋体" w:cs="宋体"/>
          <w:color w:val="auto"/>
          <w:sz w:val="24"/>
        </w:rPr>
      </w:pPr>
    </w:p>
    <w:p>
      <w:pPr>
        <w:pStyle w:val="3"/>
        <w:rPr>
          <w:rFonts w:ascii="宋体" w:hAnsi="宋体" w:cs="宋体"/>
          <w:color w:val="auto"/>
          <w:sz w:val="24"/>
        </w:rPr>
      </w:pPr>
    </w:p>
    <w:p>
      <w:pPr>
        <w:pStyle w:val="3"/>
        <w:rPr>
          <w:rFonts w:ascii="宋体" w:hAnsi="宋体" w:cs="宋体"/>
          <w:color w:val="auto"/>
          <w:sz w:val="24"/>
        </w:rPr>
      </w:pPr>
    </w:p>
    <w:p>
      <w:pPr>
        <w:pStyle w:val="3"/>
        <w:rPr>
          <w:rFonts w:ascii="宋体" w:hAnsi="宋体" w:cs="宋体"/>
          <w:color w:val="auto"/>
          <w:sz w:val="24"/>
        </w:rPr>
      </w:pPr>
    </w:p>
    <w:p>
      <w:pPr>
        <w:pStyle w:val="3"/>
        <w:rPr>
          <w:rFonts w:ascii="宋体" w:hAnsi="宋体" w:cs="宋体"/>
          <w:color w:val="auto"/>
          <w:sz w:val="24"/>
        </w:rPr>
      </w:pPr>
    </w:p>
    <w:p>
      <w:pPr>
        <w:pStyle w:val="3"/>
        <w:rPr>
          <w:rFonts w:ascii="宋体" w:hAnsi="宋体" w:cs="宋体"/>
          <w:color w:val="auto"/>
          <w:sz w:val="24"/>
        </w:rPr>
      </w:pPr>
    </w:p>
    <w:p>
      <w:pPr>
        <w:spacing w:line="360" w:lineRule="auto"/>
        <w:ind w:left="-420" w:leftChars="-200" w:right="-420" w:rightChars="-200" w:firstLine="480" w:firstLineChars="200"/>
        <w:jc w:val="center"/>
        <w:outlineLvl w:val="0"/>
        <w:rPr>
          <w:rFonts w:ascii="宋体" w:hAnsi="宋体" w:cs="宋体"/>
          <w:color w:val="auto"/>
          <w:sz w:val="24"/>
        </w:rPr>
      </w:pPr>
    </w:p>
    <w:p>
      <w:pPr>
        <w:spacing w:line="360" w:lineRule="auto"/>
        <w:ind w:left="720" w:firstLine="723" w:firstLineChars="200"/>
        <w:outlineLvl w:val="0"/>
        <w:rPr>
          <w:rFonts w:ascii="宋体" w:hAnsi="宋体" w:cs="宋体"/>
          <w:b/>
          <w:color w:val="auto"/>
          <w:sz w:val="36"/>
          <w:szCs w:val="20"/>
        </w:rPr>
      </w:pPr>
      <w:r>
        <w:rPr>
          <w:rFonts w:hint="eastAsia" w:ascii="宋体" w:hAnsi="宋体" w:cs="宋体"/>
          <w:b/>
          <w:color w:val="auto"/>
          <w:sz w:val="36"/>
          <w:szCs w:val="20"/>
        </w:rPr>
        <w:t>第六部分</w:t>
      </w:r>
      <w:bookmarkEnd w:id="397"/>
      <w:r>
        <w:rPr>
          <w:rFonts w:hint="eastAsia" w:ascii="宋体" w:hAnsi="宋体" w:cs="宋体"/>
          <w:b/>
          <w:color w:val="auto"/>
          <w:sz w:val="36"/>
          <w:szCs w:val="20"/>
        </w:rPr>
        <w:t xml:space="preserve"> </w:t>
      </w:r>
      <w:bookmarkEnd w:id="398"/>
      <w:r>
        <w:rPr>
          <w:rFonts w:hint="eastAsia" w:ascii="宋体" w:hAnsi="宋体" w:cs="宋体"/>
          <w:b/>
          <w:color w:val="auto"/>
          <w:sz w:val="36"/>
          <w:szCs w:val="20"/>
        </w:rPr>
        <w:t>应提交的有关格式范例</w:t>
      </w:r>
    </w:p>
    <w:p>
      <w:pPr>
        <w:spacing w:line="360" w:lineRule="auto"/>
        <w:jc w:val="center"/>
        <w:outlineLvl w:val="0"/>
        <w:rPr>
          <w:rFonts w:ascii="宋体" w:hAnsi="宋体" w:cs="宋体"/>
          <w:b/>
          <w:color w:val="auto"/>
          <w:kern w:val="0"/>
          <w:sz w:val="36"/>
          <w:szCs w:val="36"/>
        </w:r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资格文件部分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（1）符合参加政府采购活动应当具备的一般条件的承诺函……………（页码）</w:t>
      </w:r>
    </w:p>
    <w:p>
      <w:pPr>
        <w:snapToGrid w:val="0"/>
        <w:spacing w:line="360" w:lineRule="auto"/>
        <w:rPr>
          <w:rFonts w:ascii="宋体" w:hAnsi="宋体" w:cs="宋体"/>
          <w:color w:val="auto"/>
          <w:sz w:val="24"/>
        </w:rPr>
      </w:pPr>
      <w:r>
        <w:rPr>
          <w:rFonts w:hint="eastAsia" w:ascii="宋体" w:hAnsi="宋体" w:cs="宋体"/>
          <w:snapToGrid w:val="0"/>
          <w:color w:val="auto"/>
          <w:kern w:val="28"/>
          <w:sz w:val="24"/>
          <w:szCs w:val="20"/>
        </w:rPr>
        <w:t>（2）联合协议</w:t>
      </w:r>
      <w:r>
        <w:rPr>
          <w:rFonts w:hint="eastAsia" w:ascii="宋体" w:hAnsi="宋体" w:cs="宋体"/>
          <w:color w:val="auto"/>
          <w:sz w:val="24"/>
        </w:rPr>
        <w:t>………………………………………………………………（页码）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）落实政府采购政策需满足的资格要求………………………………（页码）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）本项目的特定资格要求………………………………………………（页码）</w:t>
      </w:r>
    </w:p>
    <w:p>
      <w:pPr>
        <w:snapToGrid w:val="0"/>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color w:val="auto"/>
          <w:kern w:val="0"/>
          <w:sz w:val="24"/>
        </w:rPr>
        <w:br w:type="page"/>
      </w:r>
      <w:r>
        <w:rPr>
          <w:rFonts w:hint="eastAsia" w:ascii="宋体" w:hAnsi="宋体" w:cs="宋体"/>
          <w:b/>
          <w:color w:val="auto"/>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sz w:val="24"/>
          <w:highlight w:val="none"/>
          <w:lang w:eastAsia="zh-CN"/>
        </w:rPr>
        <w:t>杭州市西溪中学</w:t>
      </w:r>
      <w:r>
        <w:rPr>
          <w:rFonts w:hint="eastAsia" w:ascii="宋体" w:hAnsi="宋体" w:cs="宋体"/>
          <w:color w:val="auto"/>
          <w:sz w:val="24"/>
        </w:rPr>
        <w:t>、</w:t>
      </w:r>
      <w:r>
        <w:rPr>
          <w:rFonts w:hint="eastAsia" w:ascii="宋体" w:hAnsi="宋体" w:cs="宋体"/>
          <w:color w:val="auto"/>
          <w:sz w:val="24"/>
          <w:lang w:eastAsia="zh-CN"/>
        </w:rPr>
        <w:t>杭州市西湖区政府采购中心</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w:t>
      </w:r>
      <w:r>
        <w:rPr>
          <w:rFonts w:hint="eastAsia" w:ascii="宋体" w:hAnsi="宋体" w:cs="宋体"/>
          <w:color w:val="auto"/>
          <w:sz w:val="24"/>
          <w:lang w:eastAsia="zh-CN"/>
        </w:rPr>
        <w:t>杭州市西溪中学新校区网络设备采购项目</w:t>
      </w:r>
      <w:r>
        <w:rPr>
          <w:rFonts w:hint="eastAsia" w:ascii="宋体" w:hAnsi="宋体" w:cs="宋体"/>
          <w:color w:val="auto"/>
          <w:sz w:val="24"/>
        </w:rPr>
        <w:t>【招标编号：XHZFCG-2023-G-20】政府采购活动，郑重承诺：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（三）不存在以下情况：</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w:t>
      </w:r>
      <w:r>
        <w:rPr>
          <w:rFonts w:hint="eastAsia" w:ascii="宋体" w:hAnsi="宋体" w:cs="宋体"/>
          <w:color w:val="auto"/>
          <w:kern w:val="0"/>
          <w:sz w:val="24"/>
        </w:rPr>
        <w:t xml:space="preserve">                      </w:t>
      </w: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pStyle w:val="5"/>
        <w:ind w:left="0" w:leftChars="0" w:firstLine="0" w:firstLineChars="0"/>
        <w:rPr>
          <w:color w:val="auto"/>
        </w:rPr>
      </w:pPr>
    </w:p>
    <w:p>
      <w:pPr>
        <w:snapToGrid w:val="0"/>
        <w:spacing w:line="360" w:lineRule="auto"/>
        <w:ind w:right="480" w:firstLine="559" w:firstLineChars="233"/>
        <w:jc w:val="left"/>
        <w:rPr>
          <w:rFonts w:ascii="宋体" w:hAnsi="宋体" w:cs="宋体"/>
          <w:b/>
          <w:color w:val="auto"/>
          <w:kern w:val="0"/>
          <w:sz w:val="32"/>
          <w:szCs w:val="32"/>
        </w:rPr>
      </w:pPr>
      <w:r>
        <w:rPr>
          <w:rFonts w:hint="eastAsia" w:cs="仿宋_GB2312" w:asciiTheme="minorEastAsia" w:hAnsiTheme="minorEastAsia" w:eastAsiaTheme="minorEastAsia"/>
          <w:color w:val="auto"/>
          <w:sz w:val="24"/>
          <w:highlight w:val="none"/>
        </w:rPr>
        <w:t>注：根据《</w:t>
      </w:r>
      <w:r>
        <w:rPr>
          <w:rFonts w:cs="仿宋_GB2312" w:asciiTheme="minorEastAsia" w:hAnsiTheme="minorEastAsia" w:eastAsiaTheme="minorEastAsia"/>
          <w:color w:val="auto"/>
          <w:sz w:val="24"/>
          <w:highlight w:val="none"/>
        </w:rPr>
        <w:t>关于规范政府采购供应商资格设定及资格审查的通知</w:t>
      </w:r>
      <w:r>
        <w:rPr>
          <w:rFonts w:hint="eastAsia" w:cs="仿宋_GB2312" w:asciiTheme="minorEastAsia" w:hAnsiTheme="minorEastAsia" w:eastAsiaTheme="minorEastAsia"/>
          <w:color w:val="auto"/>
          <w:sz w:val="24"/>
          <w:highlight w:val="none"/>
        </w:rPr>
        <w:t>》（</w:t>
      </w:r>
      <w:r>
        <w:rPr>
          <w:rFonts w:cs="仿宋_GB2312" w:asciiTheme="minorEastAsia" w:hAnsiTheme="minorEastAsia" w:eastAsiaTheme="minorEastAsia"/>
          <w:color w:val="auto"/>
          <w:sz w:val="24"/>
          <w:highlight w:val="none"/>
        </w:rPr>
        <w:t>浙财采监[2013]24号</w:t>
      </w:r>
      <w:r>
        <w:rPr>
          <w:rFonts w:hint="eastAsia" w:cs="仿宋_GB2312" w:asciiTheme="minorEastAsia" w:hAnsiTheme="minorEastAsia" w:eastAsiaTheme="minorEastAsia"/>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ascii="宋体" w:hAnsi="宋体" w:cs="宋体"/>
          <w:color w:val="auto"/>
        </w:rPr>
      </w:pPr>
    </w:p>
    <w:p>
      <w:pPr>
        <w:widowControl/>
        <w:spacing w:line="360" w:lineRule="auto"/>
        <w:ind w:firstLine="643" w:firstLineChars="200"/>
        <w:jc w:val="center"/>
        <w:rPr>
          <w:rFonts w:ascii="宋体" w:hAnsi="宋体" w:cs="宋体"/>
          <w:b/>
          <w:color w:val="auto"/>
          <w:kern w:val="0"/>
          <w:sz w:val="32"/>
          <w:szCs w:val="32"/>
        </w:rPr>
      </w:pPr>
      <w:r>
        <w:rPr>
          <w:rFonts w:hint="eastAsia" w:ascii="宋体" w:hAnsi="宋体" w:cs="宋体"/>
          <w:b/>
          <w:color w:val="auto"/>
          <w:kern w:val="0"/>
          <w:sz w:val="32"/>
          <w:szCs w:val="32"/>
        </w:rPr>
        <w:t>二、联合协议（如果有）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b/>
          <w:color w:val="auto"/>
          <w:kern w:val="0"/>
          <w:sz w:val="32"/>
          <w:szCs w:val="32"/>
        </w:rPr>
        <w:t>三、落实政府采购政策需满足的资格要求</w:t>
      </w:r>
    </w:p>
    <w:p>
      <w:pPr>
        <w:spacing w:line="360" w:lineRule="auto"/>
        <w:rPr>
          <w:rFonts w:ascii="宋体" w:hAnsi="宋体" w:cs="宋体"/>
          <w:color w:val="auto"/>
          <w:sz w:val="24"/>
        </w:rPr>
      </w:pPr>
      <w:r>
        <w:rPr>
          <w:rFonts w:hint="eastAsia" w:ascii="宋体" w:hAnsi="宋体" w:cs="宋体"/>
          <w:color w:val="auto"/>
          <w:sz w:val="24"/>
        </w:rPr>
        <w:t>（根据招标公告落实政府采购政策需满足的资格要求选择提供相应的材料；未要求的，无需提供）</w:t>
      </w:r>
    </w:p>
    <w:p>
      <w:pPr>
        <w:widowControl/>
        <w:spacing w:line="360" w:lineRule="auto"/>
        <w:ind w:left="150"/>
        <w:jc w:val="center"/>
        <w:rPr>
          <w:rFonts w:ascii="宋体" w:hAnsi="宋体" w:cs="宋体"/>
          <w:b/>
          <w:color w:val="auto"/>
          <w:kern w:val="0"/>
          <w:sz w:val="32"/>
          <w:szCs w:val="32"/>
        </w:rPr>
      </w:pPr>
    </w:p>
    <w:p>
      <w:pPr>
        <w:widowControl/>
        <w:spacing w:line="360" w:lineRule="auto"/>
        <w:ind w:left="150"/>
        <w:jc w:val="center"/>
        <w:rPr>
          <w:rFonts w:ascii="宋体" w:hAnsi="宋体" w:cs="宋体"/>
          <w:b/>
          <w:color w:val="auto"/>
          <w:kern w:val="0"/>
          <w:sz w:val="32"/>
          <w:szCs w:val="32"/>
        </w:rPr>
      </w:pPr>
      <w:r>
        <w:rPr>
          <w:rFonts w:hint="eastAsia" w:ascii="宋体" w:hAnsi="宋体" w:cs="宋体"/>
          <w:b/>
          <w:color w:val="auto"/>
          <w:kern w:val="0"/>
          <w:sz w:val="32"/>
          <w:szCs w:val="32"/>
        </w:rPr>
        <w:t>四、本项目的特定资格要求（如果有）</w:t>
      </w:r>
    </w:p>
    <w:p>
      <w:pPr>
        <w:spacing w:line="360" w:lineRule="auto"/>
        <w:jc w:val="center"/>
        <w:rPr>
          <w:rFonts w:ascii="宋体" w:hAnsi="宋体" w:cs="宋体"/>
          <w:color w:val="auto"/>
          <w:sz w:val="24"/>
        </w:rPr>
      </w:pPr>
      <w:r>
        <w:rPr>
          <w:rFonts w:hint="eastAsia" w:ascii="宋体" w:hAnsi="宋体" w:cs="宋体"/>
          <w:color w:val="auto"/>
          <w:sz w:val="24"/>
        </w:rPr>
        <w:t>（根据招标公告本项目的特定资格要求提供相应的材料；未要求的，无需提供）</w:t>
      </w:r>
    </w:p>
    <w:p>
      <w:pPr>
        <w:rPr>
          <w:rFonts w:ascii="宋体" w:hAnsi="宋体" w:cs="宋体"/>
          <w:color w:val="auto"/>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pacing w:line="360" w:lineRule="auto"/>
        <w:ind w:right="420" w:firstLine="3614" w:firstLineChars="1000"/>
        <w:rPr>
          <w:rFonts w:ascii="宋体" w:hAnsi="宋体" w:cs="宋体"/>
          <w:b/>
          <w:color w:val="auto"/>
          <w:kern w:val="0"/>
          <w:sz w:val="36"/>
          <w:szCs w:val="36"/>
        </w:rPr>
      </w:pPr>
      <w:r>
        <w:rPr>
          <w:rFonts w:hint="eastAsia" w:ascii="宋体" w:hAnsi="宋体" w:cs="宋体"/>
          <w:b/>
          <w:color w:val="auto"/>
          <w:kern w:val="0"/>
          <w:sz w:val="36"/>
          <w:szCs w:val="36"/>
        </w:rPr>
        <w:t>商务技术文件部分</w:t>
      </w:r>
    </w:p>
    <w:p>
      <w:pPr>
        <w:spacing w:line="360" w:lineRule="auto"/>
        <w:jc w:val="center"/>
        <w:outlineLvl w:val="0"/>
        <w:rPr>
          <w:rFonts w:ascii="宋体" w:hAnsi="宋体" w:cs="宋体"/>
          <w:b/>
          <w:color w:val="auto"/>
          <w:kern w:val="0"/>
          <w:sz w:val="28"/>
          <w:szCs w:val="28"/>
        </w:rPr>
      </w:pPr>
      <w:r>
        <w:rPr>
          <w:rFonts w:hint="eastAsia" w:ascii="宋体" w:hAnsi="宋体" w:cs="宋体"/>
          <w:b/>
          <w:color w:val="auto"/>
          <w:kern w:val="0"/>
          <w:sz w:val="28"/>
          <w:szCs w:val="28"/>
        </w:rPr>
        <w:t>目录</w:t>
      </w:r>
    </w:p>
    <w:p>
      <w:pPr>
        <w:snapToGrid w:val="0"/>
        <w:spacing w:line="360" w:lineRule="auto"/>
        <w:ind w:left="479" w:leftChars="228"/>
        <w:rPr>
          <w:rFonts w:ascii="宋体" w:hAnsi="宋体" w:cs="宋体"/>
          <w:color w:val="auto"/>
        </w:rPr>
      </w:pPr>
      <w:r>
        <w:rPr>
          <w:rFonts w:hint="eastAsia" w:ascii="宋体" w:hAnsi="宋体" w:cs="宋体"/>
          <w:color w:val="auto"/>
          <w:sz w:val="24"/>
        </w:rPr>
        <w:t>（1）投标函</w:t>
      </w:r>
      <w:r>
        <w:rPr>
          <w:rFonts w:hint="eastAsia" w:ascii="宋体" w:hAnsi="宋体" w:cs="宋体"/>
          <w:color w:val="auto"/>
        </w:rPr>
        <w:t>…………………………………………………………………………………（页码）</w:t>
      </w:r>
      <w:r>
        <w:rPr>
          <w:rFonts w:hint="eastAsia" w:ascii="宋体" w:hAnsi="宋体" w:cs="宋体"/>
          <w:color w:val="auto"/>
          <w:sz w:val="24"/>
        </w:rPr>
        <w:t>（2）授权委托书或法定代表人（单位负责人、自然人本人）身份证明</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color w:val="auto"/>
        </w:rPr>
        <w:t>…………………………………………………………………………（页码）</w:t>
      </w:r>
    </w:p>
    <w:p>
      <w:pPr>
        <w:snapToGrid w:val="0"/>
        <w:spacing w:line="360" w:lineRule="auto"/>
        <w:ind w:firstLine="480" w:firstLineChars="200"/>
        <w:rPr>
          <w:rFonts w:ascii="宋体" w:hAnsi="宋体" w:cs="宋体"/>
          <w:color w:val="auto"/>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）符合性审查资料</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）评标标准相应的商务技术资料</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）投标标的清单</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）商务技术偏离表</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r>
        <w:rPr>
          <w:rFonts w:hint="eastAsia" w:ascii="宋体" w:hAnsi="宋体" w:cs="宋体"/>
          <w:color w:val="auto"/>
        </w:rPr>
        <w:t>…………………………………………………（页码）</w:t>
      </w: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outlineLvl w:val="0"/>
        <w:rPr>
          <w:rFonts w:ascii="宋体" w:hAnsi="宋体" w:cs="宋体"/>
          <w:b/>
          <w:color w:val="auto"/>
          <w:kern w:val="0"/>
          <w:sz w:val="32"/>
          <w:szCs w:val="32"/>
        </w:rPr>
      </w:pPr>
    </w:p>
    <w:p>
      <w:pPr>
        <w:snapToGrid w:val="0"/>
        <w:spacing w:line="360" w:lineRule="auto"/>
        <w:jc w:val="center"/>
        <w:outlineLvl w:val="0"/>
        <w:rPr>
          <w:rFonts w:ascii="宋体" w:hAnsi="宋体" w:cs="宋体"/>
          <w:b/>
          <w:color w:val="auto"/>
          <w:kern w:val="0"/>
          <w:sz w:val="32"/>
          <w:szCs w:val="32"/>
        </w:rPr>
      </w:pPr>
    </w:p>
    <w:p>
      <w:pPr>
        <w:rPr>
          <w:rFonts w:ascii="宋体" w:hAnsi="宋体" w:cs="宋体"/>
          <w:color w:val="auto"/>
        </w:rPr>
      </w:pPr>
    </w:p>
    <w:p>
      <w:pPr>
        <w:snapToGrid w:val="0"/>
        <w:spacing w:line="360" w:lineRule="auto"/>
        <w:jc w:val="center"/>
        <w:outlineLvl w:val="0"/>
        <w:rPr>
          <w:rFonts w:ascii="宋体" w:hAnsi="宋体" w:cs="宋体"/>
          <w:b/>
          <w:color w:val="auto"/>
          <w:kern w:val="0"/>
          <w:sz w:val="32"/>
          <w:szCs w:val="32"/>
        </w:rPr>
      </w:pPr>
    </w:p>
    <w:p>
      <w:pPr>
        <w:snapToGrid w:val="0"/>
        <w:spacing w:line="360" w:lineRule="auto"/>
        <w:jc w:val="center"/>
        <w:outlineLvl w:val="0"/>
        <w:rPr>
          <w:rFonts w:ascii="宋体" w:hAnsi="宋体" w:cs="宋体"/>
          <w:b/>
          <w:color w:val="auto"/>
          <w:kern w:val="0"/>
          <w:sz w:val="32"/>
          <w:szCs w:val="32"/>
        </w:rPr>
      </w:pPr>
    </w:p>
    <w:p>
      <w:pPr>
        <w:pStyle w:val="5"/>
        <w:rPr>
          <w:color w:val="auto"/>
          <w:lang w:val="en-US"/>
        </w:rPr>
      </w:pPr>
    </w:p>
    <w:p>
      <w:pPr>
        <w:rPr>
          <w:color w:val="auto"/>
        </w:rPr>
      </w:pPr>
    </w:p>
    <w:p>
      <w:pPr>
        <w:snapToGrid w:val="0"/>
        <w:spacing w:line="360" w:lineRule="auto"/>
        <w:ind w:firstLine="3855" w:firstLineChars="1200"/>
        <w:outlineLvl w:val="0"/>
        <w:rPr>
          <w:rFonts w:ascii="宋体" w:hAnsi="宋体" w:cs="宋体"/>
          <w:b/>
          <w:color w:val="auto"/>
          <w:kern w:val="0"/>
          <w:sz w:val="32"/>
          <w:szCs w:val="32"/>
        </w:rPr>
      </w:pPr>
    </w:p>
    <w:p>
      <w:pPr>
        <w:snapToGrid w:val="0"/>
        <w:spacing w:line="360" w:lineRule="auto"/>
        <w:ind w:firstLine="3855" w:firstLineChars="1200"/>
        <w:outlineLvl w:val="0"/>
        <w:rPr>
          <w:rFonts w:ascii="宋体" w:hAnsi="宋体" w:cs="宋体"/>
          <w:b/>
          <w:color w:val="auto"/>
          <w:kern w:val="0"/>
          <w:sz w:val="32"/>
          <w:szCs w:val="32"/>
        </w:rPr>
      </w:pPr>
    </w:p>
    <w:p>
      <w:pPr>
        <w:snapToGrid w:val="0"/>
        <w:spacing w:line="360" w:lineRule="auto"/>
        <w:ind w:firstLine="3855" w:firstLineChars="1200"/>
        <w:outlineLvl w:val="0"/>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napToGrid w:val="0"/>
        <w:spacing w:line="360" w:lineRule="auto"/>
        <w:ind w:firstLine="3855" w:firstLineChars="1200"/>
        <w:outlineLvl w:val="0"/>
        <w:rPr>
          <w:rFonts w:ascii="宋体" w:hAnsi="宋体" w:cs="宋体"/>
          <w:b/>
          <w:color w:val="auto"/>
          <w:sz w:val="32"/>
          <w:szCs w:val="32"/>
        </w:rPr>
      </w:pPr>
      <w:r>
        <w:rPr>
          <w:rFonts w:hint="eastAsia" w:ascii="宋体" w:hAnsi="宋体" w:cs="宋体"/>
          <w:b/>
          <w:color w:val="auto"/>
          <w:kern w:val="0"/>
          <w:sz w:val="32"/>
          <w:szCs w:val="32"/>
        </w:rPr>
        <w:t>一、投标</w:t>
      </w:r>
      <w:r>
        <w:rPr>
          <w:rFonts w:hint="eastAsia" w:ascii="宋体" w:hAnsi="宋体" w:cs="宋体"/>
          <w:b/>
          <w:color w:val="auto"/>
          <w:sz w:val="32"/>
          <w:szCs w:val="32"/>
        </w:rPr>
        <w:t>函</w:t>
      </w:r>
    </w:p>
    <w:p>
      <w:pPr>
        <w:snapToGrid w:val="0"/>
        <w:spacing w:line="360" w:lineRule="auto"/>
        <w:rPr>
          <w:rFonts w:ascii="宋体" w:hAnsi="宋体" w:cs="宋体"/>
          <w:color w:val="auto"/>
          <w:sz w:val="24"/>
        </w:rPr>
      </w:pPr>
      <w:r>
        <w:rPr>
          <w:rFonts w:hint="eastAsia" w:ascii="宋体" w:hAnsi="宋体" w:cs="宋体"/>
          <w:sz w:val="24"/>
          <w:highlight w:val="none"/>
          <w:lang w:eastAsia="zh-CN"/>
        </w:rPr>
        <w:t>杭州市西溪中学</w:t>
      </w:r>
      <w:r>
        <w:rPr>
          <w:rFonts w:hint="eastAsia" w:ascii="宋体" w:hAnsi="宋体" w:cs="宋体"/>
          <w:color w:val="auto"/>
          <w:sz w:val="24"/>
        </w:rPr>
        <w:t>、</w:t>
      </w:r>
      <w:r>
        <w:rPr>
          <w:rFonts w:hint="eastAsia" w:ascii="宋体" w:hAnsi="宋体" w:cs="宋体"/>
          <w:color w:val="auto"/>
          <w:sz w:val="24"/>
          <w:lang w:eastAsia="zh-CN"/>
        </w:rPr>
        <w:t>杭州市西湖区政府采购中心</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w:t>
      </w:r>
      <w:r>
        <w:rPr>
          <w:rFonts w:hint="eastAsia" w:ascii="宋体" w:hAnsi="宋体" w:cs="宋体"/>
          <w:color w:val="auto"/>
          <w:sz w:val="24"/>
          <w:lang w:eastAsia="zh-CN"/>
        </w:rPr>
        <w:t>杭州市西溪中学新校区网络设备采购项目</w:t>
      </w:r>
      <w:r>
        <w:rPr>
          <w:rFonts w:hint="eastAsia" w:ascii="宋体" w:hAnsi="宋体" w:cs="宋体"/>
          <w:color w:val="auto"/>
          <w:sz w:val="24"/>
        </w:rPr>
        <w:t>【招标编号：XHZFCG-2023-G-20】招标的有关活动，并对此项目进行投标。为此：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3600" w:firstLineChars="1500"/>
        <w:rPr>
          <w:rFonts w:ascii="宋体" w:hAnsi="宋体" w:cs="宋体"/>
          <w:color w:val="auto"/>
          <w:sz w:val="24"/>
        </w:rPr>
      </w:pPr>
      <w:r>
        <w:rPr>
          <w:rFonts w:hint="eastAsia" w:ascii="宋体" w:hAnsi="宋体" w:cs="宋体"/>
          <w:color w:val="auto"/>
          <w:sz w:val="24"/>
        </w:rPr>
        <w:t xml:space="preserve">投标人名称（电子签名）：                          </w:t>
      </w:r>
    </w:p>
    <w:p>
      <w:pPr>
        <w:spacing w:line="360" w:lineRule="auto"/>
        <w:jc w:val="center"/>
        <w:rPr>
          <w:rFonts w:ascii="宋体" w:hAnsi="宋体" w:cs="宋体"/>
          <w:color w:val="auto"/>
          <w:sz w:val="24"/>
        </w:rPr>
      </w:pPr>
      <w:r>
        <w:rPr>
          <w:rFonts w:hint="eastAsia" w:ascii="宋体" w:hAnsi="宋体" w:cs="宋体"/>
          <w:color w:val="auto"/>
          <w:sz w:val="24"/>
        </w:rPr>
        <w:t xml:space="preserve">     日期：  年   月   日</w:t>
      </w:r>
    </w:p>
    <w:p>
      <w:pPr>
        <w:snapToGrid w:val="0"/>
        <w:spacing w:line="360" w:lineRule="auto"/>
        <w:ind w:left="420" w:leftChars="200" w:firstLine="4200" w:firstLineChars="1750"/>
        <w:rPr>
          <w:rFonts w:ascii="宋体" w:hAnsi="宋体" w:cs="宋体"/>
          <w:color w:val="auto"/>
          <w:kern w:val="0"/>
          <w:sz w:val="24"/>
          <w:u w:val="single"/>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napToGrid w:val="0"/>
        <w:spacing w:line="360" w:lineRule="auto"/>
        <w:jc w:val="center"/>
        <w:rPr>
          <w:rFonts w:ascii="宋体" w:hAnsi="宋体" w:cs="宋体"/>
          <w:b/>
          <w:color w:val="auto"/>
          <w:kern w:val="0"/>
          <w:sz w:val="32"/>
          <w:szCs w:val="32"/>
        </w:rPr>
      </w:pP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jc w:val="center"/>
        <w:rPr>
          <w:rFonts w:ascii="宋体" w:hAnsi="宋体" w:cs="宋体"/>
          <w:b/>
          <w:color w:val="auto"/>
          <w:kern w:val="0"/>
          <w:sz w:val="32"/>
          <w:szCs w:val="32"/>
          <w:lang w:val="zh-CN"/>
        </w:rPr>
      </w:pPr>
      <w:r>
        <w:rPr>
          <w:rFonts w:hint="eastAsia" w:ascii="宋体" w:hAnsi="宋体" w:cs="宋体"/>
          <w:b/>
          <w:color w:val="auto"/>
          <w:kern w:val="0"/>
          <w:sz w:val="32"/>
          <w:szCs w:val="32"/>
          <w:lang w:val="zh-CN"/>
        </w:rPr>
        <w:t>二、授权委托书或法定代表人（单位负责人、自然人本人）身份证明</w:t>
      </w:r>
    </w:p>
    <w:p>
      <w:pPr>
        <w:snapToGrid w:val="0"/>
        <w:spacing w:line="360" w:lineRule="auto"/>
        <w:rPr>
          <w:rFonts w:ascii="宋体" w:hAnsi="宋体" w:cs="宋体"/>
          <w:color w:val="auto"/>
          <w:sz w:val="24"/>
        </w:rPr>
      </w:pPr>
      <w:r>
        <w:rPr>
          <w:rFonts w:hint="eastAsia" w:ascii="宋体" w:hAnsi="宋体" w:cs="宋体"/>
          <w:color w:val="auto"/>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sz w:val="24"/>
          <w:highlight w:val="none"/>
          <w:lang w:eastAsia="zh-CN"/>
        </w:rPr>
        <w:t>杭州市西溪中学</w:t>
      </w:r>
      <w:r>
        <w:rPr>
          <w:rFonts w:hint="eastAsia" w:ascii="宋体" w:hAnsi="宋体" w:cs="宋体"/>
          <w:color w:val="auto"/>
          <w:sz w:val="24"/>
        </w:rPr>
        <w:t>、</w:t>
      </w:r>
      <w:r>
        <w:rPr>
          <w:rFonts w:hint="eastAsia" w:ascii="宋体" w:hAnsi="宋体" w:cs="宋体"/>
          <w:color w:val="auto"/>
          <w:sz w:val="24"/>
          <w:lang w:eastAsia="zh-CN"/>
        </w:rPr>
        <w:t>杭州市西湖区政府采购中心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杭州市西溪中学新校区网络设备采购项目</w:t>
      </w:r>
      <w:r>
        <w:rPr>
          <w:rFonts w:hint="eastAsia" w:ascii="宋体" w:hAnsi="宋体" w:cs="宋体"/>
          <w:color w:val="auto"/>
          <w:sz w:val="24"/>
        </w:rPr>
        <w:t>【招标编号：XHZFCG-2023-G-20】</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sz w:val="24"/>
          <w:highlight w:val="none"/>
          <w:lang w:eastAsia="zh-CN"/>
        </w:rPr>
        <w:t>杭州市西溪中学</w:t>
      </w:r>
      <w:r>
        <w:rPr>
          <w:rFonts w:hint="eastAsia" w:ascii="宋体" w:hAnsi="宋体" w:cs="宋体"/>
          <w:color w:val="auto"/>
          <w:sz w:val="24"/>
        </w:rPr>
        <w:t>、</w:t>
      </w:r>
      <w:r>
        <w:rPr>
          <w:rFonts w:hint="eastAsia" w:ascii="宋体" w:hAnsi="宋体" w:cs="宋体"/>
          <w:color w:val="auto"/>
          <w:sz w:val="24"/>
          <w:lang w:eastAsia="zh-CN"/>
        </w:rPr>
        <w:t>杭州市西湖区政府采购中心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杭州市西溪中学新校区网络设备采购项目</w:t>
      </w:r>
      <w:r>
        <w:rPr>
          <w:rFonts w:hint="eastAsia" w:ascii="宋体" w:hAnsi="宋体" w:cs="宋体"/>
          <w:color w:val="auto"/>
          <w:sz w:val="24"/>
        </w:rPr>
        <w:t>【招标编号：XHZFCG-2023-G-20】</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napToGrid w:val="0"/>
        <w:spacing w:line="360" w:lineRule="auto"/>
        <w:ind w:firstLine="480" w:firstLineChars="200"/>
        <w:rPr>
          <w:rFonts w:ascii="宋体" w:hAnsi="宋体" w:cs="宋体"/>
          <w:color w:val="auto"/>
          <w:kern w:val="0"/>
          <w:sz w:val="24"/>
          <w:highlight w:val="cyan"/>
          <w:lang w:val="zh-CN"/>
        </w:rPr>
      </w:pP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sz w:val="24"/>
        </w:rPr>
      </w:pPr>
      <w:r>
        <w:rPr>
          <w:rFonts w:hint="eastAsia" w:ascii="宋体" w:hAnsi="宋体" w:cs="宋体"/>
          <w:b/>
          <w:color w:val="auto"/>
          <w:kern w:val="0"/>
          <w:sz w:val="32"/>
          <w:szCs w:val="32"/>
          <w:lang w:val="zh-CN"/>
        </w:rPr>
        <w:t>法定代表人、单位负责人或自然人本人</w:t>
      </w:r>
      <w:r>
        <w:rPr>
          <w:rFonts w:hint="eastAsia" w:ascii="宋体" w:hAnsi="宋体" w:cs="宋体"/>
          <w:b/>
          <w:color w:val="auto"/>
          <w:sz w:val="30"/>
          <w:szCs w:val="30"/>
        </w:rPr>
        <w:t>的身份证明（适用于法定代表人、单位负责人或者自然人本人代表投标人参加投标）</w:t>
      </w:r>
    </w:p>
    <w:p>
      <w:pPr>
        <w:pStyle w:val="146"/>
        <w:spacing w:line="360" w:lineRule="auto"/>
        <w:rPr>
          <w:rFonts w:hAnsi="宋体" w:cs="宋体"/>
          <w:bCs/>
          <w:color w:val="auto"/>
          <w:sz w:val="24"/>
        </w:rPr>
      </w:pPr>
      <w:r>
        <w:rPr>
          <w:rFonts w:hint="eastAsia" w:hAnsi="宋体" w:cs="宋体"/>
          <w:bCs/>
          <w:color w:val="auto"/>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color w:val="auto"/>
                <w:sz w:val="24"/>
              </w:rPr>
            </w:pPr>
            <w:r>
              <w:rPr>
                <w:rFonts w:hint="eastAsia" w:hAnsi="宋体" w:cs="宋体"/>
                <w:bCs/>
                <w:color w:val="auto"/>
                <w:sz w:val="24"/>
              </w:rPr>
              <w:t>正面：                                 反面：</w:t>
            </w:r>
          </w:p>
          <w:p>
            <w:pPr>
              <w:pStyle w:val="146"/>
              <w:adjustRightInd w:val="0"/>
              <w:spacing w:line="360" w:lineRule="auto"/>
              <w:rPr>
                <w:rFonts w:hAnsi="宋体" w:cs="宋体"/>
                <w:bCs/>
                <w:color w:val="auto"/>
                <w:sz w:val="24"/>
              </w:rPr>
            </w:pPr>
          </w:p>
        </w:tc>
      </w:tr>
    </w:tbl>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snapToGrid w:val="0"/>
        <w:spacing w:line="360" w:lineRule="auto"/>
        <w:ind w:right="480"/>
        <w:rPr>
          <w:rFonts w:ascii="宋体" w:hAnsi="宋体" w:cs="宋体"/>
          <w:b/>
          <w:color w:val="auto"/>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auto"/>
          <w:kern w:val="0"/>
          <w:sz w:val="32"/>
          <w:szCs w:val="32"/>
        </w:rPr>
      </w:pPr>
      <w:r>
        <w:rPr>
          <w:rFonts w:hint="eastAsia" w:ascii="宋体" w:hAnsi="宋体" w:cs="宋体"/>
          <w:b/>
          <w:color w:val="auto"/>
          <w:kern w:val="0"/>
          <w:sz w:val="32"/>
          <w:szCs w:val="32"/>
        </w:rPr>
        <w:t>三、分包意向协议（如果有）</w:t>
      </w:r>
    </w:p>
    <w:p>
      <w:pPr>
        <w:widowControl/>
        <w:spacing w:line="360" w:lineRule="auto"/>
        <w:ind w:firstLine="120" w:firstLineChars="50"/>
        <w:jc w:val="left"/>
        <w:rPr>
          <w:rFonts w:ascii="宋体" w:hAnsi="宋体" w:cs="宋体"/>
          <w:color w:val="auto"/>
          <w:sz w:val="24"/>
        </w:rPr>
      </w:pPr>
      <w:bookmarkStart w:id="399" w:name="_Hlk101169080"/>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bookmarkEnd w:id="399"/>
    <w:p>
      <w:pPr>
        <w:snapToGrid w:val="0"/>
        <w:spacing w:line="360" w:lineRule="auto"/>
        <w:rPr>
          <w:rFonts w:ascii="宋体" w:hAnsi="宋体" w:cs="宋体"/>
          <w:color w:val="auto"/>
          <w:kern w:val="0"/>
          <w:sz w:val="24"/>
        </w:rPr>
      </w:pPr>
    </w:p>
    <w:p>
      <w:pPr>
        <w:jc w:val="center"/>
        <w:rPr>
          <w:rFonts w:ascii="宋体" w:hAnsi="宋体" w:cs="宋体"/>
          <w:b/>
          <w:color w:val="auto"/>
          <w:kern w:val="0"/>
          <w:sz w:val="32"/>
          <w:szCs w:val="32"/>
        </w:rPr>
      </w:pPr>
    </w:p>
    <w:p>
      <w:pPr>
        <w:pStyle w:val="5"/>
        <w:rPr>
          <w:color w:val="auto"/>
          <w:lang w:val="en-US"/>
        </w:rPr>
      </w:pPr>
    </w:p>
    <w:p>
      <w:pPr>
        <w:rPr>
          <w:color w:val="auto"/>
        </w:rPr>
      </w:pPr>
    </w:p>
    <w:p>
      <w:pPr>
        <w:pStyle w:val="5"/>
        <w:rPr>
          <w:color w:val="auto"/>
          <w:lang w:val="en-US"/>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序号</w:t>
            </w:r>
          </w:p>
        </w:tc>
        <w:tc>
          <w:tcPr>
            <w:tcW w:w="499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实质性要求</w:t>
            </w:r>
          </w:p>
        </w:tc>
        <w:tc>
          <w:tcPr>
            <w:tcW w:w="255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需要提供的符合性审查资料</w:t>
            </w:r>
          </w:p>
        </w:tc>
        <w:tc>
          <w:tcPr>
            <w:tcW w:w="1418"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投标文件中的</w:t>
            </w:r>
          </w:p>
          <w:p>
            <w:pPr>
              <w:snapToGrid w:val="0"/>
              <w:spacing w:line="240" w:lineRule="atLeast"/>
              <w:jc w:val="center"/>
              <w:rPr>
                <w:rFonts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1</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投标文件按照招标文件要求签署、盖章。</w:t>
            </w:r>
          </w:p>
        </w:tc>
        <w:tc>
          <w:tcPr>
            <w:tcW w:w="2551" w:type="dxa"/>
            <w:vAlign w:val="center"/>
          </w:tcPr>
          <w:p>
            <w:pPr>
              <w:rPr>
                <w:rFonts w:ascii="宋体" w:hAnsi="宋体" w:cs="宋体"/>
                <w:color w:val="auto"/>
                <w:sz w:val="24"/>
              </w:rPr>
            </w:pPr>
            <w:r>
              <w:rPr>
                <w:rFonts w:hint="eastAsia" w:ascii="宋体" w:hAnsi="宋体" w:cs="宋体"/>
                <w:color w:val="auto"/>
                <w:sz w:val="24"/>
              </w:rPr>
              <w:t>需要使用电子签名或者签字盖章的投标文件的组成部分</w:t>
            </w:r>
          </w:p>
        </w:tc>
        <w:tc>
          <w:tcPr>
            <w:tcW w:w="1418" w:type="dxa"/>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见投标文件</w:t>
            </w:r>
          </w:p>
          <w:p>
            <w:pPr>
              <w:rPr>
                <w:rFonts w:ascii="宋体" w:hAnsi="宋体" w:cs="宋体"/>
                <w:color w:val="auto"/>
              </w:rPr>
            </w:pPr>
            <w:r>
              <w:rPr>
                <w:rFonts w:hint="eastAsia" w:ascii="宋体" w:hAnsi="宋体" w:cs="宋体"/>
                <w:color w:val="auto"/>
                <w:sz w:val="24"/>
              </w:rPr>
              <w:t>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2</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投标文件中承诺的投标有效期不少于招标文件中载明的投标有效期。</w:t>
            </w:r>
          </w:p>
        </w:tc>
        <w:tc>
          <w:tcPr>
            <w:tcW w:w="2551" w:type="dxa"/>
            <w:vAlign w:val="center"/>
          </w:tcPr>
          <w:p>
            <w:pPr>
              <w:rPr>
                <w:rFonts w:ascii="宋体" w:hAnsi="宋体" w:cs="宋体"/>
                <w:color w:val="auto"/>
                <w:sz w:val="24"/>
              </w:rPr>
            </w:pPr>
            <w:r>
              <w:rPr>
                <w:rFonts w:hint="eastAsia" w:ascii="宋体" w:hAnsi="宋体" w:cs="宋体"/>
                <w:color w:val="auto"/>
                <w:sz w:val="24"/>
              </w:rPr>
              <w:t>投标函</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3</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投标文件满足招标文件的其它实质性要求。</w:t>
            </w:r>
          </w:p>
        </w:tc>
        <w:tc>
          <w:tcPr>
            <w:tcW w:w="2551" w:type="dxa"/>
            <w:vAlign w:val="center"/>
          </w:tcPr>
          <w:p>
            <w:pPr>
              <w:rPr>
                <w:rFonts w:ascii="宋体" w:hAnsi="宋体" w:cs="宋体"/>
                <w:color w:val="auto"/>
                <w:sz w:val="24"/>
              </w:rPr>
            </w:pPr>
            <w:r>
              <w:rPr>
                <w:rFonts w:hint="eastAsia" w:ascii="宋体" w:hAnsi="宋体" w:cs="宋体"/>
                <w:color w:val="auto"/>
                <w:kern w:val="0"/>
                <w:sz w:val="24"/>
              </w:rPr>
              <w:t>招标文件其它实质性要求相应的材料（“▲” 系指实质性要求条款，招标文件无其它实质性要求的，无需提供）</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jc w:val="center"/>
        <w:rPr>
          <w:rFonts w:ascii="宋体" w:hAnsi="宋体" w:cs="宋体"/>
          <w:color w:val="auto"/>
        </w:rPr>
      </w:pPr>
      <w:r>
        <w:rPr>
          <w:rFonts w:hint="eastAsia" w:ascii="宋体" w:hAnsi="宋体" w:cs="宋体"/>
          <w:b/>
          <w:color w:val="auto"/>
          <w:kern w:val="0"/>
          <w:sz w:val="32"/>
          <w:szCs w:val="32"/>
        </w:rPr>
        <w:t>五、评标标准相应的商务技术资料</w:t>
      </w:r>
    </w:p>
    <w:p>
      <w:pPr>
        <w:snapToGrid w:val="0"/>
        <w:spacing w:line="360" w:lineRule="auto"/>
        <w:jc w:val="left"/>
        <w:rPr>
          <w:rFonts w:ascii="宋体" w:hAnsi="宋体" w:cs="宋体"/>
          <w:b/>
          <w:color w:val="auto"/>
          <w:sz w:val="24"/>
        </w:rPr>
      </w:pPr>
      <w:r>
        <w:rPr>
          <w:rFonts w:hint="eastAsia" w:ascii="宋体" w:hAnsi="宋体" w:cs="宋体"/>
          <w:b/>
          <w:color w:val="auto"/>
          <w:sz w:val="24"/>
        </w:rPr>
        <w:t>（按招标文件第四部分评标办法前附表中“投标文件中评标标准相应的商务技术资料目录”提供资料。）</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ind w:firstLine="2891" w:firstLineChars="900"/>
        <w:rPr>
          <w:rFonts w:ascii="宋体" w:hAnsi="宋体" w:cs="宋体"/>
          <w:b/>
          <w:color w:val="auto"/>
          <w:kern w:val="0"/>
          <w:sz w:val="32"/>
          <w:szCs w:val="32"/>
        </w:rPr>
      </w:pPr>
      <w:r>
        <w:rPr>
          <w:rFonts w:hint="eastAsia" w:ascii="宋体" w:hAnsi="宋体" w:cs="宋体"/>
          <w:b/>
          <w:color w:val="auto"/>
          <w:kern w:val="0"/>
          <w:sz w:val="32"/>
          <w:szCs w:val="32"/>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rPr>
            </w:pPr>
            <w:r>
              <w:rPr>
                <w:rFonts w:hint="eastAsia" w:ascii="宋体" w:hAnsi="宋体" w:cs="宋体"/>
                <w:b/>
                <w:bCs/>
                <w:color w:val="auto"/>
                <w:sz w:val="24"/>
              </w:rPr>
              <w:t>序号</w:t>
            </w:r>
          </w:p>
        </w:tc>
        <w:tc>
          <w:tcPr>
            <w:tcW w:w="3683" w:type="dxa"/>
          </w:tcPr>
          <w:p>
            <w:pPr>
              <w:jc w:val="center"/>
              <w:rPr>
                <w:rFonts w:ascii="宋体" w:hAnsi="宋体" w:cs="宋体"/>
                <w:b/>
                <w:bCs/>
                <w:color w:val="auto"/>
                <w:sz w:val="24"/>
              </w:rPr>
            </w:pPr>
            <w:r>
              <w:rPr>
                <w:rFonts w:hint="eastAsia" w:ascii="宋体" w:hAnsi="宋体" w:cs="宋体"/>
                <w:b/>
                <w:bCs/>
                <w:color w:val="auto"/>
                <w:sz w:val="24"/>
              </w:rPr>
              <w:t>招标文件章节及具体内容</w:t>
            </w:r>
          </w:p>
        </w:tc>
        <w:tc>
          <w:tcPr>
            <w:tcW w:w="3546" w:type="dxa"/>
          </w:tcPr>
          <w:p>
            <w:pPr>
              <w:jc w:val="center"/>
              <w:rPr>
                <w:rFonts w:ascii="宋体" w:hAnsi="宋体" w:cs="宋体"/>
                <w:b/>
                <w:bCs/>
                <w:color w:val="auto"/>
                <w:sz w:val="24"/>
              </w:rPr>
            </w:pPr>
            <w:r>
              <w:rPr>
                <w:rFonts w:hint="eastAsia" w:ascii="宋体" w:hAnsi="宋体" w:cs="宋体"/>
                <w:b/>
                <w:bCs/>
                <w:color w:val="auto"/>
                <w:sz w:val="24"/>
              </w:rPr>
              <w:t>投标文件章节及具体内容</w:t>
            </w:r>
          </w:p>
        </w:tc>
        <w:tc>
          <w:tcPr>
            <w:tcW w:w="1276" w:type="dxa"/>
          </w:tcPr>
          <w:p>
            <w:pPr>
              <w:jc w:val="center"/>
              <w:rPr>
                <w:rFonts w:ascii="宋体" w:hAnsi="宋体" w:cs="宋体"/>
                <w:b/>
                <w:bCs/>
                <w:color w:val="auto"/>
                <w:sz w:val="24"/>
              </w:rPr>
            </w:pPr>
            <w:r>
              <w:rPr>
                <w:rFonts w:hint="eastAsia" w:ascii="宋体" w:hAnsi="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1</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2</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bl>
    <w:p>
      <w:pPr>
        <w:jc w:val="left"/>
        <w:rPr>
          <w:rFonts w:ascii="宋体" w:hAnsi="宋体" w:cs="宋体"/>
          <w:color w:val="auto"/>
          <w:kern w:val="0"/>
          <w:sz w:val="24"/>
        </w:rPr>
      </w:pPr>
      <w:r>
        <w:rPr>
          <w:rFonts w:hint="eastAsia" w:ascii="宋体" w:hAnsi="宋体" w:cs="宋体"/>
          <w:color w:val="auto"/>
          <w:kern w:val="0"/>
          <w:sz w:val="24"/>
        </w:rPr>
        <w:t>投标人保证：除商务技术偏离表列出的偏离外，投标人响应招标文件的全部要求</w:t>
      </w:r>
    </w:p>
    <w:p>
      <w:pPr>
        <w:jc w:val="center"/>
        <w:rPr>
          <w:rFonts w:ascii="宋体" w:hAnsi="宋体" w:cs="宋体"/>
          <w:b/>
          <w:color w:val="auto"/>
          <w:kern w:val="0"/>
          <w:sz w:val="32"/>
          <w:szCs w:val="32"/>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widowControl/>
        <w:adjustRightInd/>
        <w:jc w:val="left"/>
        <w:rPr>
          <w:rFonts w:ascii="宋体" w:hAnsi="宋体" w:cs="宋体"/>
          <w:b/>
          <w:bCs/>
          <w:color w:val="auto"/>
          <w:sz w:val="32"/>
          <w:szCs w:val="32"/>
        </w:rPr>
      </w:pPr>
      <w:r>
        <w:rPr>
          <w:rFonts w:ascii="宋体" w:hAnsi="宋体" w:cs="宋体"/>
          <w:b/>
          <w:bCs/>
          <w:color w:val="auto"/>
          <w:sz w:val="32"/>
          <w:szCs w:val="32"/>
        </w:rPr>
        <w:br w:type="page"/>
      </w:r>
    </w:p>
    <w:p>
      <w:pPr>
        <w:ind w:firstLine="1911" w:firstLineChars="595"/>
        <w:rPr>
          <w:rFonts w:ascii="宋体" w:hAnsi="宋体" w:cs="宋体"/>
          <w:b/>
          <w:color w:val="auto"/>
          <w:kern w:val="0"/>
          <w:sz w:val="32"/>
          <w:szCs w:val="32"/>
        </w:rPr>
      </w:pPr>
      <w:r>
        <w:rPr>
          <w:rFonts w:hint="eastAsia" w:ascii="宋体" w:hAnsi="宋体" w:cs="宋体"/>
          <w:b/>
          <w:bCs/>
          <w:color w:val="auto"/>
          <w:sz w:val="32"/>
          <w:szCs w:val="32"/>
        </w:rPr>
        <w:t>八</w:t>
      </w:r>
      <w:r>
        <w:rPr>
          <w:rFonts w:hint="eastAsia" w:ascii="宋体" w:hAnsi="宋体" w:cs="宋体"/>
          <w:b/>
          <w:color w:val="auto"/>
          <w:kern w:val="0"/>
          <w:sz w:val="32"/>
          <w:szCs w:val="32"/>
        </w:rPr>
        <w:t>、</w:t>
      </w:r>
      <w:r>
        <w:rPr>
          <w:rFonts w:hint="eastAsia" w:ascii="宋体" w:hAnsi="宋体" w:cs="宋体"/>
          <w:b/>
          <w:color w:val="auto"/>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杭州市西溪中学</w:t>
      </w:r>
      <w:r>
        <w:rPr>
          <w:rFonts w:hint="eastAsia" w:ascii="宋体" w:hAnsi="宋体" w:cs="宋体"/>
          <w:color w:val="auto"/>
          <w:sz w:val="24"/>
        </w:rPr>
        <w:t>、</w:t>
      </w:r>
      <w:r>
        <w:rPr>
          <w:rFonts w:hint="eastAsia" w:ascii="宋体" w:hAnsi="宋体" w:cs="宋体"/>
          <w:color w:val="auto"/>
          <w:sz w:val="24"/>
          <w:lang w:eastAsia="zh-CN"/>
        </w:rPr>
        <w:t>杭州市西湖区政府采购中心</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好处；</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六、严格遵守《</w:t>
      </w:r>
      <w:r>
        <w:rPr>
          <w:rFonts w:hint="eastAsia" w:ascii="宋体" w:hAnsi="宋体" w:cs="宋体"/>
          <w:color w:val="auto"/>
          <w:sz w:val="24"/>
          <w:lang w:val="zh-CN"/>
        </w:rPr>
        <w:t>中华人民共和国</w:t>
      </w:r>
      <w:r>
        <w:rPr>
          <w:rFonts w:hint="eastAsia" w:ascii="宋体" w:hAnsi="宋体" w:cs="宋体"/>
          <w:color w:val="auto"/>
          <w:kern w:val="0"/>
          <w:sz w:val="24"/>
          <w:lang w:val="zh-CN"/>
        </w:rPr>
        <w:t>政府采购法》《</w:t>
      </w:r>
      <w:r>
        <w:rPr>
          <w:rFonts w:hint="eastAsia" w:ascii="宋体" w:hAnsi="宋体" w:cs="宋体"/>
          <w:color w:val="auto"/>
          <w:sz w:val="24"/>
          <w:lang w:val="zh-CN"/>
        </w:rPr>
        <w:t>中华人民共和国</w:t>
      </w:r>
      <w:r>
        <w:rPr>
          <w:rFonts w:hint="eastAsia" w:ascii="宋体" w:hAnsi="宋体" w:cs="宋体"/>
          <w:color w:val="auto"/>
          <w:kern w:val="0"/>
          <w:sz w:val="24"/>
          <w:lang w:val="zh-CN"/>
        </w:rPr>
        <w:t>招标投标</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法》</w:t>
      </w:r>
      <w:r>
        <w:rPr>
          <w:rFonts w:hint="eastAsia" w:ascii="宋体" w:hAnsi="宋体" w:cs="宋体"/>
          <w:color w:val="auto"/>
          <w:sz w:val="24"/>
          <w:lang w:val="zh-CN"/>
        </w:rPr>
        <w:t>《中华人民共和国民法典》</w:t>
      </w:r>
      <w:r>
        <w:rPr>
          <w:rFonts w:hint="eastAsia" w:ascii="宋体" w:hAnsi="宋体" w:cs="宋体"/>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如违反上述承诺，你</w:t>
      </w:r>
      <w:r>
        <w:rPr>
          <w:rFonts w:hint="eastAsia" w:ascii="宋体" w:hAnsi="宋体" w:cs="宋体"/>
          <w:color w:val="auto"/>
          <w:sz w:val="24"/>
        </w:rPr>
        <w:t>单位</w:t>
      </w:r>
      <w:r>
        <w:rPr>
          <w:rFonts w:hint="eastAsia" w:ascii="宋体" w:hAnsi="宋体" w:cs="宋体"/>
          <w:color w:val="auto"/>
          <w:kern w:val="0"/>
          <w:sz w:val="24"/>
          <w:lang w:val="zh-CN"/>
        </w:rPr>
        <w:t>有权立即取消我单位投标、中标或在建项目的建设资格，有权拒绝我单位在一定时期内进入你</w:t>
      </w:r>
      <w:r>
        <w:rPr>
          <w:rFonts w:hint="eastAsia" w:ascii="宋体" w:hAnsi="宋体" w:cs="宋体"/>
          <w:color w:val="auto"/>
          <w:sz w:val="24"/>
        </w:rPr>
        <w:t>单位</w:t>
      </w:r>
      <w:r>
        <w:rPr>
          <w:rFonts w:hint="eastAsia" w:ascii="宋体" w:hAnsi="宋体" w:cs="宋体"/>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leftChars="1" w:right="1120" w:firstLine="4560" w:firstLineChars="1900"/>
        <w:jc w:val="left"/>
        <w:rPr>
          <w:rFonts w:ascii="宋体" w:hAnsi="宋体" w:cs="宋体"/>
          <w:color w:val="auto"/>
          <w:kern w:val="0"/>
          <w:sz w:val="24"/>
          <w:lang w:val="zh-CN"/>
        </w:rPr>
      </w:pPr>
      <w:r>
        <w:rPr>
          <w:rFonts w:hint="eastAsia" w:ascii="宋体" w:hAnsi="宋体" w:cs="宋体"/>
          <w:color w:val="auto"/>
          <w:kern w:val="0"/>
          <w:sz w:val="24"/>
          <w:lang w:val="zh-CN"/>
        </w:rPr>
        <w:t>投标人名称（</w:t>
      </w:r>
      <w:r>
        <w:rPr>
          <w:rFonts w:hint="eastAsia" w:ascii="宋体" w:hAnsi="宋体" w:cs="宋体"/>
          <w:color w:val="auto"/>
          <w:sz w:val="24"/>
        </w:rPr>
        <w:t>电子签名</w:t>
      </w:r>
      <w:r>
        <w:rPr>
          <w:rFonts w:hint="eastAsia" w:ascii="宋体" w:hAnsi="宋体" w:cs="宋体"/>
          <w:color w:val="auto"/>
          <w:kern w:val="0"/>
          <w:sz w:val="24"/>
          <w:lang w:val="zh-CN"/>
        </w:rPr>
        <w:t xml:space="preserve">）：                                                                                                                                                                                                               </w:t>
      </w:r>
    </w:p>
    <w:p>
      <w:pPr>
        <w:spacing w:line="360" w:lineRule="auto"/>
        <w:ind w:left="4620" w:leftChars="2200"/>
        <w:rPr>
          <w:rFonts w:ascii="宋体" w:hAnsi="宋体" w:cs="宋体"/>
          <w:color w:val="auto"/>
          <w:sz w:val="24"/>
        </w:rPr>
      </w:pPr>
      <w:r>
        <w:rPr>
          <w:rFonts w:hint="eastAsia" w:ascii="宋体" w:hAnsi="宋体" w:cs="宋体"/>
          <w:color w:val="auto"/>
          <w:kern w:val="0"/>
          <w:sz w:val="24"/>
          <w:lang w:val="zh-CN"/>
        </w:rPr>
        <w:t>日期</w:t>
      </w:r>
      <w:r>
        <w:rPr>
          <w:rFonts w:hint="eastAsia" w:ascii="宋体" w:hAnsi="宋体" w:cs="宋体"/>
          <w:color w:val="auto"/>
          <w:kern w:val="0"/>
          <w:sz w:val="24"/>
        </w:rPr>
        <w:t>：</w:t>
      </w:r>
      <w:r>
        <w:rPr>
          <w:rFonts w:hint="eastAsia" w:ascii="宋体" w:hAnsi="宋体" w:cs="宋体"/>
          <w:color w:val="auto"/>
          <w:kern w:val="0"/>
          <w:sz w:val="24"/>
          <w:lang w:val="zh-CN"/>
        </w:rPr>
        <w:t xml:space="preserve">   年   月   日</w:t>
      </w:r>
    </w:p>
    <w:p>
      <w:pPr>
        <w:spacing w:line="360" w:lineRule="auto"/>
        <w:jc w:val="center"/>
        <w:rPr>
          <w:rFonts w:ascii="宋体" w:hAnsi="宋体" w:cs="宋体"/>
          <w:b/>
          <w:bCs/>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pacing w:line="360" w:lineRule="auto"/>
        <w:jc w:val="center"/>
        <w:rPr>
          <w:rFonts w:ascii="宋体" w:hAnsi="宋体" w:cs="宋体"/>
          <w:b/>
          <w:bCs/>
          <w:color w:val="auto"/>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报价文件部分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（1）开标一览表（报价表）………………………………………………………（页码）</w:t>
      </w:r>
    </w:p>
    <w:p>
      <w:pPr>
        <w:snapToGrid w:val="0"/>
        <w:spacing w:line="360" w:lineRule="auto"/>
        <w:rPr>
          <w:rFonts w:ascii="宋体" w:hAnsi="宋体" w:cs="宋体"/>
          <w:color w:val="auto"/>
          <w:sz w:val="24"/>
        </w:rPr>
      </w:pPr>
      <w:r>
        <w:rPr>
          <w:rFonts w:hint="eastAsia" w:ascii="宋体" w:hAnsi="宋体" w:cs="宋体"/>
          <w:color w:val="auto"/>
          <w:sz w:val="24"/>
        </w:rPr>
        <w:t>（2）中小企业声明函</w:t>
      </w:r>
      <w:r>
        <w:rPr>
          <w:rFonts w:hint="eastAsia" w:ascii="宋体" w:hAnsi="宋体" w:cs="宋体"/>
          <w:color w:val="auto"/>
          <w:sz w:val="24"/>
          <w:lang w:eastAsia="zh-CN"/>
        </w:rPr>
        <w:t>（</w:t>
      </w:r>
      <w:r>
        <w:rPr>
          <w:rFonts w:hint="eastAsia" w:ascii="宋体" w:hAnsi="宋体" w:cs="宋体"/>
          <w:color w:val="auto"/>
          <w:sz w:val="24"/>
          <w:lang w:val="en-US" w:eastAsia="zh-CN"/>
        </w:rPr>
        <w:t>如果有</w:t>
      </w:r>
      <w:r>
        <w:rPr>
          <w:rFonts w:hint="eastAsia" w:ascii="宋体" w:hAnsi="宋体" w:cs="宋体"/>
          <w:color w:val="auto"/>
          <w:sz w:val="24"/>
          <w:lang w:eastAsia="zh-CN"/>
        </w:rPr>
        <w:t>）</w:t>
      </w:r>
      <w:r>
        <w:rPr>
          <w:rFonts w:hint="eastAsia" w:ascii="宋体" w:hAnsi="宋体" w:cs="宋体"/>
          <w:color w:val="auto"/>
          <w:sz w:val="24"/>
        </w:rPr>
        <w:t>…………………………………………………（页码）</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r>
        <w:rPr>
          <w:rFonts w:hint="eastAsia" w:ascii="宋体" w:hAnsi="宋体" w:eastAsia="宋体" w:cs="宋体"/>
          <w:color w:val="auto"/>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杭州市西溪中学</w:t>
      </w:r>
      <w:r>
        <w:rPr>
          <w:rFonts w:hint="eastAsia" w:ascii="宋体" w:hAnsi="宋体" w:cs="宋体"/>
          <w:color w:val="auto"/>
          <w:sz w:val="24"/>
        </w:rPr>
        <w:t>、</w:t>
      </w:r>
      <w:r>
        <w:rPr>
          <w:rFonts w:hint="eastAsia" w:ascii="宋体" w:hAnsi="宋体" w:cs="宋体"/>
          <w:color w:val="auto"/>
          <w:sz w:val="24"/>
          <w:lang w:eastAsia="zh-CN"/>
        </w:rPr>
        <w:t>杭州市西湖区政府采购中心</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lang w:eastAsia="zh-CN"/>
        </w:rPr>
        <w:t>杭州市西溪中学新校区网络设备采购项目</w:t>
      </w:r>
      <w:r>
        <w:rPr>
          <w:rFonts w:hint="eastAsia" w:ascii="宋体" w:hAnsi="宋体" w:cs="宋体"/>
          <w:color w:val="auto"/>
          <w:kern w:val="0"/>
          <w:sz w:val="24"/>
          <w:lang w:val="zh-CN"/>
        </w:rPr>
        <w:t>【招标编号：</w:t>
      </w:r>
      <w:r>
        <w:rPr>
          <w:rFonts w:hint="eastAsia" w:ascii="宋体" w:hAnsi="宋体" w:cs="宋体"/>
          <w:color w:val="auto"/>
          <w:sz w:val="24"/>
        </w:rPr>
        <w:t>XHZFCG-2023-G-20】的实施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417"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843" w:type="dxa"/>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品牌（如果有）</w:t>
            </w:r>
          </w:p>
        </w:tc>
        <w:tc>
          <w:tcPr>
            <w:tcW w:w="3118"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规格型号</w:t>
            </w:r>
          </w:p>
        </w:tc>
        <w:tc>
          <w:tcPr>
            <w:tcW w:w="993"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数量</w:t>
            </w:r>
          </w:p>
        </w:tc>
        <w:tc>
          <w:tcPr>
            <w:tcW w:w="1559"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单价</w:t>
            </w:r>
          </w:p>
        </w:tc>
        <w:tc>
          <w:tcPr>
            <w:tcW w:w="1984"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合计</w:t>
            </w:r>
          </w:p>
        </w:tc>
        <w:tc>
          <w:tcPr>
            <w:tcW w:w="3119" w:type="dxa"/>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417"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1843" w:type="dxa"/>
            <w:vAlign w:val="center"/>
          </w:tcPr>
          <w:p>
            <w:pPr>
              <w:snapToGrid w:val="0"/>
              <w:spacing w:line="360" w:lineRule="auto"/>
              <w:jc w:val="center"/>
              <w:rPr>
                <w:rFonts w:ascii="宋体" w:hAnsi="宋体" w:cs="宋体"/>
                <w:color w:val="auto"/>
                <w:sz w:val="24"/>
              </w:rPr>
            </w:pPr>
          </w:p>
        </w:tc>
        <w:tc>
          <w:tcPr>
            <w:tcW w:w="3118" w:type="dxa"/>
            <w:vAlign w:val="center"/>
          </w:tcPr>
          <w:p>
            <w:pPr>
              <w:snapToGrid w:val="0"/>
              <w:spacing w:line="360" w:lineRule="auto"/>
              <w:jc w:val="center"/>
              <w:rPr>
                <w:rFonts w:ascii="宋体" w:hAnsi="宋体" w:cs="宋体"/>
                <w:color w:val="auto"/>
                <w:sz w:val="24"/>
              </w:rPr>
            </w:pPr>
          </w:p>
        </w:tc>
        <w:tc>
          <w:tcPr>
            <w:tcW w:w="993" w:type="dxa"/>
            <w:vAlign w:val="center"/>
          </w:tcPr>
          <w:p>
            <w:pPr>
              <w:snapToGrid w:val="0"/>
              <w:spacing w:line="360" w:lineRule="auto"/>
              <w:jc w:val="center"/>
              <w:rPr>
                <w:rFonts w:ascii="宋体" w:hAnsi="宋体" w:cs="宋体"/>
                <w:color w:val="auto"/>
                <w:sz w:val="24"/>
              </w:rPr>
            </w:pPr>
          </w:p>
        </w:tc>
        <w:tc>
          <w:tcPr>
            <w:tcW w:w="1559" w:type="dxa"/>
            <w:vAlign w:val="center"/>
          </w:tcPr>
          <w:p>
            <w:pPr>
              <w:spacing w:line="360" w:lineRule="auto"/>
              <w:jc w:val="center"/>
              <w:rPr>
                <w:rFonts w:ascii="宋体" w:hAnsi="宋体" w:cs="宋体"/>
                <w:color w:val="auto"/>
                <w:sz w:val="24"/>
              </w:rPr>
            </w:pPr>
          </w:p>
        </w:tc>
        <w:tc>
          <w:tcPr>
            <w:tcW w:w="1984" w:type="dxa"/>
            <w:vAlign w:val="center"/>
          </w:tcPr>
          <w:p>
            <w:pPr>
              <w:spacing w:line="360" w:lineRule="auto"/>
              <w:jc w:val="center"/>
              <w:rPr>
                <w:rFonts w:ascii="宋体" w:hAnsi="宋体" w:cs="宋体"/>
                <w:color w:val="auto"/>
                <w:sz w:val="24"/>
              </w:rPr>
            </w:pPr>
          </w:p>
        </w:tc>
        <w:tc>
          <w:tcPr>
            <w:tcW w:w="3119"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417"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1843" w:type="dxa"/>
            <w:vAlign w:val="center"/>
          </w:tcPr>
          <w:p>
            <w:pPr>
              <w:snapToGrid w:val="0"/>
              <w:spacing w:line="360" w:lineRule="auto"/>
              <w:jc w:val="center"/>
              <w:rPr>
                <w:rFonts w:ascii="宋体" w:hAnsi="宋体" w:cs="宋体"/>
                <w:color w:val="auto"/>
                <w:sz w:val="24"/>
              </w:rPr>
            </w:pPr>
          </w:p>
        </w:tc>
        <w:tc>
          <w:tcPr>
            <w:tcW w:w="3118" w:type="dxa"/>
            <w:vAlign w:val="center"/>
          </w:tcPr>
          <w:p>
            <w:pPr>
              <w:snapToGrid w:val="0"/>
              <w:spacing w:line="360" w:lineRule="auto"/>
              <w:jc w:val="center"/>
              <w:rPr>
                <w:rFonts w:ascii="宋体" w:hAnsi="宋体" w:cs="宋体"/>
                <w:color w:val="auto"/>
                <w:sz w:val="24"/>
              </w:rPr>
            </w:pPr>
          </w:p>
        </w:tc>
        <w:tc>
          <w:tcPr>
            <w:tcW w:w="993" w:type="dxa"/>
            <w:vAlign w:val="center"/>
          </w:tcPr>
          <w:p>
            <w:pPr>
              <w:snapToGrid w:val="0"/>
              <w:spacing w:line="360" w:lineRule="auto"/>
              <w:jc w:val="center"/>
              <w:rPr>
                <w:rFonts w:ascii="宋体" w:hAnsi="宋体" w:cs="宋体"/>
                <w:color w:val="auto"/>
                <w:sz w:val="24"/>
              </w:rPr>
            </w:pPr>
          </w:p>
        </w:tc>
        <w:tc>
          <w:tcPr>
            <w:tcW w:w="1559" w:type="dxa"/>
            <w:vAlign w:val="center"/>
          </w:tcPr>
          <w:p>
            <w:pPr>
              <w:spacing w:line="360" w:lineRule="auto"/>
              <w:jc w:val="center"/>
              <w:rPr>
                <w:rFonts w:ascii="宋体" w:hAnsi="宋体" w:cs="宋体"/>
                <w:color w:val="auto"/>
                <w:sz w:val="24"/>
              </w:rPr>
            </w:pPr>
          </w:p>
        </w:tc>
        <w:tc>
          <w:tcPr>
            <w:tcW w:w="1984" w:type="dxa"/>
            <w:vAlign w:val="center"/>
          </w:tcPr>
          <w:p>
            <w:pPr>
              <w:spacing w:line="360" w:lineRule="auto"/>
              <w:jc w:val="center"/>
              <w:rPr>
                <w:rFonts w:ascii="宋体" w:hAnsi="宋体" w:cs="宋体"/>
                <w:color w:val="auto"/>
                <w:sz w:val="24"/>
              </w:rPr>
            </w:pPr>
          </w:p>
        </w:tc>
        <w:tc>
          <w:tcPr>
            <w:tcW w:w="3119"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17" w:type="dxa"/>
            <w:vAlign w:val="center"/>
          </w:tcPr>
          <w:p>
            <w:pPr>
              <w:snapToGrid w:val="0"/>
              <w:spacing w:line="360" w:lineRule="auto"/>
              <w:jc w:val="center"/>
              <w:rPr>
                <w:rFonts w:ascii="宋体" w:hAnsi="宋体" w:cs="宋体"/>
                <w:color w:val="auto"/>
                <w:sz w:val="24"/>
              </w:rPr>
            </w:pPr>
          </w:p>
        </w:tc>
        <w:tc>
          <w:tcPr>
            <w:tcW w:w="1843" w:type="dxa"/>
            <w:vAlign w:val="center"/>
          </w:tcPr>
          <w:p>
            <w:pPr>
              <w:snapToGrid w:val="0"/>
              <w:spacing w:line="360" w:lineRule="auto"/>
              <w:jc w:val="center"/>
              <w:rPr>
                <w:rFonts w:ascii="宋体" w:hAnsi="宋体" w:cs="宋体"/>
                <w:color w:val="auto"/>
                <w:sz w:val="24"/>
              </w:rPr>
            </w:pPr>
          </w:p>
        </w:tc>
        <w:tc>
          <w:tcPr>
            <w:tcW w:w="3118" w:type="dxa"/>
            <w:vAlign w:val="center"/>
          </w:tcPr>
          <w:p>
            <w:pPr>
              <w:snapToGrid w:val="0"/>
              <w:spacing w:line="360" w:lineRule="auto"/>
              <w:jc w:val="center"/>
              <w:rPr>
                <w:rFonts w:ascii="宋体" w:hAnsi="宋体" w:cs="宋体"/>
                <w:color w:val="auto"/>
                <w:sz w:val="24"/>
              </w:rPr>
            </w:pPr>
          </w:p>
        </w:tc>
        <w:tc>
          <w:tcPr>
            <w:tcW w:w="993" w:type="dxa"/>
            <w:vAlign w:val="center"/>
          </w:tcPr>
          <w:p>
            <w:pPr>
              <w:snapToGrid w:val="0"/>
              <w:spacing w:line="360" w:lineRule="auto"/>
              <w:jc w:val="center"/>
              <w:rPr>
                <w:rFonts w:ascii="宋体" w:hAnsi="宋体" w:cs="宋体"/>
                <w:color w:val="auto"/>
                <w:sz w:val="24"/>
              </w:rPr>
            </w:pPr>
          </w:p>
        </w:tc>
        <w:tc>
          <w:tcPr>
            <w:tcW w:w="1559" w:type="dxa"/>
            <w:vAlign w:val="center"/>
          </w:tcPr>
          <w:p>
            <w:pPr>
              <w:spacing w:line="360" w:lineRule="auto"/>
              <w:jc w:val="center"/>
              <w:rPr>
                <w:rFonts w:ascii="宋体" w:hAnsi="宋体" w:cs="宋体"/>
                <w:color w:val="auto"/>
                <w:sz w:val="24"/>
              </w:rPr>
            </w:pPr>
          </w:p>
        </w:tc>
        <w:tc>
          <w:tcPr>
            <w:tcW w:w="1984" w:type="dxa"/>
            <w:vAlign w:val="center"/>
          </w:tcPr>
          <w:p>
            <w:pPr>
              <w:spacing w:line="360" w:lineRule="auto"/>
              <w:jc w:val="center"/>
              <w:rPr>
                <w:rFonts w:ascii="宋体" w:hAnsi="宋体" w:cs="宋体"/>
                <w:color w:val="auto"/>
                <w:sz w:val="24"/>
              </w:rPr>
            </w:pPr>
          </w:p>
        </w:tc>
        <w:tc>
          <w:tcPr>
            <w:tcW w:w="3119"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rPr>
            </w:pPr>
          </w:p>
        </w:tc>
        <w:tc>
          <w:tcPr>
            <w:tcW w:w="1417" w:type="dxa"/>
            <w:vAlign w:val="center"/>
          </w:tcPr>
          <w:p>
            <w:pPr>
              <w:snapToGrid w:val="0"/>
              <w:spacing w:line="360" w:lineRule="auto"/>
              <w:jc w:val="center"/>
              <w:rPr>
                <w:rFonts w:ascii="宋体" w:hAnsi="宋体" w:cs="宋体"/>
                <w:color w:val="auto"/>
                <w:sz w:val="24"/>
              </w:rPr>
            </w:pPr>
          </w:p>
        </w:tc>
        <w:tc>
          <w:tcPr>
            <w:tcW w:w="1843" w:type="dxa"/>
            <w:vAlign w:val="center"/>
          </w:tcPr>
          <w:p>
            <w:pPr>
              <w:snapToGrid w:val="0"/>
              <w:spacing w:line="360" w:lineRule="auto"/>
              <w:jc w:val="center"/>
              <w:rPr>
                <w:rFonts w:ascii="宋体" w:hAnsi="宋体" w:cs="宋体"/>
                <w:color w:val="auto"/>
                <w:sz w:val="24"/>
              </w:rPr>
            </w:pPr>
          </w:p>
        </w:tc>
        <w:tc>
          <w:tcPr>
            <w:tcW w:w="3118" w:type="dxa"/>
            <w:vAlign w:val="center"/>
          </w:tcPr>
          <w:p>
            <w:pPr>
              <w:snapToGrid w:val="0"/>
              <w:spacing w:line="360" w:lineRule="auto"/>
              <w:jc w:val="center"/>
              <w:rPr>
                <w:rFonts w:ascii="宋体" w:hAnsi="宋体" w:cs="宋体"/>
                <w:color w:val="auto"/>
                <w:sz w:val="24"/>
              </w:rPr>
            </w:pPr>
          </w:p>
        </w:tc>
        <w:tc>
          <w:tcPr>
            <w:tcW w:w="993" w:type="dxa"/>
            <w:vAlign w:val="center"/>
          </w:tcPr>
          <w:p>
            <w:pPr>
              <w:snapToGrid w:val="0"/>
              <w:spacing w:line="360" w:lineRule="auto"/>
              <w:jc w:val="center"/>
              <w:rPr>
                <w:rFonts w:ascii="宋体" w:hAnsi="宋体" w:cs="宋体"/>
                <w:color w:val="auto"/>
                <w:sz w:val="24"/>
              </w:rPr>
            </w:pPr>
          </w:p>
        </w:tc>
        <w:tc>
          <w:tcPr>
            <w:tcW w:w="1559" w:type="dxa"/>
            <w:vAlign w:val="center"/>
          </w:tcPr>
          <w:p>
            <w:pPr>
              <w:spacing w:line="360" w:lineRule="auto"/>
              <w:jc w:val="center"/>
              <w:rPr>
                <w:rFonts w:ascii="宋体" w:hAnsi="宋体" w:cs="宋体"/>
                <w:color w:val="auto"/>
                <w:sz w:val="24"/>
              </w:rPr>
            </w:pPr>
          </w:p>
        </w:tc>
        <w:tc>
          <w:tcPr>
            <w:tcW w:w="1984" w:type="dxa"/>
            <w:vAlign w:val="center"/>
          </w:tcPr>
          <w:p>
            <w:pPr>
              <w:spacing w:line="360" w:lineRule="auto"/>
              <w:jc w:val="center"/>
              <w:rPr>
                <w:rFonts w:ascii="宋体" w:hAnsi="宋体" w:cs="宋体"/>
                <w:color w:val="auto"/>
                <w:sz w:val="24"/>
              </w:rPr>
            </w:pPr>
          </w:p>
        </w:tc>
        <w:tc>
          <w:tcPr>
            <w:tcW w:w="3119"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rPr>
            </w:pPr>
          </w:p>
        </w:tc>
        <w:tc>
          <w:tcPr>
            <w:tcW w:w="1417" w:type="dxa"/>
            <w:vAlign w:val="center"/>
          </w:tcPr>
          <w:p>
            <w:pPr>
              <w:snapToGrid w:val="0"/>
              <w:spacing w:line="360" w:lineRule="auto"/>
              <w:jc w:val="center"/>
              <w:rPr>
                <w:rFonts w:ascii="宋体" w:hAnsi="宋体" w:cs="宋体"/>
                <w:color w:val="auto"/>
                <w:sz w:val="24"/>
              </w:rPr>
            </w:pPr>
          </w:p>
        </w:tc>
        <w:tc>
          <w:tcPr>
            <w:tcW w:w="1843" w:type="dxa"/>
            <w:vAlign w:val="center"/>
          </w:tcPr>
          <w:p>
            <w:pPr>
              <w:snapToGrid w:val="0"/>
              <w:spacing w:line="360" w:lineRule="auto"/>
              <w:jc w:val="center"/>
              <w:rPr>
                <w:rFonts w:ascii="宋体" w:hAnsi="宋体" w:cs="宋体"/>
                <w:color w:val="auto"/>
                <w:sz w:val="24"/>
              </w:rPr>
            </w:pPr>
          </w:p>
        </w:tc>
        <w:tc>
          <w:tcPr>
            <w:tcW w:w="3118" w:type="dxa"/>
            <w:vAlign w:val="center"/>
          </w:tcPr>
          <w:p>
            <w:pPr>
              <w:snapToGrid w:val="0"/>
              <w:spacing w:line="360" w:lineRule="auto"/>
              <w:jc w:val="center"/>
              <w:rPr>
                <w:rFonts w:ascii="宋体" w:hAnsi="宋体" w:cs="宋体"/>
                <w:color w:val="auto"/>
                <w:sz w:val="24"/>
              </w:rPr>
            </w:pPr>
          </w:p>
        </w:tc>
        <w:tc>
          <w:tcPr>
            <w:tcW w:w="993" w:type="dxa"/>
            <w:vAlign w:val="center"/>
          </w:tcPr>
          <w:p>
            <w:pPr>
              <w:snapToGrid w:val="0"/>
              <w:spacing w:line="360" w:lineRule="auto"/>
              <w:jc w:val="center"/>
              <w:rPr>
                <w:rFonts w:ascii="宋体" w:hAnsi="宋体" w:cs="宋体"/>
                <w:color w:val="auto"/>
                <w:sz w:val="24"/>
              </w:rPr>
            </w:pPr>
          </w:p>
        </w:tc>
        <w:tc>
          <w:tcPr>
            <w:tcW w:w="1559" w:type="dxa"/>
            <w:vAlign w:val="center"/>
          </w:tcPr>
          <w:p>
            <w:pPr>
              <w:spacing w:line="360" w:lineRule="auto"/>
              <w:jc w:val="center"/>
              <w:rPr>
                <w:rFonts w:ascii="宋体" w:hAnsi="宋体" w:cs="宋体"/>
                <w:color w:val="auto"/>
                <w:sz w:val="24"/>
              </w:rPr>
            </w:pPr>
          </w:p>
        </w:tc>
        <w:tc>
          <w:tcPr>
            <w:tcW w:w="1984" w:type="dxa"/>
            <w:vAlign w:val="center"/>
          </w:tcPr>
          <w:p>
            <w:pPr>
              <w:spacing w:line="360" w:lineRule="auto"/>
              <w:jc w:val="center"/>
              <w:rPr>
                <w:rFonts w:ascii="宋体" w:hAnsi="宋体" w:cs="宋体"/>
                <w:color w:val="auto"/>
                <w:sz w:val="24"/>
              </w:rPr>
            </w:pPr>
          </w:p>
        </w:tc>
        <w:tc>
          <w:tcPr>
            <w:tcW w:w="3119"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投标报价（小写）</w:t>
            </w:r>
          </w:p>
        </w:tc>
        <w:tc>
          <w:tcPr>
            <w:tcW w:w="7655" w:type="dxa"/>
            <w:gridSpan w:val="4"/>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投标报价（大写）</w:t>
            </w:r>
          </w:p>
        </w:tc>
        <w:tc>
          <w:tcPr>
            <w:tcW w:w="7655" w:type="dxa"/>
            <w:gridSpan w:val="4"/>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hint="eastAsia" w:ascii="宋体" w:hAnsi="宋体" w:eastAsia="宋体" w:cs="宋体"/>
                <w:b/>
                <w:color w:val="auto"/>
                <w:sz w:val="24"/>
                <w:lang w:eastAsia="zh-CN"/>
              </w:rPr>
            </w:pPr>
            <w:r>
              <w:rPr>
                <w:rFonts w:hint="eastAsia" w:ascii="宋体" w:hAnsi="宋体" w:cs="宋体"/>
                <w:b/>
                <w:color w:val="auto"/>
                <w:sz w:val="24"/>
                <w:lang w:eastAsia="zh-CN"/>
              </w:rPr>
              <w:t>是否为中小企业</w:t>
            </w:r>
          </w:p>
        </w:tc>
        <w:tc>
          <w:tcPr>
            <w:tcW w:w="7655" w:type="dxa"/>
            <w:gridSpan w:val="4"/>
            <w:vAlign w:val="center"/>
          </w:tcPr>
          <w:p>
            <w:pPr>
              <w:spacing w:line="360" w:lineRule="auto"/>
              <w:jc w:val="center"/>
              <w:rPr>
                <w:rFonts w:hint="eastAsia" w:ascii="宋体" w:hAnsi="宋体" w:eastAsia="宋体" w:cs="宋体"/>
                <w:color w:val="auto"/>
                <w:sz w:val="24"/>
                <w:lang w:val="en-US" w:eastAsia="zh-CN"/>
              </w:rPr>
            </w:pPr>
            <w:sdt>
              <w:sdtPr>
                <w:rPr>
                  <w:rFonts w:hint="eastAsia" w:ascii="宋体" w:hAnsi="宋体" w:cs="宋体"/>
                  <w:color w:val="auto"/>
                  <w:kern w:val="0"/>
                  <w:sz w:val="24"/>
                </w:rPr>
                <w:id w:val="-102470430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lang w:eastAsia="zh-CN"/>
              </w:rPr>
              <w:t>是</w:t>
            </w:r>
            <w:r>
              <w:rPr>
                <w:rFonts w:hint="default" w:ascii="宋体" w:hAnsi="宋体" w:cs="宋体"/>
                <w:color w:val="auto"/>
                <w:kern w:val="0"/>
                <w:sz w:val="24"/>
                <w:lang w:val="en-US" w:eastAsia="zh-CN"/>
              </w:rPr>
              <w:t xml:space="preserve">      </w:t>
            </w:r>
            <w:sdt>
              <w:sdtPr>
                <w:rPr>
                  <w:rFonts w:hint="eastAsia" w:ascii="宋体" w:hAnsi="宋体" w:cs="宋体"/>
                  <w:color w:val="auto"/>
                  <w:kern w:val="0"/>
                  <w:sz w:val="24"/>
                </w:rPr>
                <w:id w:val="-102470430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lang w:eastAsia="zh-CN"/>
              </w:rPr>
              <w:t>否</w:t>
            </w:r>
          </w:p>
        </w:tc>
      </w:tr>
    </w:tbl>
    <w:p>
      <w:pPr>
        <w:snapToGrid w:val="0"/>
        <w:spacing w:line="360" w:lineRule="auto"/>
        <w:ind w:left="480"/>
        <w:rPr>
          <w:rFonts w:ascii="宋体" w:hAnsi="宋体" w:cs="宋体"/>
          <w:b/>
          <w:color w:val="auto"/>
          <w:kern w:val="0"/>
          <w:sz w:val="24"/>
          <w:lang w:val="zh-CN"/>
        </w:rPr>
      </w:pPr>
      <w:r>
        <w:rPr>
          <w:rFonts w:hint="eastAsia" w:ascii="宋体" w:hAnsi="宋体" w:cs="宋体"/>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color w:val="auto"/>
          <w:kern w:val="0"/>
          <w:sz w:val="24"/>
          <w:lang w:val="zh-CN"/>
        </w:rPr>
        <w:t>。</w:t>
      </w:r>
    </w:p>
    <w:p>
      <w:pPr>
        <w:spacing w:line="360" w:lineRule="auto"/>
        <w:ind w:firstLine="480" w:firstLineChars="200"/>
        <w:rPr>
          <w:rFonts w:ascii="宋体" w:hAnsi="宋体" w:cs="宋体"/>
          <w:b/>
          <w:color w:val="auto"/>
          <w:sz w:val="24"/>
        </w:rPr>
      </w:pPr>
      <w:r>
        <w:rPr>
          <w:rFonts w:hint="eastAsia" w:ascii="宋体" w:hAnsi="宋体" w:cs="宋体"/>
          <w:color w:val="auto"/>
          <w:kern w:val="0"/>
          <w:sz w:val="24"/>
          <w:highlight w:val="none"/>
          <w:lang w:val="zh-CN"/>
        </w:rPr>
        <w:t>2、有关本项目实施所涉及的一切费用均计入报价。总价不为零，报价明细表中部分产品、服务单价为零的，视作已包含在总价中。</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5、特别说明：▲供应商报价低于项目预算50%的，应当在报价文件中详细阐述不影响产品质量或者诚信履约的具体原因。</w:t>
      </w: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w:t>
      </w:r>
      <w:bookmarkStart w:id="400" w:name="_Hlk101259491"/>
      <w:r>
        <w:rPr>
          <w:rFonts w:hint="eastAsia" w:ascii="宋体" w:hAnsi="宋体" w:eastAsia="宋体" w:cs="宋体"/>
          <w:color w:val="auto"/>
          <w:sz w:val="32"/>
          <w:szCs w:val="32"/>
        </w:rPr>
        <w:t>（如果有）</w:t>
      </w:r>
      <w:bookmarkEnd w:id="400"/>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color w:val="auto"/>
          <w:sz w:val="32"/>
          <w:szCs w:val="32"/>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color w:val="auto"/>
        </w:rPr>
      </w:pPr>
      <w:bookmarkStart w:id="401" w:name="_Toc465665161"/>
      <w:r>
        <w:rPr>
          <w:rFonts w:hint="eastAsia" w:ascii="宋体" w:hAnsi="宋体" w:cs="宋体"/>
          <w:color w:val="auto"/>
        </w:rPr>
        <w:t>附件</w:t>
      </w:r>
      <w:bookmarkEnd w:id="401"/>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402" w:name="OLE_LINK14"/>
      <w:bookmarkStart w:id="403" w:name="OLE_LINK13"/>
      <w:r>
        <w:rPr>
          <w:rFonts w:hint="eastAsia" w:ascii="宋体" w:hAnsi="宋体" w:cs="宋体"/>
          <w:b/>
          <w:color w:val="auto"/>
          <w:spacing w:val="6"/>
          <w:sz w:val="32"/>
          <w:szCs w:val="32"/>
        </w:rPr>
        <w:t>残疾人福利性单位声明函</w:t>
      </w:r>
    </w:p>
    <w:bookmarkEnd w:id="402"/>
    <w:bookmarkEnd w:id="403"/>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u w:val="single"/>
          <w:lang w:eastAsia="zh-CN"/>
        </w:rPr>
        <w:t>杭州市西溪中学</w:t>
      </w:r>
      <w:r>
        <w:rPr>
          <w:rFonts w:hint="eastAsia" w:ascii="宋体" w:hAnsi="宋体" w:cs="宋体"/>
          <w:color w:val="auto"/>
          <w:sz w:val="24"/>
        </w:rPr>
        <w:t>单位的</w:t>
      </w:r>
      <w:r>
        <w:rPr>
          <w:rFonts w:hint="eastAsia" w:ascii="宋体" w:hAnsi="宋体" w:cs="宋体"/>
          <w:color w:val="auto"/>
          <w:sz w:val="24"/>
          <w:u w:val="single"/>
          <w:lang w:eastAsia="zh-CN"/>
        </w:rPr>
        <w:t>杭州市西溪中学新校区网络设备采购项目</w:t>
      </w:r>
      <w:r>
        <w:rPr>
          <w:rFonts w:hint="eastAsia" w:ascii="宋体" w:hAnsi="宋体" w:cs="宋体"/>
          <w:color w:val="auto"/>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kern w:val="0"/>
          <w:sz w:val="24"/>
          <w:lang w:val="zh-CN"/>
        </w:rPr>
        <w:t>投标人名称（电子签名）</w:t>
      </w:r>
      <w:r>
        <w:rPr>
          <w:rFonts w:hint="eastAsia" w:ascii="宋体" w:hAnsi="宋体" w:cs="宋体"/>
          <w:color w:val="auto"/>
          <w:sz w:val="24"/>
        </w:rPr>
        <w:t>：</w:t>
      </w: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日  期：</w:t>
      </w:r>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附件2：质疑函范本及制作说明</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240"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采购文件获取日期：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附件3：投诉书范本及制作说明</w:t>
      </w:r>
    </w:p>
    <w:p>
      <w:pPr>
        <w:spacing w:line="360" w:lineRule="auto"/>
        <w:jc w:val="center"/>
        <w:rPr>
          <w:rFonts w:ascii="宋体" w:hAnsi="宋体" w:cs="宋体"/>
          <w:b/>
          <w:color w:val="auto"/>
          <w:sz w:val="24"/>
        </w:rPr>
      </w:pP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投诉书范本</w:t>
      </w:r>
    </w:p>
    <w:p>
      <w:pPr>
        <w:spacing w:line="360" w:lineRule="auto"/>
        <w:rPr>
          <w:rFonts w:ascii="宋体" w:hAnsi="宋体" w:cs="宋体"/>
          <w:color w:val="auto"/>
          <w:sz w:val="24"/>
        </w:rPr>
      </w:pPr>
      <w:r>
        <w:rPr>
          <w:rFonts w:hint="eastAsia" w:ascii="宋体" w:hAnsi="宋体" w:cs="宋体"/>
          <w:color w:val="auto"/>
          <w:sz w:val="24"/>
        </w:rPr>
        <w:t>一、投诉相关主体基本情况</w:t>
      </w:r>
    </w:p>
    <w:p>
      <w:pPr>
        <w:spacing w:line="360" w:lineRule="auto"/>
        <w:rPr>
          <w:rFonts w:ascii="宋体" w:hAnsi="宋体" w:cs="宋体"/>
          <w:color w:val="auto"/>
          <w:sz w:val="24"/>
          <w:u w:val="dotted"/>
        </w:rPr>
      </w:pPr>
      <w:r>
        <w:rPr>
          <w:rFonts w:hint="eastAsia" w:ascii="宋体" w:hAnsi="宋体" w:cs="宋体"/>
          <w:color w:val="auto"/>
          <w:sz w:val="24"/>
        </w:rPr>
        <w:t>投诉人：</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tabs>
          <w:tab w:val="left" w:pos="6510"/>
        </w:tabs>
        <w:spacing w:line="360" w:lineRule="auto"/>
        <w:jc w:val="left"/>
        <w:rPr>
          <w:rFonts w:ascii="宋体" w:hAnsi="宋体" w:cs="宋体"/>
          <w:color w:val="auto"/>
          <w:sz w:val="24"/>
        </w:rPr>
      </w:pPr>
      <w:r>
        <w:rPr>
          <w:rFonts w:hint="eastAsia" w:ascii="宋体" w:hAnsi="宋体" w:cs="宋体"/>
          <w:color w:val="auto"/>
          <w:sz w:val="24"/>
        </w:rPr>
        <w:t>法定代表人/主要负责人：</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tabs>
          <w:tab w:val="left" w:pos="6510"/>
        </w:tabs>
        <w:spacing w:line="360" w:lineRule="auto"/>
        <w:rPr>
          <w:rFonts w:ascii="宋体" w:hAnsi="宋体" w:cs="宋体"/>
          <w:color w:val="auto"/>
          <w:sz w:val="24"/>
          <w:u w:val="dotted"/>
        </w:rPr>
      </w:pP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被投诉人1：</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被投诉人2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u w:val="single"/>
        </w:rPr>
      </w:pPr>
      <w:r>
        <w:rPr>
          <w:rFonts w:hint="eastAsia" w:ascii="宋体" w:hAnsi="宋体" w:cs="宋体"/>
          <w:color w:val="auto"/>
          <w:sz w:val="24"/>
        </w:rPr>
        <w:t>相关供应商：</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二、投诉项目基本情况</w:t>
      </w:r>
    </w:p>
    <w:p>
      <w:pPr>
        <w:spacing w:line="360" w:lineRule="auto"/>
        <w:rPr>
          <w:rFonts w:ascii="宋体" w:hAnsi="宋体" w:cs="宋体"/>
          <w:color w:val="auto"/>
          <w:sz w:val="24"/>
          <w:u w:val="dotted"/>
        </w:rPr>
      </w:pPr>
      <w:r>
        <w:rPr>
          <w:rFonts w:hint="eastAsia" w:ascii="宋体" w:hAnsi="宋体" w:cs="宋体"/>
          <w:color w:val="auto"/>
          <w:sz w:val="24"/>
        </w:rPr>
        <w:t>采购项目名称：</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采购项目编号：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采购人名称：</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代理机构名称：</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采购文件公告: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采购结果公告: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三、质疑基本情况</w:t>
      </w:r>
    </w:p>
    <w:p>
      <w:pPr>
        <w:spacing w:line="360" w:lineRule="auto"/>
        <w:ind w:firstLine="480" w:firstLineChars="200"/>
        <w:rPr>
          <w:rFonts w:ascii="宋体" w:hAnsi="宋体" w:cs="宋体"/>
          <w:color w:val="auto"/>
          <w:sz w:val="24"/>
          <w:u w:val="dotted"/>
        </w:rPr>
      </w:pPr>
      <w:r>
        <w:rPr>
          <w:rFonts w:hint="eastAsia" w:ascii="宋体" w:hAnsi="宋体" w:cs="宋体"/>
          <w:color w:val="auto"/>
          <w:sz w:val="24"/>
        </w:rPr>
        <w:t>投诉人于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日,向</w:t>
      </w:r>
      <w:r>
        <w:rPr>
          <w:rFonts w:hint="eastAsia" w:ascii="宋体" w:hAnsi="宋体" w:cs="宋体"/>
          <w:color w:val="auto"/>
          <w:sz w:val="24"/>
          <w:u w:val="dotted"/>
        </w:rPr>
        <w:t xml:space="preserve">                   </w:t>
      </w:r>
      <w:r>
        <w:rPr>
          <w:rFonts w:hint="eastAsia" w:ascii="宋体" w:hAnsi="宋体" w:cs="宋体"/>
          <w:color w:val="auto"/>
          <w:sz w:val="24"/>
        </w:rPr>
        <w:t>提出质疑，质疑事项为：</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ind w:firstLine="360" w:firstLineChars="150"/>
        <w:rPr>
          <w:rFonts w:ascii="宋体" w:hAnsi="宋体" w:cs="宋体"/>
          <w:color w:val="auto"/>
          <w:sz w:val="24"/>
        </w:rPr>
      </w:pPr>
      <w:r>
        <w:rPr>
          <w:rFonts w:hint="eastAsia" w:ascii="宋体" w:hAnsi="宋体" w:cs="宋体"/>
          <w:color w:val="auto"/>
          <w:sz w:val="24"/>
          <w:u w:val="dotted"/>
        </w:rPr>
        <w:t>采购人/代理机构</w:t>
      </w:r>
      <w:r>
        <w:rPr>
          <w:rFonts w:hint="eastAsia" w:ascii="宋体" w:hAnsi="宋体" w:cs="宋体"/>
          <w:color w:val="auto"/>
          <w:sz w:val="24"/>
        </w:rPr>
        <w:t>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日,就质疑事项作出了答复/没有在法定期限内作出答复。</w:t>
      </w:r>
    </w:p>
    <w:p>
      <w:pPr>
        <w:spacing w:line="360" w:lineRule="auto"/>
        <w:rPr>
          <w:rFonts w:ascii="宋体" w:hAnsi="宋体" w:cs="宋体"/>
          <w:color w:val="auto"/>
          <w:sz w:val="24"/>
        </w:rPr>
      </w:pPr>
      <w:r>
        <w:rPr>
          <w:rFonts w:hint="eastAsia" w:ascii="宋体" w:hAnsi="宋体" w:cs="宋体"/>
          <w:color w:val="auto"/>
          <w:sz w:val="24"/>
        </w:rPr>
        <w:t>四、投诉事项具体内容</w:t>
      </w:r>
    </w:p>
    <w:p>
      <w:pPr>
        <w:spacing w:line="360" w:lineRule="auto"/>
        <w:rPr>
          <w:rFonts w:ascii="宋体" w:hAnsi="宋体" w:cs="宋体"/>
          <w:color w:val="auto"/>
          <w:sz w:val="24"/>
          <w:u w:val="single"/>
        </w:rPr>
      </w:pPr>
      <w:r>
        <w:rPr>
          <w:rFonts w:hint="eastAsia" w:ascii="宋体" w:hAnsi="宋体" w:cs="宋体"/>
          <w:color w:val="auto"/>
          <w:sz w:val="24"/>
        </w:rPr>
        <w:t>投诉事项 1：</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投诉事项2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五、与投诉事项相关的投诉请求</w:t>
      </w:r>
    </w:p>
    <w:p>
      <w:pPr>
        <w:spacing w:line="360" w:lineRule="auto"/>
        <w:rPr>
          <w:rFonts w:ascii="宋体" w:hAnsi="宋体" w:cs="宋体"/>
          <w:color w:val="auto"/>
          <w:sz w:val="24"/>
        </w:rPr>
      </w:pPr>
      <w:r>
        <w:rPr>
          <w:rFonts w:hint="eastAsia" w:ascii="宋体" w:hAnsi="宋体" w:cs="宋体"/>
          <w:color w:val="auto"/>
          <w:sz w:val="24"/>
        </w:rPr>
        <w:t>请求：</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rPr>
          <w:rFonts w:ascii="宋体" w:hAnsi="宋体" w:cs="宋体"/>
          <w:color w:val="auto"/>
          <w:sz w:val="24"/>
          <w:u w:val="single"/>
        </w:rPr>
      </w:pP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投诉书制作说明：</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2.投诉人若委托代理人进行投诉的，投诉书应按照要求列明“授权代表”的有关内容，并在附件中提交由</w:t>
      </w:r>
      <w:r>
        <w:rPr>
          <w:rFonts w:hint="eastAsia" w:ascii="宋体" w:hAnsi="宋体"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6.投诉书的投诉请求应与投诉事项相关。</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lang w:eastAsia="zh-CN"/>
        </w:rPr>
        <w:t>杭州市西溪中学</w:t>
      </w:r>
      <w:r>
        <w:rPr>
          <w:rFonts w:hint="eastAsia" w:ascii="宋体" w:hAnsi="宋体" w:cs="宋体"/>
          <w:color w:val="auto"/>
          <w:sz w:val="24"/>
          <w:u w:val="single"/>
        </w:rPr>
        <w:t>、</w:t>
      </w:r>
      <w:r>
        <w:rPr>
          <w:rFonts w:hint="eastAsia" w:ascii="宋体" w:hAnsi="宋体" w:cs="宋体"/>
          <w:color w:val="auto"/>
          <w:sz w:val="24"/>
          <w:u w:val="single"/>
          <w:lang w:eastAsia="zh-CN"/>
        </w:rPr>
        <w:t>杭州市西湖区政府采购中心</w:t>
      </w:r>
      <w:r>
        <w:rPr>
          <w:rFonts w:hint="eastAsia" w:ascii="宋体" w:hAnsi="宋体" w:cs="宋体"/>
          <w:color w:val="auto"/>
          <w:sz w:val="24"/>
          <w:u w:val="single"/>
        </w:rPr>
        <w:t>：</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w:t>
      </w:r>
      <w:r>
        <w:rPr>
          <w:rFonts w:hint="eastAsia" w:ascii="宋体" w:hAnsi="宋体" w:cs="宋体"/>
          <w:color w:val="auto"/>
          <w:sz w:val="24"/>
          <w:lang w:eastAsia="zh-CN"/>
        </w:rPr>
        <w:t>杭州市西溪中学新校区网络设备采购项目</w:t>
      </w:r>
      <w:r>
        <w:rPr>
          <w:rFonts w:hint="eastAsia" w:ascii="宋体" w:hAnsi="宋体" w:cs="宋体"/>
          <w:color w:val="auto"/>
          <w:sz w:val="24"/>
        </w:rPr>
        <w:t>【招标编号：XHZFCG-2023-G-20】</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right="480" w:firstLine="4080" w:firstLineChars="1700"/>
        <w:rPr>
          <w:rFonts w:ascii="宋体" w:hAnsi="宋体" w:cs="宋体"/>
          <w:color w:val="auto"/>
          <w:sz w:val="24"/>
        </w:rPr>
      </w:pPr>
      <w:r>
        <w:rPr>
          <w:rFonts w:hint="eastAsia" w:ascii="宋体" w:hAnsi="宋体" w:cs="宋体"/>
          <w:color w:val="auto"/>
          <w:sz w:val="24"/>
        </w:rPr>
        <w:t>投标单位（法定名称章）：</w:t>
      </w:r>
    </w:p>
    <w:p>
      <w:pPr>
        <w:ind w:right="1440" w:firstLine="494"/>
        <w:jc w:val="center"/>
        <w:rPr>
          <w:rFonts w:ascii="宋体" w:hAnsi="宋体" w:cs="宋体"/>
          <w:color w:val="auto"/>
          <w:sz w:val="24"/>
        </w:rPr>
      </w:pPr>
      <w:r>
        <w:rPr>
          <w:rFonts w:hint="eastAsia" w:ascii="宋体" w:hAnsi="宋体" w:cs="宋体"/>
          <w:color w:val="auto"/>
          <w:sz w:val="24"/>
        </w:rPr>
        <w:t xml:space="preserve">                              日期：       年     月     日</w:t>
      </w:r>
    </w:p>
    <w:p>
      <w:pPr>
        <w:rPr>
          <w:rFonts w:ascii="宋体" w:hAnsi="宋体" w:cs="宋体"/>
          <w:color w:val="auto"/>
          <w:sz w:val="24"/>
        </w:rPr>
      </w:pPr>
      <w:r>
        <w:rPr>
          <w:rFonts w:hint="eastAsia" w:ascii="宋体" w:hAnsi="宋体" w:cs="宋体"/>
          <w:b/>
          <w:bCs/>
          <w:color w:val="auto"/>
          <w:sz w:val="24"/>
        </w:rPr>
        <w:t>附：</w:t>
      </w:r>
    </w:p>
    <w:p>
      <w:pPr>
        <w:spacing w:line="360" w:lineRule="auto"/>
        <w:rPr>
          <w:rFonts w:ascii="宋体" w:hAnsi="宋体" w:cs="宋体"/>
          <w:bCs/>
          <w:color w:val="auto"/>
          <w:sz w:val="24"/>
        </w:rPr>
      </w:pPr>
      <w:r>
        <w:rPr>
          <w:rFonts w:hint="eastAsia" w:ascii="宋体" w:hAnsi="宋体" w:cs="宋体"/>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rPr>
        <w:t>投标单位法定名称章（印模）                投标单位“XX专用章”（印模）</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napToGrid w:val="0"/>
        <w:spacing w:line="360" w:lineRule="auto"/>
        <w:jc w:val="center"/>
        <w:outlineLvl w:val="0"/>
        <w:rPr>
          <w:rFonts w:ascii="宋体" w:hAnsi="宋体" w:cs="宋体"/>
          <w:b/>
          <w:color w:val="auto"/>
          <w:kern w:val="0"/>
          <w:sz w:val="32"/>
          <w:szCs w:val="32"/>
        </w:rPr>
      </w:pPr>
      <w:r>
        <w:rPr>
          <w:rFonts w:hint="eastAsia" w:ascii="宋体" w:hAnsi="宋体" w:cs="宋体"/>
          <w:b/>
          <w:color w:val="auto"/>
          <w:kern w:val="0"/>
          <w:sz w:val="32"/>
          <w:szCs w:val="32"/>
        </w:rPr>
        <w:t>附件</w:t>
      </w:r>
      <w:r>
        <w:rPr>
          <w:rFonts w:ascii="宋体" w:hAnsi="宋体" w:cs="宋体"/>
          <w:b/>
          <w:color w:val="auto"/>
          <w:kern w:val="0"/>
          <w:sz w:val="32"/>
          <w:szCs w:val="32"/>
        </w:rPr>
        <w:t>5</w:t>
      </w:r>
      <w:r>
        <w:rPr>
          <w:rFonts w:hint="eastAsia" w:ascii="宋体" w:hAnsi="宋体" w:cs="宋体"/>
          <w:b/>
          <w:color w:val="auto"/>
          <w:kern w:val="0"/>
          <w:sz w:val="32"/>
          <w:szCs w:val="32"/>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lang w:eastAsia="zh-CN"/>
        </w:rPr>
        <w:t>杭州市西溪中学新校区网络设备采购项目</w:t>
      </w:r>
      <w:r>
        <w:rPr>
          <w:rFonts w:hint="eastAsia" w:ascii="宋体" w:hAnsi="宋体" w:cs="宋体"/>
          <w:color w:val="auto"/>
          <w:sz w:val="24"/>
        </w:rPr>
        <w:t>【招标编号：XHZFCG-2023-G-20】</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bookmarkStart w:id="404" w:name="_Hlk101134295"/>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w:t>
      </w:r>
    </w:p>
    <w:bookmarkEnd w:id="404"/>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四、联合体成员中小企业合同份额。</w:t>
      </w:r>
    </w:p>
    <w:p>
      <w:pPr>
        <w:snapToGrid w:val="0"/>
        <w:spacing w:line="360" w:lineRule="auto"/>
        <w:ind w:firstLine="576"/>
        <w:rPr>
          <w:rFonts w:ascii="宋体" w:hAnsi="宋体" w:cs="宋体"/>
          <w:b/>
          <w:color w:val="auto"/>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u w:val="single"/>
        </w:rPr>
        <w:t>（联合体成员</w:t>
      </w:r>
      <w:r>
        <w:rPr>
          <w:rFonts w:ascii="宋体" w:hAnsi="宋体" w:cs="宋体"/>
          <w:color w:val="auto"/>
          <w:kern w:val="0"/>
          <w:sz w:val="24"/>
          <w:u w:val="single"/>
        </w:rPr>
        <w:t>X,</w:t>
      </w:r>
      <w:r>
        <w:rPr>
          <w:rFonts w:hint="eastAsia" w:ascii="宋体" w:hAnsi="宋体" w:cs="宋体"/>
          <w:color w:val="auto"/>
          <w:kern w:val="0"/>
          <w:sz w:val="24"/>
          <w:u w:val="single"/>
        </w:rPr>
        <w:t>……）</w:t>
      </w:r>
      <w:r>
        <w:rPr>
          <w:rFonts w:hint="eastAsia" w:ascii="宋体" w:hAnsi="宋体" w:cs="宋体"/>
          <w:color w:val="auto"/>
          <w:kern w:val="0"/>
          <w:sz w:val="24"/>
        </w:rPr>
        <w:t>提供的全部货物由小微企业制造，其合同份额占到合同总金额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kern w:val="0"/>
          <w:sz w:val="24"/>
          <w:lang w:val="zh-CN"/>
        </w:rPr>
        <w:t>……。</w:t>
      </w:r>
      <w:r>
        <w:rPr>
          <w:rFonts w:hint="eastAsia" w:ascii="宋体" w:hAnsi="宋体" w:cs="宋体"/>
          <w:b/>
          <w:color w:val="auto"/>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sz w:val="24"/>
        </w:rPr>
        <w:t>2、中小企业合同金额达到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要求以联合体形式参加的项目或采购包，供应商按招标文件第一部分招标公告申请人的资格要求中规定的联合协议中中小企业、其中小微企业合同金额应当达到的比例要求填写。</w:t>
      </w:r>
      <w:r>
        <w:rPr>
          <w:rFonts w:hint="eastAsia" w:ascii="宋体" w:hAnsi="宋体" w:cs="宋体"/>
          <w:b/>
          <w:bCs/>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五、如果中标，</w:t>
      </w:r>
      <w:r>
        <w:rPr>
          <w:rFonts w:hint="eastAsia" w:ascii="宋体" w:hAnsi="宋体" w:cs="宋体"/>
          <w:color w:val="auto"/>
          <w:sz w:val="24"/>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六、有关本次联合投标的其他事宜：</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right="960"/>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napToGrid w:val="0"/>
        <w:spacing w:line="360" w:lineRule="auto"/>
        <w:jc w:val="center"/>
        <w:outlineLvl w:val="0"/>
        <w:rPr>
          <w:rFonts w:ascii="宋体" w:hAnsi="宋体" w:cs="宋体"/>
          <w:b/>
          <w:color w:val="auto"/>
          <w:kern w:val="0"/>
          <w:sz w:val="32"/>
          <w:szCs w:val="32"/>
        </w:rPr>
      </w:pPr>
      <w:r>
        <w:rPr>
          <w:rFonts w:hint="eastAsia" w:ascii="宋体" w:hAnsi="宋体" w:cs="宋体"/>
          <w:b/>
          <w:color w:val="auto"/>
          <w:kern w:val="0"/>
          <w:sz w:val="32"/>
          <w:szCs w:val="32"/>
        </w:rPr>
        <w:t>附件</w:t>
      </w:r>
      <w:r>
        <w:rPr>
          <w:rFonts w:ascii="宋体" w:hAnsi="宋体" w:cs="宋体"/>
          <w:b/>
          <w:color w:val="auto"/>
          <w:kern w:val="0"/>
          <w:sz w:val="32"/>
          <w:szCs w:val="32"/>
        </w:rPr>
        <w:t>6</w:t>
      </w:r>
      <w:r>
        <w:rPr>
          <w:rFonts w:hint="eastAsia" w:ascii="宋体" w:hAnsi="宋体" w:cs="宋体"/>
          <w:b/>
          <w:color w:val="auto"/>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lang w:eastAsia="zh-CN"/>
        </w:rPr>
        <w:t>杭州市西溪中学新校区网络设备采购项目</w:t>
      </w:r>
      <w:r>
        <w:rPr>
          <w:rFonts w:hint="eastAsia" w:ascii="宋体" w:hAnsi="宋体" w:cs="宋体"/>
          <w:color w:val="auto"/>
          <w:sz w:val="24"/>
        </w:rPr>
        <w:t>【招标编号：XHZFCG-2023-G-20】</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Style w:val="5"/>
        <w:ind w:left="664" w:leftChars="316" w:firstLine="229" w:firstLineChars="95"/>
        <w:rPr>
          <w:rFonts w:ascii="宋体" w:hAnsi="宋体" w:eastAsia="宋体" w:cs="宋体"/>
          <w:color w:val="auto"/>
          <w:kern w:val="0"/>
          <w:sz w:val="24"/>
          <w:szCs w:val="24"/>
        </w:rPr>
      </w:pPr>
      <w:r>
        <w:rPr>
          <w:rFonts w:hint="eastAsia" w:ascii="宋体" w:hAnsi="宋体" w:eastAsia="宋体" w:cs="宋体"/>
          <w:color w:val="auto"/>
          <w:kern w:val="0"/>
          <w:sz w:val="24"/>
          <w:szCs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snapToGrid w:val="0"/>
        <w:spacing w:line="360" w:lineRule="auto"/>
        <w:ind w:firstLine="576"/>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……）提供的货物全部由小微企业制造，</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w:t>
      </w:r>
      <w:bookmarkStart w:id="405" w:name="_Hlk101133173"/>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要求合同分包形式参加的项目或采购包，供应商按招标文件第一部分招标公告申请人的资格要求中规定的</w:t>
      </w:r>
      <w:r>
        <w:rPr>
          <w:rFonts w:hint="eastAsia" w:ascii="宋体" w:hAnsi="宋体" w:cs="宋体"/>
          <w:b/>
          <w:color w:val="auto"/>
          <w:kern w:val="0"/>
          <w:sz w:val="24"/>
          <w:lang w:val="zh-CN"/>
        </w:rPr>
        <w:t>分包意向协议</w:t>
      </w:r>
      <w:r>
        <w:rPr>
          <w:rFonts w:hint="eastAsia" w:ascii="宋体" w:hAnsi="宋体" w:cs="宋体"/>
          <w:b/>
          <w:bCs/>
          <w:color w:val="auto"/>
          <w:sz w:val="24"/>
        </w:rPr>
        <w:t>中中小企业、其中小微企业合同金额应当达到的比例要求填写。</w:t>
      </w:r>
      <w:r>
        <w:rPr>
          <w:rFonts w:hint="eastAsia" w:ascii="宋体" w:hAnsi="宋体" w:cs="宋体"/>
          <w:b/>
          <w:bCs/>
          <w:color w:val="auto"/>
          <w:kern w:val="0"/>
          <w:sz w:val="24"/>
          <w:lang w:val="zh-CN"/>
        </w:rPr>
        <w:t>）</w:t>
      </w:r>
      <w:bookmarkEnd w:id="405"/>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四、质量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五、价款或者报酬</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kern w:val="0"/>
          <w:sz w:val="24"/>
          <w:lang w:val="zh-CN"/>
        </w:rPr>
        <w:t>六、违约责任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七、争议解决的办法</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分包供应商名称(电子签名/公章)：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napToGrid w:val="0"/>
        <w:spacing w:line="360" w:lineRule="auto"/>
        <w:outlineLvl w:val="0"/>
        <w:rPr>
          <w:rFonts w:ascii="宋体" w:hAnsi="宋体" w:cs="宋体"/>
          <w:b/>
          <w:color w:val="auto"/>
          <w:kern w:val="0"/>
          <w:sz w:val="44"/>
          <w:szCs w:val="44"/>
        </w:rPr>
      </w:pPr>
      <w:r>
        <w:rPr>
          <w:rFonts w:hint="eastAsia" w:ascii="宋体" w:hAnsi="宋体" w:cs="宋体"/>
          <w:b/>
          <w:color w:val="auto"/>
          <w:kern w:val="0"/>
          <w:sz w:val="44"/>
          <w:szCs w:val="44"/>
        </w:rPr>
        <w:t>附件</w:t>
      </w:r>
      <w:r>
        <w:rPr>
          <w:rFonts w:ascii="宋体" w:hAnsi="宋体" w:cs="宋体"/>
          <w:b/>
          <w:color w:val="auto"/>
          <w:kern w:val="0"/>
          <w:sz w:val="44"/>
          <w:szCs w:val="44"/>
        </w:rPr>
        <w:t>7</w:t>
      </w:r>
      <w:r>
        <w:rPr>
          <w:rFonts w:hint="eastAsia" w:ascii="宋体" w:hAnsi="宋体" w:cs="宋体"/>
          <w:b/>
          <w:color w:val="auto"/>
          <w:kern w:val="0"/>
          <w:sz w:val="44"/>
          <w:szCs w:val="44"/>
        </w:rPr>
        <w:t>：中小企业声明函</w:t>
      </w:r>
    </w:p>
    <w:p>
      <w:pPr>
        <w:spacing w:line="360" w:lineRule="auto"/>
        <w:jc w:val="center"/>
        <w:rPr>
          <w:rFonts w:ascii="宋体" w:hAnsi="宋体" w:cs="宋体"/>
          <w:color w:val="auto"/>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中小企业声明函（货物）</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lang w:eastAsia="zh-CN"/>
        </w:rPr>
        <w:t>杭州市西溪中学</w:t>
      </w:r>
      <w:r>
        <w:rPr>
          <w:rFonts w:hint="eastAsia" w:ascii="宋体" w:hAnsi="宋体" w:cs="宋体"/>
          <w:color w:val="auto"/>
          <w:sz w:val="24"/>
          <w:u w:val="single"/>
        </w:rPr>
        <w:t xml:space="preserve"> </w:t>
      </w:r>
      <w:r>
        <w:rPr>
          <w:rFonts w:hint="eastAsia" w:ascii="宋体" w:hAnsi="宋体" w:cs="宋体"/>
          <w:color w:val="auto"/>
          <w:sz w:val="24"/>
        </w:rPr>
        <w:t xml:space="preserve">的 </w:t>
      </w:r>
      <w:r>
        <w:rPr>
          <w:rFonts w:hint="eastAsia" w:ascii="宋体" w:hAnsi="宋体" w:cs="宋体"/>
          <w:color w:val="auto"/>
          <w:sz w:val="24"/>
          <w:u w:val="single"/>
          <w:lang w:eastAsia="zh-CN"/>
        </w:rPr>
        <w:t>杭州市西溪中学新校区网络设备采购项目</w:t>
      </w:r>
      <w:r>
        <w:rPr>
          <w:rFonts w:hint="eastAsia" w:ascii="宋体" w:hAnsi="宋体" w:cs="宋体"/>
          <w:color w:val="auto"/>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highlight w:val="none"/>
          <w:u w:val="single"/>
        </w:rPr>
        <w:t>（标的名称）</w:t>
      </w:r>
      <w:r>
        <w:rPr>
          <w:rFonts w:hint="eastAsia" w:ascii="宋体" w:hAnsi="宋体" w:cs="宋体"/>
          <w:color w:val="auto"/>
          <w:sz w:val="24"/>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rPr>
        <w:t>行业 ；制造商为</w:t>
      </w:r>
      <w:r>
        <w:rPr>
          <w:rFonts w:hint="eastAsia" w:ascii="宋体" w:hAnsi="宋体" w:cs="宋体"/>
          <w:color w:val="auto"/>
          <w:sz w:val="24"/>
          <w:u w:val="single"/>
        </w:rPr>
        <w:t xml:space="preserve"> （企业名称）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w:t>
      </w:r>
      <w:r>
        <w:rPr>
          <w:rFonts w:hint="eastAsia" w:ascii="宋体" w:hAnsi="宋体" w:cs="宋体"/>
          <w:color w:val="auto"/>
          <w:sz w:val="24"/>
        </w:rPr>
        <w:t xml:space="preserve"> ；</w:t>
      </w:r>
    </w:p>
    <w:p>
      <w:pPr>
        <w:spacing w:line="360" w:lineRule="auto"/>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rPr>
        <w:t xml:space="preserve"> </w:t>
      </w:r>
      <w:r>
        <w:rPr>
          <w:rFonts w:hint="eastAsia" w:ascii="宋体" w:hAnsi="宋体" w:cs="宋体"/>
          <w:color w:val="auto"/>
          <w:sz w:val="24"/>
          <w:highlight w:val="none"/>
          <w:u w:val="single"/>
        </w:rPr>
        <w:t>（标的名称）</w:t>
      </w:r>
      <w:r>
        <w:rPr>
          <w:rFonts w:hint="eastAsia" w:ascii="宋体" w:hAnsi="宋体" w:cs="宋体"/>
          <w:color w:val="auto"/>
          <w:sz w:val="24"/>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rPr>
        <w:t>行业 ；制造商为</w:t>
      </w:r>
      <w:r>
        <w:rPr>
          <w:rFonts w:hint="eastAsia" w:ascii="宋体" w:hAnsi="宋体" w:cs="宋体"/>
          <w:color w:val="auto"/>
          <w:sz w:val="24"/>
          <w:u w:val="single"/>
        </w:rPr>
        <w:t xml:space="preserve"> （企业名称）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w:t>
      </w:r>
      <w:r>
        <w:rPr>
          <w:rFonts w:hint="eastAsia" w:ascii="宋体" w:hAnsi="宋体" w:cs="宋体"/>
          <w:color w:val="auto"/>
          <w:sz w:val="24"/>
        </w:rPr>
        <w:t xml:space="preserve"> ；</w:t>
      </w:r>
    </w:p>
    <w:p>
      <w:pPr>
        <w:spacing w:line="360" w:lineRule="auto"/>
        <w:ind w:firstLine="480" w:firstLineChars="200"/>
        <w:rPr>
          <w:rFonts w:ascii="宋体" w:hAnsi="宋体" w:cs="宋体"/>
          <w:color w:val="auto"/>
          <w:sz w:val="24"/>
        </w:rPr>
      </w:pP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napToGrid w:val="0"/>
        <w:spacing w:line="360" w:lineRule="auto"/>
        <w:ind w:firstLine="5160" w:firstLineChars="215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spacing w:line="360" w:lineRule="auto"/>
        <w:jc w:val="left"/>
        <w:rPr>
          <w:rFonts w:ascii="宋体" w:hAnsi="宋体" w:cs="宋体"/>
          <w:color w:val="auto"/>
          <w:sz w:val="18"/>
          <w:szCs w:val="18"/>
        </w:rPr>
      </w:pPr>
      <w:r>
        <w:rPr>
          <w:rFonts w:hint="eastAsia" w:ascii="宋体" w:hAnsi="宋体" w:cs="宋体"/>
          <w:color w:val="auto"/>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rPr>
          <w:rFonts w:ascii="宋体" w:hAnsi="宋体" w:cs="宋体"/>
          <w:bCs/>
          <w:color w:val="auto"/>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decorative"/>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decorative"/>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moder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decorative"/>
    <w:pitch w:val="default"/>
    <w:sig w:usb0="00000000" w:usb1="00000000" w:usb2="00000010" w:usb3="00000000" w:csb0="00040000" w:csb1="00000000"/>
  </w:font>
  <w:font w:name="Arial (W1)">
    <w:altName w:val="Arial"/>
    <w:panose1 w:val="00000000000000000000"/>
    <w:charset w:val="00"/>
    <w:family w:val="decorative"/>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swiss"/>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decorative"/>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modern"/>
    <w:pitch w:val="default"/>
    <w:sig w:usb0="00000000" w:usb1="00000000" w:usb2="00000000" w:usb3="00000000" w:csb0="00000011" w:csb1="00000000"/>
  </w:font>
  <w:font w:name=".PingFang SC">
    <w:altName w:val="微软雅黑"/>
    <w:panose1 w:val="00000000000000000000"/>
    <w:charset w:val="00"/>
    <w:family w:val="swiss"/>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06" w:name="_Toc36110187"/>
    <w:bookmarkStart w:id="407" w:name="_Toc164085800"/>
    <w:bookmarkStart w:id="408" w:name="_Toc131845147"/>
    <w:bookmarkStart w:id="409" w:name="_Toc91899912"/>
    <w:r>
      <w:rPr>
        <w:rFonts w:hint="eastAsia" w:ascii="仿宋_GB2312" w:eastAsia="仿宋_GB2312"/>
        <w:kern w:val="0"/>
        <w:szCs w:val="21"/>
      </w:rPr>
      <w:t xml:space="preserve"> 页</w:t>
    </w:r>
    <w:bookmarkEnd w:id="406"/>
    <w:bookmarkEnd w:id="407"/>
    <w:bookmarkEnd w:id="408"/>
    <w:bookmarkEnd w:id="40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rPr>
        <w:rFonts w:hint="eastAsia"/>
        <w:lang w:eastAsia="zh-CN"/>
      </w:rPr>
      <w:t>西湖区</w:t>
    </w:r>
    <w:r>
      <w:t>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rPr>
        <w:rFonts w:hint="eastAsia"/>
        <w:lang w:eastAsia="zh-CN"/>
      </w:rPr>
      <w:t>西湖区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西湖区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w:t>
    </w:r>
    <w:r>
      <w:rPr>
        <w:rFonts w:hint="eastAsia"/>
      </w:rPr>
      <w:t xml:space="preserve">                                </w:t>
    </w:r>
    <w:r>
      <w:rPr>
        <w:rFonts w:hint="eastAsia"/>
        <w:lang w:eastAsia="zh-CN"/>
      </w:rPr>
      <w:t>西湖区</w:t>
    </w:r>
    <w: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rPr>
        <w:rFonts w:hint="eastAsia"/>
        <w:lang w:eastAsia="zh-CN"/>
      </w:rPr>
      <w:t>西湖区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rPr>
        <w:rFonts w:hint="default"/>
        <w:lang w:val="en-US"/>
      </w:rPr>
      <w:t xml:space="preserve"> </w:t>
    </w:r>
    <w:r>
      <w:rPr>
        <w:rFonts w:hint="eastAsia"/>
        <w:lang w:eastAsia="zh-CN"/>
      </w:rPr>
      <w:t>西湖区</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rPr>
        <w:rFonts w:hint="eastAsia"/>
        <w:lang w:eastAsia="zh-CN"/>
      </w:rPr>
      <w:t>西湖区</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rPr>
        <w:rFonts w:hint="eastAsia"/>
        <w:lang w:eastAsia="zh-CN"/>
      </w:rPr>
      <w:t>西湖区</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lang w:eastAsia="zh-CN"/>
      </w:rPr>
      <w:t>西湖区</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w:t>
    </w:r>
    <w:r>
      <w:rPr>
        <w:rFonts w:hint="eastAsia"/>
        <w:lang w:eastAsia="zh-CN"/>
      </w:rPr>
      <w:t>西湖区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41CAD"/>
    <w:multiLevelType w:val="singleLevel"/>
    <w:tmpl w:val="9DF41CAD"/>
    <w:lvl w:ilvl="0" w:tentative="0">
      <w:start w:val="1"/>
      <w:numFmt w:val="decimal"/>
      <w:suff w:val="space"/>
      <w:lvlText w:val="%1."/>
      <w:lvlJc w:val="left"/>
    </w:lvl>
  </w:abstractNum>
  <w:abstractNum w:abstractNumId="1">
    <w:nsid w:val="E480F0B9"/>
    <w:multiLevelType w:val="singleLevel"/>
    <w:tmpl w:val="E480F0B9"/>
    <w:lvl w:ilvl="0" w:tentative="0">
      <w:start w:val="1"/>
      <w:numFmt w:val="decimal"/>
      <w:lvlText w:val="%1."/>
      <w:lvlJc w:val="left"/>
      <w:pPr>
        <w:tabs>
          <w:tab w:val="left" w:pos="312"/>
        </w:tabs>
      </w:pPr>
    </w:lvl>
  </w:abstractNum>
  <w:abstractNum w:abstractNumId="2">
    <w:nsid w:val="EDA90BE8"/>
    <w:multiLevelType w:val="singleLevel"/>
    <w:tmpl w:val="EDA90BE8"/>
    <w:lvl w:ilvl="0" w:tentative="0">
      <w:start w:val="5"/>
      <w:numFmt w:val="decimal"/>
      <w:suff w:val="nothing"/>
      <w:lvlText w:val="%1、"/>
      <w:lvlJc w:val="left"/>
    </w:lvl>
  </w:abstractNum>
  <w:abstractNum w:abstractNumId="3">
    <w:nsid w:val="0005904A"/>
    <w:multiLevelType w:val="singleLevel"/>
    <w:tmpl w:val="0005904A"/>
    <w:lvl w:ilvl="0" w:tentative="0">
      <w:start w:val="1"/>
      <w:numFmt w:val="decimal"/>
      <w:lvlText w:val="%1."/>
      <w:lvlJc w:val="left"/>
      <w:pPr>
        <w:tabs>
          <w:tab w:val="left" w:pos="312"/>
        </w:tabs>
      </w:pPr>
    </w:lvl>
  </w:abstractNum>
  <w:abstractNum w:abstractNumId="4">
    <w:nsid w:val="0A8BED87"/>
    <w:multiLevelType w:val="singleLevel"/>
    <w:tmpl w:val="0A8BED87"/>
    <w:lvl w:ilvl="0" w:tentative="0">
      <w:start w:val="3"/>
      <w:numFmt w:val="decimal"/>
      <w:suff w:val="space"/>
      <w:lvlText w:val="%1."/>
      <w:lvlJc w:val="left"/>
    </w:lvl>
  </w:abstractNum>
  <w:abstractNum w:abstractNumId="5">
    <w:nsid w:val="2158D313"/>
    <w:multiLevelType w:val="singleLevel"/>
    <w:tmpl w:val="2158D313"/>
    <w:lvl w:ilvl="0" w:tentative="0">
      <w:start w:val="1"/>
      <w:numFmt w:val="decimal"/>
      <w:lvlText w:val="%1."/>
      <w:lvlJc w:val="left"/>
      <w:pPr>
        <w:tabs>
          <w:tab w:val="left" w:pos="312"/>
        </w:tabs>
      </w:pPr>
    </w:lvl>
  </w:abstractNum>
  <w:abstractNum w:abstractNumId="6">
    <w:nsid w:val="37F7E2EB"/>
    <w:multiLevelType w:val="singleLevel"/>
    <w:tmpl w:val="37F7E2EB"/>
    <w:lvl w:ilvl="0" w:tentative="0">
      <w:start w:val="8"/>
      <w:numFmt w:val="decimal"/>
      <w:suff w:val="space"/>
      <w:lvlText w:val="%1."/>
      <w:lvlJc w:val="left"/>
    </w:lvl>
  </w:abstractNum>
  <w:abstractNum w:abstractNumId="7">
    <w:nsid w:val="6A040B51"/>
    <w:multiLevelType w:val="singleLevel"/>
    <w:tmpl w:val="6A040B51"/>
    <w:lvl w:ilvl="0" w:tentative="0">
      <w:start w:val="12"/>
      <w:numFmt w:val="decimal"/>
      <w:suff w:val="nothing"/>
      <w:lvlText w:val="%1、"/>
      <w:lvlJc w:val="left"/>
    </w:lvl>
  </w:abstractNum>
  <w:abstractNum w:abstractNumId="8">
    <w:nsid w:val="7163DBAC"/>
    <w:multiLevelType w:val="singleLevel"/>
    <w:tmpl w:val="7163DBAC"/>
    <w:lvl w:ilvl="0" w:tentative="0">
      <w:start w:val="1"/>
      <w:numFmt w:val="chineseCounting"/>
      <w:suff w:val="nothing"/>
      <w:lvlText w:val="%1、"/>
      <w:lvlJc w:val="left"/>
      <w:rPr>
        <w:rFonts w:hint="eastAsia"/>
        <w:lang w:val="en-US"/>
      </w:rPr>
    </w:lvl>
  </w:abstractNum>
  <w:num w:numId="1">
    <w:abstractNumId w:val="8"/>
  </w:num>
  <w:num w:numId="2">
    <w:abstractNumId w:val="2"/>
  </w:num>
  <w:num w:numId="3">
    <w:abstractNumId w:val="7"/>
  </w:num>
  <w:num w:numId="4">
    <w:abstractNumId w:val="0"/>
  </w:num>
  <w:num w:numId="5">
    <w:abstractNumId w:val="1"/>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kNzU5YjA0ZTM3Mjg2YzdjZWJiNDI0NDgyZTlhZTE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190A"/>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41A"/>
    <w:rsid w:val="00050656"/>
    <w:rsid w:val="00050A19"/>
    <w:rsid w:val="000511B6"/>
    <w:rsid w:val="00051B00"/>
    <w:rsid w:val="00051C2A"/>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7C0"/>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26"/>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4A76"/>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2C"/>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00"/>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1452"/>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06A"/>
    <w:rsid w:val="001A79A2"/>
    <w:rsid w:val="001A7FA5"/>
    <w:rsid w:val="001B06A6"/>
    <w:rsid w:val="001B13BF"/>
    <w:rsid w:val="001B15B9"/>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787"/>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878"/>
    <w:rsid w:val="00242F79"/>
    <w:rsid w:val="0024415B"/>
    <w:rsid w:val="00244968"/>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1DF"/>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4D8D"/>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4E2"/>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653"/>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809"/>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D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32C"/>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2CDB"/>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6895"/>
    <w:rsid w:val="006673B9"/>
    <w:rsid w:val="0066790C"/>
    <w:rsid w:val="00667A67"/>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1FF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6FC"/>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5397"/>
    <w:rsid w:val="007C60A8"/>
    <w:rsid w:val="007C6158"/>
    <w:rsid w:val="007C660F"/>
    <w:rsid w:val="007C6664"/>
    <w:rsid w:val="007C66FF"/>
    <w:rsid w:val="007C69AE"/>
    <w:rsid w:val="007C6FE9"/>
    <w:rsid w:val="007C7688"/>
    <w:rsid w:val="007C76E3"/>
    <w:rsid w:val="007C76F3"/>
    <w:rsid w:val="007C7DD9"/>
    <w:rsid w:val="007D03BC"/>
    <w:rsid w:val="007D0418"/>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2887"/>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603"/>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004"/>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80A"/>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227"/>
    <w:rsid w:val="00867501"/>
    <w:rsid w:val="00867D8E"/>
    <w:rsid w:val="008700C0"/>
    <w:rsid w:val="0087058B"/>
    <w:rsid w:val="008705AA"/>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4775"/>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1B6"/>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239"/>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27FC4"/>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118"/>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3CCB"/>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700"/>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4DD1"/>
    <w:rsid w:val="00B55F64"/>
    <w:rsid w:val="00B56ECA"/>
    <w:rsid w:val="00B57093"/>
    <w:rsid w:val="00B574DA"/>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3D8"/>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0AA3"/>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6E10"/>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6C7"/>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1FA"/>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37B"/>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118F"/>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3E38"/>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02D"/>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DA1"/>
    <w:rsid w:val="00DE6E4D"/>
    <w:rsid w:val="00DE7498"/>
    <w:rsid w:val="00DE75EF"/>
    <w:rsid w:val="00DE7611"/>
    <w:rsid w:val="00DE7D19"/>
    <w:rsid w:val="00DF05A0"/>
    <w:rsid w:val="00DF1162"/>
    <w:rsid w:val="00DF1BA8"/>
    <w:rsid w:val="00DF1DDB"/>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587E"/>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6F9A"/>
    <w:rsid w:val="00ED71BA"/>
    <w:rsid w:val="00ED728F"/>
    <w:rsid w:val="00ED73A1"/>
    <w:rsid w:val="00ED7CA2"/>
    <w:rsid w:val="00EE04F9"/>
    <w:rsid w:val="00EE05E0"/>
    <w:rsid w:val="00EE0FF6"/>
    <w:rsid w:val="00EE13DA"/>
    <w:rsid w:val="00EE1595"/>
    <w:rsid w:val="00EE1E71"/>
    <w:rsid w:val="00EE2087"/>
    <w:rsid w:val="00EE20C2"/>
    <w:rsid w:val="00EE224D"/>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C32AB"/>
    <w:rsid w:val="011F6449"/>
    <w:rsid w:val="01236AFB"/>
    <w:rsid w:val="01541149"/>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BE6034"/>
    <w:rsid w:val="03DD35E4"/>
    <w:rsid w:val="04076900"/>
    <w:rsid w:val="041A5A3B"/>
    <w:rsid w:val="042311BA"/>
    <w:rsid w:val="042B157A"/>
    <w:rsid w:val="044D2C6F"/>
    <w:rsid w:val="046720D6"/>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DE4CB4"/>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743B3F"/>
    <w:rsid w:val="0C8445DA"/>
    <w:rsid w:val="0C87121B"/>
    <w:rsid w:val="0CC007F7"/>
    <w:rsid w:val="0CC617AC"/>
    <w:rsid w:val="0CE618DF"/>
    <w:rsid w:val="0CFE707A"/>
    <w:rsid w:val="0D063BDA"/>
    <w:rsid w:val="0D08375F"/>
    <w:rsid w:val="0D184CFB"/>
    <w:rsid w:val="0D4A7419"/>
    <w:rsid w:val="0D7A1432"/>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C70674"/>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BA5112"/>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83082F"/>
    <w:rsid w:val="1BA209CF"/>
    <w:rsid w:val="1BA87030"/>
    <w:rsid w:val="1BB4777D"/>
    <w:rsid w:val="1BD75AB8"/>
    <w:rsid w:val="1C0459C2"/>
    <w:rsid w:val="1C1B3B4A"/>
    <w:rsid w:val="1C88086E"/>
    <w:rsid w:val="1D266CE1"/>
    <w:rsid w:val="1D3963AF"/>
    <w:rsid w:val="1D55566A"/>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476BBD"/>
    <w:rsid w:val="245375B0"/>
    <w:rsid w:val="24642C0A"/>
    <w:rsid w:val="24B22173"/>
    <w:rsid w:val="24B95AD9"/>
    <w:rsid w:val="24BE24DA"/>
    <w:rsid w:val="24CF5825"/>
    <w:rsid w:val="24D663E6"/>
    <w:rsid w:val="24D77F2B"/>
    <w:rsid w:val="258B00E2"/>
    <w:rsid w:val="25A917A6"/>
    <w:rsid w:val="25BE27CC"/>
    <w:rsid w:val="25CC175F"/>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363ABF"/>
    <w:rsid w:val="294C65AD"/>
    <w:rsid w:val="29806583"/>
    <w:rsid w:val="298B3C4C"/>
    <w:rsid w:val="29F26D24"/>
    <w:rsid w:val="2A15033F"/>
    <w:rsid w:val="2A1662C1"/>
    <w:rsid w:val="2A1C7367"/>
    <w:rsid w:val="2A2815FA"/>
    <w:rsid w:val="2A6D6092"/>
    <w:rsid w:val="2A7D76B4"/>
    <w:rsid w:val="2ABC4D4D"/>
    <w:rsid w:val="2B437463"/>
    <w:rsid w:val="2B7807EE"/>
    <w:rsid w:val="2BA50BF7"/>
    <w:rsid w:val="2BBF00EC"/>
    <w:rsid w:val="2BC37CFD"/>
    <w:rsid w:val="2BD5237F"/>
    <w:rsid w:val="2BE536CE"/>
    <w:rsid w:val="2BE758D9"/>
    <w:rsid w:val="2C09049E"/>
    <w:rsid w:val="2C0A653C"/>
    <w:rsid w:val="2C191F85"/>
    <w:rsid w:val="2CCD7D38"/>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72288"/>
    <w:rsid w:val="2FFD7934"/>
    <w:rsid w:val="30733ACD"/>
    <w:rsid w:val="308C3862"/>
    <w:rsid w:val="309379D8"/>
    <w:rsid w:val="30A270F7"/>
    <w:rsid w:val="30DF1478"/>
    <w:rsid w:val="30EC586F"/>
    <w:rsid w:val="319C6071"/>
    <w:rsid w:val="31AC537E"/>
    <w:rsid w:val="31E3679B"/>
    <w:rsid w:val="31E732FD"/>
    <w:rsid w:val="324B0876"/>
    <w:rsid w:val="32517576"/>
    <w:rsid w:val="32BE5C2C"/>
    <w:rsid w:val="32FB6478"/>
    <w:rsid w:val="33263B3F"/>
    <w:rsid w:val="336963EB"/>
    <w:rsid w:val="33816EEB"/>
    <w:rsid w:val="33EB55CD"/>
    <w:rsid w:val="33EC4C02"/>
    <w:rsid w:val="340D2360"/>
    <w:rsid w:val="3410665D"/>
    <w:rsid w:val="34206BBA"/>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9E361B"/>
    <w:rsid w:val="36A74ADA"/>
    <w:rsid w:val="36AD60D5"/>
    <w:rsid w:val="36B224F9"/>
    <w:rsid w:val="36EC0CC9"/>
    <w:rsid w:val="37377380"/>
    <w:rsid w:val="373F410B"/>
    <w:rsid w:val="376C0D02"/>
    <w:rsid w:val="37EE7094"/>
    <w:rsid w:val="38296C89"/>
    <w:rsid w:val="383002EB"/>
    <w:rsid w:val="38586797"/>
    <w:rsid w:val="38BC0149"/>
    <w:rsid w:val="38D87D1C"/>
    <w:rsid w:val="39636459"/>
    <w:rsid w:val="396B7F6C"/>
    <w:rsid w:val="39B417A9"/>
    <w:rsid w:val="39FC5695"/>
    <w:rsid w:val="3A006D8E"/>
    <w:rsid w:val="3A3651E5"/>
    <w:rsid w:val="3A744481"/>
    <w:rsid w:val="3A772A1D"/>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FD23E6"/>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9A302D"/>
    <w:rsid w:val="43A3342B"/>
    <w:rsid w:val="43C77C27"/>
    <w:rsid w:val="43DE09EE"/>
    <w:rsid w:val="43F565F9"/>
    <w:rsid w:val="44002FAD"/>
    <w:rsid w:val="449101DD"/>
    <w:rsid w:val="44B877B7"/>
    <w:rsid w:val="44DE1391"/>
    <w:rsid w:val="451B225C"/>
    <w:rsid w:val="452410C9"/>
    <w:rsid w:val="45317DFB"/>
    <w:rsid w:val="453411AE"/>
    <w:rsid w:val="45436E41"/>
    <w:rsid w:val="456D3CE4"/>
    <w:rsid w:val="4579042C"/>
    <w:rsid w:val="457F0571"/>
    <w:rsid w:val="45851176"/>
    <w:rsid w:val="45C63B94"/>
    <w:rsid w:val="460E7DA5"/>
    <w:rsid w:val="46422483"/>
    <w:rsid w:val="4659254A"/>
    <w:rsid w:val="465B0637"/>
    <w:rsid w:val="465E3F0D"/>
    <w:rsid w:val="465F014E"/>
    <w:rsid w:val="466A16E6"/>
    <w:rsid w:val="46893F2B"/>
    <w:rsid w:val="46C4686E"/>
    <w:rsid w:val="475C24EB"/>
    <w:rsid w:val="477B778F"/>
    <w:rsid w:val="478203EC"/>
    <w:rsid w:val="47B025FA"/>
    <w:rsid w:val="4809698F"/>
    <w:rsid w:val="4811697D"/>
    <w:rsid w:val="486B3F71"/>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D9C6E2F"/>
    <w:rsid w:val="4E693057"/>
    <w:rsid w:val="4E793892"/>
    <w:rsid w:val="4E800872"/>
    <w:rsid w:val="4EC569ED"/>
    <w:rsid w:val="4ED50EA1"/>
    <w:rsid w:val="4ED51520"/>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3AF0629"/>
    <w:rsid w:val="54013861"/>
    <w:rsid w:val="54176950"/>
    <w:rsid w:val="54487265"/>
    <w:rsid w:val="544D6070"/>
    <w:rsid w:val="54605E1E"/>
    <w:rsid w:val="54B3506A"/>
    <w:rsid w:val="54CA0D16"/>
    <w:rsid w:val="54DD4057"/>
    <w:rsid w:val="54E7490F"/>
    <w:rsid w:val="550764A4"/>
    <w:rsid w:val="550B2BF6"/>
    <w:rsid w:val="55214EB5"/>
    <w:rsid w:val="552A2BBF"/>
    <w:rsid w:val="55364EFD"/>
    <w:rsid w:val="555D4828"/>
    <w:rsid w:val="557A4C8B"/>
    <w:rsid w:val="558931E1"/>
    <w:rsid w:val="55923347"/>
    <w:rsid w:val="55925180"/>
    <w:rsid w:val="55983B1B"/>
    <w:rsid w:val="55A8376B"/>
    <w:rsid w:val="55DC29B6"/>
    <w:rsid w:val="55DD4241"/>
    <w:rsid w:val="566B6D1E"/>
    <w:rsid w:val="56A7044E"/>
    <w:rsid w:val="57032A2C"/>
    <w:rsid w:val="570452C9"/>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2245D0"/>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CB3527"/>
    <w:rsid w:val="5AD63A24"/>
    <w:rsid w:val="5B2E1A1D"/>
    <w:rsid w:val="5B843A1C"/>
    <w:rsid w:val="5B873E3F"/>
    <w:rsid w:val="5C02690E"/>
    <w:rsid w:val="5C196DA7"/>
    <w:rsid w:val="5C2A048C"/>
    <w:rsid w:val="5C80234E"/>
    <w:rsid w:val="5C8A680C"/>
    <w:rsid w:val="5D0C4701"/>
    <w:rsid w:val="5D0F0395"/>
    <w:rsid w:val="5D221076"/>
    <w:rsid w:val="5D235B2D"/>
    <w:rsid w:val="5D397964"/>
    <w:rsid w:val="5D5A391C"/>
    <w:rsid w:val="5D5F10C0"/>
    <w:rsid w:val="5D891B7B"/>
    <w:rsid w:val="5DAD38EE"/>
    <w:rsid w:val="5DEF62A4"/>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A06F6C"/>
    <w:rsid w:val="5FCC5339"/>
    <w:rsid w:val="5FE34A5B"/>
    <w:rsid w:val="5FFE1E36"/>
    <w:rsid w:val="60232584"/>
    <w:rsid w:val="607330CE"/>
    <w:rsid w:val="60825176"/>
    <w:rsid w:val="608623FD"/>
    <w:rsid w:val="609F2AC4"/>
    <w:rsid w:val="60FA2EE8"/>
    <w:rsid w:val="61054A27"/>
    <w:rsid w:val="610A52BC"/>
    <w:rsid w:val="611D2366"/>
    <w:rsid w:val="61421856"/>
    <w:rsid w:val="615227C4"/>
    <w:rsid w:val="61524EF4"/>
    <w:rsid w:val="61654E3F"/>
    <w:rsid w:val="6182292A"/>
    <w:rsid w:val="619F7F92"/>
    <w:rsid w:val="61F94C26"/>
    <w:rsid w:val="62000E56"/>
    <w:rsid w:val="624F3E49"/>
    <w:rsid w:val="62632286"/>
    <w:rsid w:val="62885958"/>
    <w:rsid w:val="62F40B65"/>
    <w:rsid w:val="62FC2CFE"/>
    <w:rsid w:val="63017A80"/>
    <w:rsid w:val="63024505"/>
    <w:rsid w:val="635600A5"/>
    <w:rsid w:val="635B1DB5"/>
    <w:rsid w:val="63711FED"/>
    <w:rsid w:val="63880DDC"/>
    <w:rsid w:val="638D750D"/>
    <w:rsid w:val="63AC6CC0"/>
    <w:rsid w:val="64055776"/>
    <w:rsid w:val="64240056"/>
    <w:rsid w:val="64342178"/>
    <w:rsid w:val="643E143A"/>
    <w:rsid w:val="64491666"/>
    <w:rsid w:val="648B6EEF"/>
    <w:rsid w:val="64C158BF"/>
    <w:rsid w:val="64CE2EAA"/>
    <w:rsid w:val="653C3090"/>
    <w:rsid w:val="65854376"/>
    <w:rsid w:val="658767BE"/>
    <w:rsid w:val="65892531"/>
    <w:rsid w:val="658B6D19"/>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8006B"/>
    <w:rsid w:val="6B5B6274"/>
    <w:rsid w:val="6B935D53"/>
    <w:rsid w:val="6C196F71"/>
    <w:rsid w:val="6C226FCB"/>
    <w:rsid w:val="6C31226F"/>
    <w:rsid w:val="6C552F0B"/>
    <w:rsid w:val="6C8C67B7"/>
    <w:rsid w:val="6C9D744C"/>
    <w:rsid w:val="6D167928"/>
    <w:rsid w:val="6D26299B"/>
    <w:rsid w:val="6D4772EC"/>
    <w:rsid w:val="6D9078AF"/>
    <w:rsid w:val="6DAA3FEF"/>
    <w:rsid w:val="6DBE0F5A"/>
    <w:rsid w:val="6DC0172B"/>
    <w:rsid w:val="6DCB690C"/>
    <w:rsid w:val="6DD41A5B"/>
    <w:rsid w:val="6DF43C2E"/>
    <w:rsid w:val="6DF51CA3"/>
    <w:rsid w:val="6E4371C3"/>
    <w:rsid w:val="6E8335BD"/>
    <w:rsid w:val="6E8E12EF"/>
    <w:rsid w:val="6E972936"/>
    <w:rsid w:val="6ED446C5"/>
    <w:rsid w:val="6F2A7D94"/>
    <w:rsid w:val="6F8331F1"/>
    <w:rsid w:val="6FAA5C3A"/>
    <w:rsid w:val="6FAE1A09"/>
    <w:rsid w:val="6FD75BF8"/>
    <w:rsid w:val="6FDA7F93"/>
    <w:rsid w:val="6FFF1196"/>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4CB2427"/>
    <w:rsid w:val="75067759"/>
    <w:rsid w:val="752E6DCD"/>
    <w:rsid w:val="7551380D"/>
    <w:rsid w:val="75600BE5"/>
    <w:rsid w:val="7564475C"/>
    <w:rsid w:val="7583797F"/>
    <w:rsid w:val="758B5587"/>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BD70A9"/>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C205B9"/>
    <w:rsid w:val="7BEE0103"/>
    <w:rsid w:val="7C0A0FE4"/>
    <w:rsid w:val="7C1E5C5D"/>
    <w:rsid w:val="7C254906"/>
    <w:rsid w:val="7C590818"/>
    <w:rsid w:val="7C7C10F6"/>
    <w:rsid w:val="7C853BEA"/>
    <w:rsid w:val="7C881368"/>
    <w:rsid w:val="7CE27788"/>
    <w:rsid w:val="7D0C32F1"/>
    <w:rsid w:val="7D0F408D"/>
    <w:rsid w:val="7D491C6C"/>
    <w:rsid w:val="7D5429C0"/>
    <w:rsid w:val="7D6E6D43"/>
    <w:rsid w:val="7DB57A34"/>
    <w:rsid w:val="7DB632F2"/>
    <w:rsid w:val="7DE60973"/>
    <w:rsid w:val="7DEF0916"/>
    <w:rsid w:val="7E0929FF"/>
    <w:rsid w:val="7E1E5218"/>
    <w:rsid w:val="7E3231B3"/>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27"/>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link w:val="318"/>
    <w:qFormat/>
    <w:uiPriority w:val="0"/>
    <w:pPr>
      <w:ind w:firstLine="420"/>
    </w:pPr>
    <w:rPr>
      <w:rFonts w:hAnsi="Calibri" w:cs="Times New Roman"/>
      <w:snapToGrid/>
      <w:szCs w:val="20"/>
    </w:rPr>
  </w:style>
  <w:style w:type="paragraph" w:styleId="7">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6"/>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199"/>
    <w:qFormat/>
    <w:uiPriority w:val="0"/>
    <w:pPr>
      <w:shd w:val="clear" w:color="auto" w:fill="000080"/>
    </w:pPr>
  </w:style>
  <w:style w:type="paragraph" w:styleId="21">
    <w:name w:val="annotation text"/>
    <w:basedOn w:val="1"/>
    <w:link w:val="341"/>
    <w:qFormat/>
    <w:uiPriority w:val="99"/>
    <w:pPr>
      <w:jc w:val="left"/>
    </w:pPr>
  </w:style>
  <w:style w:type="paragraph" w:styleId="22">
    <w:name w:val="Salutation"/>
    <w:basedOn w:val="1"/>
    <w:next w:val="1"/>
    <w:link w:val="295"/>
    <w:qFormat/>
    <w:uiPriority w:val="0"/>
    <w:rPr>
      <w:rFonts w:ascii="仿宋_GB2312" w:eastAsia="仿宋_GB2312"/>
      <w:sz w:val="28"/>
      <w:szCs w:val="20"/>
    </w:rPr>
  </w:style>
  <w:style w:type="paragraph" w:styleId="23">
    <w:name w:val="Body Text 3"/>
    <w:basedOn w:val="1"/>
    <w:link w:val="327"/>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7"/>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3"/>
    <w:qFormat/>
    <w:uiPriority w:val="0"/>
    <w:rPr>
      <w:b/>
      <w:bCs/>
    </w:rPr>
  </w:style>
  <w:style w:type="paragraph" w:styleId="61">
    <w:name w:val="Body Text First Indent 2"/>
    <w:basedOn w:val="25"/>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10"/>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5"/>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3"/>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7"/>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20"/>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8"/>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8"/>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4"/>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9"/>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2"/>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8"/>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1"/>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3"/>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8"/>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3"/>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1"/>
    <w:qFormat/>
    <w:uiPriority w:val="0"/>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2"/>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7"/>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8"/>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5"/>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6"/>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9"/>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6"/>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8"/>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4"/>
    <w:qFormat/>
    <w:uiPriority w:val="0"/>
    <w:pPr>
      <w:tabs>
        <w:tab w:val="left" w:pos="840"/>
      </w:tabs>
      <w:adjustRightInd/>
      <w:ind w:left="840" w:hanging="420"/>
    </w:pPr>
  </w:style>
  <w:style w:type="paragraph" w:customStyle="1" w:styleId="62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8"/>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6"/>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正文360首行缩进"/>
    <w:basedOn w:val="1"/>
    <w:qFormat/>
    <w:uiPriority w:val="0"/>
    <w:pPr>
      <w:widowControl/>
      <w:spacing w:after="50" w:line="300" w:lineRule="auto"/>
      <w:ind w:firstLine="200" w:firstLineChars="200"/>
      <w:jc w:val="left"/>
    </w:pPr>
    <w:rPr>
      <w:rFonts w:ascii="Arial" w:hAnsi="Arial"/>
      <w:kern w:val="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3B2367-DA3D-4523-AE1D-B1C1C21D6852}">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89</Pages>
  <Words>52140</Words>
  <Characters>56066</Characters>
  <Lines>287</Lines>
  <Paragraphs>81</Paragraphs>
  <TotalTime>55</TotalTime>
  <ScaleCrop>false</ScaleCrop>
  <LinksUpToDate>false</LinksUpToDate>
  <CharactersWithSpaces>61135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2021-12-27T03:06:00Z</cp:lastPrinted>
  <dcterms:modified xsi:type="dcterms:W3CDTF">2023-05-24T02:23:03Z</dcterms:modified>
  <dc:title>杭州市市民卡扩大发卡工程</dc:title>
  <cp:revision>379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2A1488EE2D8343AFA8E42C56F6AD394A</vt:lpwstr>
  </property>
</Properties>
</file>