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sz w:val="48"/>
          <w:szCs w:val="48"/>
          <w:highlight w:val="none"/>
        </w:rPr>
      </w:pPr>
    </w:p>
    <w:p>
      <w:pPr>
        <w:adjustRightInd/>
        <w:spacing w:line="360" w:lineRule="auto"/>
        <w:jc w:val="center"/>
        <w:rPr>
          <w:rFonts w:hint="eastAsia" w:ascii="宋体" w:hAnsi="宋体" w:cs="宋体"/>
          <w:b/>
          <w:bCs/>
          <w:sz w:val="48"/>
          <w:szCs w:val="48"/>
          <w:highlight w:val="none"/>
          <w:lang w:eastAsia="zh-CN"/>
        </w:rPr>
      </w:pPr>
      <w:r>
        <w:rPr>
          <w:rFonts w:hint="eastAsia" w:ascii="宋体" w:hAnsi="宋体" w:cs="宋体"/>
          <w:b/>
          <w:bCs/>
          <w:sz w:val="48"/>
          <w:szCs w:val="48"/>
          <w:highlight w:val="none"/>
          <w:lang w:eastAsia="zh-CN"/>
        </w:rPr>
        <w:t>杭州市文理中学监控系统采购项目</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招标文件</w:t>
      </w:r>
    </w:p>
    <w:p>
      <w:pPr>
        <w:pStyle w:val="5"/>
        <w:rPr>
          <w:rFonts w:hint="eastAsia"/>
          <w:highlight w:val="none"/>
          <w:lang w:eastAsia="zh-CN"/>
        </w:rPr>
      </w:pP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hint="eastAsia" w:ascii="宋体" w:hAnsi="宋体" w:eastAsia="宋体" w:cs="宋体"/>
          <w:sz w:val="30"/>
          <w:szCs w:val="30"/>
          <w:highlight w:val="none"/>
          <w:lang w:eastAsia="zh-CN"/>
        </w:rPr>
      </w:pPr>
      <w:r>
        <w:rPr>
          <w:rFonts w:hint="eastAsia" w:ascii="宋体" w:hAnsi="宋体" w:cs="宋体"/>
          <w:sz w:val="30"/>
          <w:szCs w:val="30"/>
          <w:highlight w:val="none"/>
        </w:rPr>
        <w:t>编号:</w:t>
      </w:r>
      <w:r>
        <w:rPr>
          <w:rFonts w:hint="eastAsia" w:ascii="宋体" w:hAnsi="宋体" w:cs="宋体"/>
          <w:sz w:val="30"/>
          <w:szCs w:val="30"/>
          <w:highlight w:val="none"/>
          <w:lang w:eastAsia="zh-CN"/>
        </w:rPr>
        <w:t>XHZFCG-2023-G-22</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lang w:eastAsia="zh-CN"/>
        </w:rPr>
        <w:t>杭州市文理中学</w:t>
      </w:r>
    </w:p>
    <w:p>
      <w:pPr>
        <w:snapToGrid w:val="0"/>
        <w:spacing w:line="360" w:lineRule="auto"/>
        <w:jc w:val="center"/>
        <w:rPr>
          <w:rFonts w:hint="eastAsia" w:ascii="宋体" w:hAnsi="宋体" w:cs="宋体"/>
          <w:bCs/>
          <w:sz w:val="32"/>
          <w:szCs w:val="32"/>
          <w:highlight w:val="none"/>
        </w:rPr>
      </w:pPr>
      <w:r>
        <w:rPr>
          <w:rFonts w:hint="eastAsia" w:ascii="宋体" w:hAnsi="宋体" w:cs="宋体"/>
          <w:bCs/>
          <w:sz w:val="32"/>
          <w:szCs w:val="32"/>
          <w:highlight w:val="none"/>
        </w:rPr>
        <w:t xml:space="preserve"> 杭州市西湖区政府采购中心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eastAsia="zh-CN"/>
        </w:rPr>
        <w:t>三</w:t>
      </w:r>
      <w:r>
        <w:rPr>
          <w:rFonts w:hint="eastAsia" w:ascii="宋体" w:hAnsi="宋体" w:cs="宋体"/>
          <w:bCs/>
          <w:sz w:val="32"/>
          <w:szCs w:val="32"/>
          <w:highlight w:val="none"/>
        </w:rPr>
        <w:t>年</w:t>
      </w:r>
      <w:r>
        <w:rPr>
          <w:rFonts w:hint="eastAsia" w:ascii="宋体" w:hAnsi="宋体" w:cs="宋体"/>
          <w:bCs/>
          <w:sz w:val="32"/>
          <w:szCs w:val="32"/>
          <w:highlight w:val="none"/>
          <w:lang w:eastAsia="zh-CN"/>
        </w:rPr>
        <w:t>五</w:t>
      </w:r>
      <w:r>
        <w:rPr>
          <w:rFonts w:hint="eastAsia" w:ascii="宋体" w:hAnsi="宋体" w:cs="宋体"/>
          <w:bCs/>
          <w:sz w:val="32"/>
          <w:szCs w:val="32"/>
          <w:highlight w:val="none"/>
        </w:rPr>
        <w:t>月</w:t>
      </w:r>
      <w:r>
        <w:rPr>
          <w:rFonts w:hint="eastAsia" w:ascii="宋体" w:hAnsi="宋体" w:cs="宋体"/>
          <w:bCs/>
          <w:sz w:val="32"/>
          <w:szCs w:val="32"/>
          <w:highlight w:val="none"/>
          <w:lang w:val="en-US" w:eastAsia="zh-CN"/>
        </w:rPr>
        <w:t>二十五</w:t>
      </w:r>
      <w:r>
        <w:rPr>
          <w:rFonts w:hint="eastAsia" w:ascii="宋体" w:hAnsi="宋体" w:cs="宋体"/>
          <w:bCs/>
          <w:sz w:val="32"/>
          <w:szCs w:val="32"/>
          <w:highlight w:val="none"/>
        </w:rPr>
        <w:t>日</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杭州市文理中学监控系统采购项目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default" w:ascii="宋体" w:hAnsi="宋体" w:cs="宋体"/>
          <w:sz w:val="24"/>
          <w:highlight w:val="none"/>
          <w:u w:val="single"/>
          <w:lang w:val="en-US"/>
        </w:rPr>
        <w:t>2023</w:t>
      </w:r>
      <w:r>
        <w:rPr>
          <w:rFonts w:hint="eastAsia" w:ascii="宋体" w:hAnsi="宋体" w:cs="宋体"/>
          <w:sz w:val="24"/>
          <w:highlight w:val="none"/>
          <w:u w:val="single"/>
        </w:rPr>
        <w:t>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eastAsia="zh-CN"/>
        </w:rPr>
        <w:t>19</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XHZFCG-2023-G-22</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杭州市文理中学监控系统采购项目</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cs="宋体"/>
          <w:sz w:val="24"/>
          <w:highlight w:val="none"/>
        </w:rPr>
        <w:t xml:space="preserve">  </w:t>
      </w:r>
      <w:r>
        <w:rPr>
          <w:rFonts w:hint="eastAsia" w:ascii="宋体" w:hAnsi="宋体" w:cs="宋体"/>
          <w:sz w:val="24"/>
          <w:highlight w:val="none"/>
          <w:lang w:val="en-US" w:eastAsia="zh-CN"/>
        </w:rPr>
        <w:t>833030.00</w:t>
      </w:r>
      <w:bookmarkStart w:id="409" w:name="_GoBack"/>
      <w:bookmarkEnd w:id="409"/>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最高限价（元）：</w:t>
      </w:r>
      <w:r>
        <w:rPr>
          <w:rFonts w:hint="eastAsia" w:ascii="宋体" w:hAnsi="宋体" w:cs="宋体"/>
          <w:sz w:val="24"/>
          <w:highlight w:val="none"/>
        </w:rPr>
        <w:t xml:space="preserve">  </w:t>
      </w:r>
      <w:r>
        <w:rPr>
          <w:rFonts w:hint="eastAsia" w:ascii="宋体" w:hAnsi="宋体" w:cs="宋体"/>
          <w:sz w:val="24"/>
          <w:highlight w:val="none"/>
          <w:lang w:val="en-US" w:eastAsia="zh-CN"/>
        </w:rPr>
        <w:t>833030.00</w:t>
      </w:r>
    </w:p>
    <w:p>
      <w:pPr>
        <w:pStyle w:val="6"/>
        <w:spacing w:line="360" w:lineRule="auto"/>
        <w:ind w:firstLine="480"/>
        <w:rPr>
          <w:rFonts w:hint="eastAsia" w:hAnsi="宋体" w:cs="宋体"/>
          <w:bCs/>
          <w:snapToGrid/>
          <w:color w:val="auto"/>
          <w:kern w:val="2"/>
          <w:sz w:val="24"/>
          <w:szCs w:val="24"/>
          <w:highlight w:val="none"/>
          <w:lang w:eastAsia="zh-CN"/>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杭州市文理中学监控系统采购项目，</w:t>
      </w:r>
      <w:r>
        <w:rPr>
          <w:rFonts w:hint="eastAsia" w:hAnsi="宋体" w:cs="宋体"/>
          <w:bCs/>
          <w:snapToGrid/>
          <w:color w:val="auto"/>
          <w:kern w:val="2"/>
          <w:sz w:val="24"/>
          <w:szCs w:val="24"/>
          <w:highlight w:val="none"/>
        </w:rPr>
        <w:t>主要内容：</w:t>
      </w:r>
      <w:r>
        <w:rPr>
          <w:rFonts w:hint="eastAsia" w:hAnsi="宋体" w:cs="宋体"/>
          <w:bCs/>
          <w:snapToGrid/>
          <w:color w:val="auto"/>
          <w:kern w:val="2"/>
          <w:sz w:val="24"/>
          <w:szCs w:val="24"/>
          <w:highlight w:val="none"/>
          <w:lang w:eastAsia="zh-CN"/>
        </w:rPr>
        <w:t>安防监控集成、学校原有监控设备扩容存储、新增设备存储等，具体包括安装、产品调试（含与原有设备整合）、试运行、验收与相关的操作培训及不少于3年（含）7×24小时免费设备保修和售后现场技术服务等内容。供应商可点击本公告下方“浏览采购文件”查看采购需求。</w:t>
      </w:r>
    </w:p>
    <w:p>
      <w:pPr>
        <w:pStyle w:val="6"/>
        <w:spacing w:line="360" w:lineRule="auto"/>
        <w:ind w:firstLine="480"/>
        <w:rPr>
          <w:rFonts w:hint="eastAsia" w:hAnsi="宋体" w:cs="宋体"/>
          <w:bCs/>
          <w:snapToGrid/>
          <w:color w:val="auto"/>
          <w:kern w:val="2"/>
          <w:sz w:val="24"/>
          <w:szCs w:val="24"/>
          <w:highlight w:val="none"/>
        </w:rPr>
      </w:pPr>
    </w:p>
    <w:p>
      <w:pPr>
        <w:pStyle w:val="6"/>
        <w:spacing w:line="360" w:lineRule="auto"/>
        <w:ind w:firstLine="480"/>
        <w:rPr>
          <w:rFonts w:hint="eastAsia" w:hAnsi="宋体" w:cs="宋体"/>
          <w:bCs/>
          <w:snapToGrid/>
          <w:color w:val="auto"/>
          <w:kern w:val="2"/>
          <w:sz w:val="24"/>
          <w:szCs w:val="24"/>
          <w:highlight w:val="none"/>
        </w:rPr>
      </w:pPr>
      <w:r>
        <w:rPr>
          <w:rFonts w:hint="eastAsia" w:hAnsi="宋体" w:cs="宋体"/>
          <w:bCs/>
          <w:snapToGrid/>
          <w:color w:val="auto"/>
          <w:kern w:val="2"/>
          <w:sz w:val="24"/>
          <w:szCs w:val="24"/>
          <w:highlight w:val="none"/>
        </w:rPr>
        <w:t>标项名称：</w:t>
      </w:r>
      <w:r>
        <w:rPr>
          <w:rFonts w:hint="eastAsia" w:hAnsi="宋体" w:cs="宋体"/>
          <w:sz w:val="24"/>
          <w:highlight w:val="none"/>
          <w:lang w:eastAsia="zh-CN"/>
        </w:rPr>
        <w:t>杭州市文理中学监控系统采购项目</w:t>
      </w:r>
    </w:p>
    <w:p>
      <w:pPr>
        <w:pStyle w:val="6"/>
        <w:spacing w:line="360" w:lineRule="auto"/>
        <w:ind w:firstLine="480"/>
        <w:rPr>
          <w:rFonts w:hint="eastAsia" w:hAnsi="宋体" w:eastAsia="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rPr>
        <w:t>数量：</w:t>
      </w:r>
      <w:r>
        <w:rPr>
          <w:rFonts w:hint="default" w:hAnsi="宋体" w:cs="宋体"/>
          <w:bCs/>
          <w:snapToGrid/>
          <w:color w:val="auto"/>
          <w:kern w:val="2"/>
          <w:sz w:val="24"/>
          <w:szCs w:val="24"/>
          <w:highlight w:val="none"/>
          <w:lang w:val="en-US"/>
        </w:rPr>
        <w:t>1</w:t>
      </w:r>
      <w:r>
        <w:rPr>
          <w:rFonts w:hint="eastAsia" w:hAnsi="宋体" w:cs="宋体"/>
          <w:bCs/>
          <w:snapToGrid/>
          <w:color w:val="auto"/>
          <w:kern w:val="2"/>
          <w:sz w:val="24"/>
          <w:szCs w:val="24"/>
          <w:highlight w:val="none"/>
          <w:lang w:val="en-US" w:eastAsia="zh-CN"/>
        </w:rPr>
        <w:t>批</w:t>
      </w:r>
    </w:p>
    <w:p>
      <w:pPr>
        <w:spacing w:line="360" w:lineRule="auto"/>
        <w:ind w:firstLine="480"/>
        <w:rPr>
          <w:rFonts w:hint="default" w:ascii="宋体" w:hAnsi="宋体" w:cs="宋体"/>
          <w:sz w:val="24"/>
          <w:highlight w:val="none"/>
          <w:lang w:val="en-US"/>
        </w:rPr>
      </w:pPr>
      <w:r>
        <w:rPr>
          <w:rFonts w:hint="eastAsia" w:hAnsi="宋体" w:cs="宋体"/>
          <w:bCs/>
          <w:snapToGrid/>
          <w:color w:val="auto"/>
          <w:kern w:val="2"/>
          <w:sz w:val="24"/>
          <w:szCs w:val="24"/>
          <w:highlight w:val="none"/>
        </w:rPr>
        <w:t>预算金额（元）：</w:t>
      </w:r>
      <w:r>
        <w:rPr>
          <w:rFonts w:hint="default" w:ascii="宋体" w:hAnsi="宋体" w:cs="宋体"/>
          <w:sz w:val="24"/>
          <w:highlight w:val="none"/>
          <w:lang w:val="en-US" w:eastAsia="zh-CN"/>
        </w:rPr>
        <w:t>833030.00</w:t>
      </w:r>
    </w:p>
    <w:p>
      <w:pPr>
        <w:pStyle w:val="6"/>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rPr>
        <w:t>简要规格描述或项目基本概况介绍、用途：</w:t>
      </w:r>
      <w:r>
        <w:rPr>
          <w:rFonts w:hint="eastAsia" w:hAnsi="宋体" w:cs="宋体"/>
          <w:bCs/>
          <w:snapToGrid/>
          <w:color w:val="auto"/>
          <w:kern w:val="2"/>
          <w:sz w:val="24"/>
          <w:szCs w:val="24"/>
          <w:highlight w:val="none"/>
          <w:lang w:eastAsia="zh-CN"/>
        </w:rPr>
        <w:t>安防监控集成、学校原有监控设备扩容存储、新增设备存储等，具体包括安装、产品调试（含与原有设备整合）、试运行、验收与相关的操作培训及不少于3年（含）7×24小时免费设备保修和售后现场技术服务等内容。</w:t>
      </w:r>
    </w:p>
    <w:p>
      <w:pPr>
        <w:pStyle w:val="6"/>
        <w:spacing w:line="360" w:lineRule="auto"/>
        <w:ind w:firstLine="480"/>
        <w:rPr>
          <w:rFonts w:hint="eastAsia" w:ascii="宋体" w:hAnsi="宋体" w:eastAsia="宋体" w:cs="宋体"/>
          <w:highlight w:val="none"/>
          <w:lang w:val="en-US" w:eastAsia="zh-CN"/>
        </w:rPr>
      </w:pPr>
      <w:r>
        <w:rPr>
          <w:rFonts w:hint="eastAsia" w:hAnsi="宋体" w:cs="宋体"/>
          <w:bCs/>
          <w:snapToGrid/>
          <w:color w:val="auto"/>
          <w:kern w:val="2"/>
          <w:sz w:val="24"/>
          <w:szCs w:val="24"/>
          <w:highlight w:val="none"/>
        </w:rPr>
        <w:t>备注：</w:t>
      </w:r>
    </w:p>
    <w:p>
      <w:pPr>
        <w:pStyle w:val="129"/>
        <w:numPr>
          <w:ilvl w:val="0"/>
          <w:numId w:val="1"/>
        </w:numPr>
        <w:spacing w:line="360" w:lineRule="auto"/>
        <w:ind w:left="0" w:leftChars="0" w:firstLine="482" w:firstLineChars="200"/>
        <w:outlineLvl w:val="2"/>
        <w:rPr>
          <w:rFonts w:hint="eastAsia" w:ascii="宋体" w:hAnsi="宋体" w:eastAsia="宋体" w:cs="宋体"/>
          <w:highlight w:val="none"/>
          <w:lang w:val="en-US" w:eastAsia="zh-CN"/>
        </w:rPr>
      </w:pPr>
      <w:r>
        <w:rPr>
          <w:rFonts w:hint="eastAsia" w:ascii="宋体" w:hAnsi="宋体" w:cs="宋体"/>
          <w:b/>
          <w:highlight w:val="none"/>
        </w:rPr>
        <w:t>合同</w:t>
      </w:r>
      <w:r>
        <w:rPr>
          <w:rFonts w:hint="eastAsia" w:ascii="宋体" w:hAnsi="宋体" w:cs="宋体"/>
          <w:b/>
          <w:highlight w:val="none"/>
          <w:lang w:eastAsia="zh-CN"/>
        </w:rPr>
        <w:t>履约</w:t>
      </w:r>
      <w:r>
        <w:rPr>
          <w:rFonts w:hint="eastAsia" w:ascii="宋体" w:hAnsi="宋体" w:cs="宋体"/>
          <w:b/>
          <w:highlight w:val="none"/>
        </w:rPr>
        <w:t>期限：</w:t>
      </w:r>
      <w:r>
        <w:rPr>
          <w:rFonts w:hint="eastAsia"/>
          <w:b/>
          <w:bCs/>
          <w:highlight w:val="none"/>
          <w:lang w:eastAsia="zh-CN"/>
        </w:rPr>
        <w:t>合同签订后30天内完成全部建设内容；正常试运行1个月，培训并交付使用。</w:t>
      </w:r>
    </w:p>
    <w:p>
      <w:pPr>
        <w:pStyle w:val="6"/>
        <w:spacing w:line="360" w:lineRule="auto"/>
        <w:ind w:firstLine="480"/>
        <w:rPr>
          <w:rFonts w:hAnsi="宋体" w:cs="宋体"/>
          <w:color w:val="auto"/>
          <w:kern w:val="0"/>
          <w:sz w:val="24"/>
          <w:highlight w:val="none"/>
        </w:rPr>
      </w:pPr>
      <w:r>
        <w:rPr>
          <w:rFonts w:hint="eastAsia" w:hAnsi="宋体" w:cs="宋体"/>
          <w:b/>
          <w:color w:val="auto"/>
          <w:sz w:val="24"/>
          <w:highlight w:val="none"/>
          <w:lang w:val="en-US" w:eastAsia="zh-CN"/>
        </w:rPr>
        <w:t>2、</w:t>
      </w: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w:t>
      </w:r>
      <w:bookmarkStart w:id="11" w:name="_Hlk101132948"/>
      <w:r>
        <w:rPr>
          <w:rFonts w:hint="eastAsia" w:ascii="宋体" w:hAnsi="宋体" w:cs="宋体"/>
          <w:b/>
          <w:sz w:val="24"/>
          <w:highlight w:val="none"/>
        </w:rPr>
        <w:t>申请人的资格要求</w:t>
      </w:r>
      <w:bookmarkEnd w:id="11"/>
      <w:r>
        <w:rPr>
          <w:rFonts w:hint="eastAsia" w:ascii="宋体" w:hAnsi="宋体" w:cs="宋体"/>
          <w:b/>
          <w:sz w:val="24"/>
          <w:highlight w:val="none"/>
        </w:rPr>
        <w:t>：</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无（注：不得限制大中型企业与小微企业组成联合体参与投标）；</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u w:val="single"/>
        </w:rPr>
      </w:pPr>
      <w:sdt>
        <w:sdtPr>
          <w:rPr>
            <w:rFonts w:hint="eastAsia" w:ascii="宋体" w:hAnsi="宋体" w:cs="宋体"/>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货物全部由符合政策要求的中小企业制造，提供中小企业声明函；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货物全部由符合政策要求的小微企业制造，提供中小企业声明函；</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bookmarkStart w:id="12" w:name="_Hlk101132524"/>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bookmarkEnd w:id="12"/>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u w:val="singl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default"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rPr>
        <w:t>19</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default"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eastAsia="zh-CN"/>
        </w:rPr>
        <w:t>19</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default"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eastAsia="zh-CN"/>
        </w:rPr>
        <w:t>19</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w:t>
      </w:r>
      <w:r>
        <w:rPr>
          <w:rFonts w:hint="eastAsia"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rPr>
        <w:t>名    称：杭州市文理中学</w:t>
      </w:r>
    </w:p>
    <w:p>
      <w:pPr>
        <w:spacing w:line="360" w:lineRule="auto"/>
        <w:rPr>
          <w:rFonts w:ascii="宋体" w:hAnsi="宋体" w:cs="宋体"/>
          <w:sz w:val="24"/>
          <w:highlight w:val="none"/>
        </w:rPr>
      </w:pPr>
      <w:r>
        <w:rPr>
          <w:rFonts w:hint="eastAsia" w:ascii="宋体" w:hAnsi="宋体" w:cs="宋体"/>
          <w:sz w:val="24"/>
          <w:highlight w:val="none"/>
        </w:rPr>
        <w:t xml:space="preserve">    地    址：杭州市</w:t>
      </w:r>
      <w:r>
        <w:rPr>
          <w:rFonts w:ascii="宋体" w:hAnsi="宋体" w:cs="宋体"/>
          <w:sz w:val="24"/>
          <w:highlight w:val="none"/>
        </w:rPr>
        <w:t>西湖区欣然街 142 号</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ascii="宋体" w:hAnsi="宋体" w:cs="宋体"/>
          <w:sz w:val="24"/>
          <w:highlight w:val="none"/>
        </w:rPr>
      </w:pPr>
      <w:r>
        <w:rPr>
          <w:rFonts w:hint="eastAsia" w:ascii="宋体" w:hAnsi="宋体" w:cs="宋体"/>
          <w:sz w:val="24"/>
          <w:highlight w:val="none"/>
        </w:rPr>
        <w:t>项目联系人（询问）：姚坤扬</w:t>
      </w:r>
    </w:p>
    <w:p>
      <w:pPr>
        <w:spacing w:line="360" w:lineRule="auto"/>
        <w:rPr>
          <w:rFonts w:ascii="宋体" w:hAnsi="宋体" w:cs="宋体"/>
          <w:sz w:val="24"/>
          <w:highlight w:val="none"/>
        </w:rPr>
      </w:pPr>
      <w:r>
        <w:rPr>
          <w:rFonts w:hint="eastAsia" w:ascii="宋体" w:hAnsi="宋体" w:cs="宋体"/>
          <w:sz w:val="24"/>
          <w:highlight w:val="none"/>
        </w:rPr>
        <w:t xml:space="preserve">    项目联系方式（询问）： 13185070005</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 xml:space="preserve">质疑联系人： </w:t>
      </w:r>
      <w:r>
        <w:rPr>
          <w:rFonts w:hint="eastAsia" w:ascii="宋体" w:hAnsi="宋体" w:cs="宋体"/>
          <w:sz w:val="24"/>
          <w:highlight w:val="none"/>
          <w:lang w:eastAsia="zh-CN"/>
        </w:rPr>
        <w:t>朱航</w:t>
      </w:r>
    </w:p>
    <w:p>
      <w:pPr>
        <w:spacing w:line="360" w:lineRule="auto"/>
        <w:ind w:firstLine="480"/>
        <w:rPr>
          <w:rFonts w:hint="default" w:ascii="宋体" w:hAnsi="宋体" w:cs="宋体"/>
          <w:sz w:val="24"/>
          <w:highlight w:val="none"/>
          <w:lang w:val="en-US"/>
        </w:rPr>
      </w:pPr>
      <w:r>
        <w:rPr>
          <w:rFonts w:hint="eastAsia" w:ascii="宋体" w:hAnsi="宋体" w:cs="宋体"/>
          <w:sz w:val="24"/>
          <w:highlight w:val="none"/>
        </w:rPr>
        <w:t>质疑联系方式： 13</w:t>
      </w:r>
      <w:r>
        <w:rPr>
          <w:rFonts w:hint="default" w:ascii="宋体" w:hAnsi="宋体" w:cs="宋体"/>
          <w:sz w:val="24"/>
          <w:highlight w:val="none"/>
          <w:lang w:val="en-US"/>
        </w:rPr>
        <w:t>065730930</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杭州市西湖区文一西路858号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江涛</w:t>
      </w:r>
      <w:r>
        <w:rPr>
          <w:rFonts w:hint="eastAsia" w:ascii="宋体" w:hAnsi="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项目联系方式（询问）：</w:t>
      </w:r>
      <w:r>
        <w:rPr>
          <w:rFonts w:hint="eastAsia" w:ascii="宋体" w:hAnsi="宋体" w:cs="宋体"/>
          <w:sz w:val="24"/>
          <w:highlight w:val="none"/>
          <w:lang w:eastAsia="zh-CN"/>
        </w:rPr>
        <w:t>0571-89511007</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质疑联系方式：</w:t>
      </w:r>
      <w:r>
        <w:rPr>
          <w:rFonts w:hint="eastAsia" w:ascii="宋体" w:hAnsi="宋体" w:cs="宋体"/>
          <w:sz w:val="24"/>
          <w:highlight w:val="none"/>
          <w:lang w:eastAsia="zh-CN"/>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杭州市西湖区政府采购监管科</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地    址：</w:t>
      </w:r>
      <w:r>
        <w:rPr>
          <w:rFonts w:hint="eastAsia" w:ascii="宋体" w:hAnsi="宋体" w:cs="宋体"/>
          <w:sz w:val="24"/>
          <w:highlight w:val="none"/>
          <w:lang w:eastAsia="zh-CN"/>
        </w:rPr>
        <w:t>杭州市文三西路18号1104室</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监督投诉电话：0571-89511307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4"/>
        <w:spacing w:line="360" w:lineRule="auto"/>
        <w:rPr>
          <w:rFonts w:hAnsi="宋体" w:cs="宋体"/>
          <w:b/>
          <w:sz w:val="36"/>
          <w:szCs w:val="20"/>
          <w:highlight w:val="none"/>
        </w:rPr>
      </w:pPr>
      <w:r>
        <w:rPr>
          <w:rFonts w:hint="eastAsia" w:hAnsi="宋体" w:cs="宋体"/>
          <w:sz w:val="24"/>
          <w:highlight w:val="none"/>
        </w:rPr>
        <w:t xml:space="preserve">                        </w:t>
      </w:r>
      <w:r>
        <w:rPr>
          <w:rFonts w:hAnsi="宋体" w:cs="宋体"/>
          <w:b/>
          <w:sz w:val="36"/>
          <w:szCs w:val="20"/>
          <w:highlight w:val="none"/>
        </w:rPr>
        <w:t xml:space="preserve"> </w:t>
      </w:r>
    </w:p>
    <w:p>
      <w:pPr>
        <w:pStyle w:val="34"/>
        <w:spacing w:line="360" w:lineRule="auto"/>
        <w:jc w:val="center"/>
        <w:rPr>
          <w:rFonts w:hAnsi="宋体" w:cs="宋体"/>
          <w:b/>
          <w:sz w:val="36"/>
          <w:szCs w:val="20"/>
          <w:highlight w:val="none"/>
        </w:rPr>
      </w:pPr>
      <w:r>
        <w:rPr>
          <w:rFonts w:hint="eastAsia" w:hAnsi="宋体" w:cs="宋体"/>
          <w:b/>
          <w:sz w:val="36"/>
          <w:szCs w:val="20"/>
          <w:highlight w:val="none"/>
        </w:rPr>
        <w:t>第二部分</w:t>
      </w:r>
      <w:bookmarkEnd w:id="8"/>
      <w:r>
        <w:rPr>
          <w:rFonts w:hint="eastAsia" w:hAnsi="宋体" w:cs="宋体"/>
          <w:b/>
          <w:sz w:val="36"/>
          <w:szCs w:val="20"/>
          <w:highlight w:val="none"/>
        </w:rPr>
        <w:t xml:space="preserve"> 投标人须知</w:t>
      </w:r>
      <w:bookmarkEnd w:id="9"/>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340"/>
        <w:gridCol w:w="1502"/>
        <w:gridCol w:w="7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0" w:type="auto"/>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项目属性与核心产品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货物类，单一产品或</w:t>
            </w:r>
            <w:r>
              <w:rPr>
                <w:rFonts w:hint="eastAsia" w:ascii="宋体" w:hAnsi="宋体" w:cs="宋体"/>
                <w:kern w:val="0"/>
                <w:sz w:val="24"/>
                <w:highlight w:val="none"/>
              </w:rPr>
              <w:t>核心产品为：48盘位磁盘阵列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highlight w:val="none"/>
                <w:lang w:val="en-US"/>
              </w:rPr>
            </w:pPr>
            <w:r>
              <w:rPr>
                <w:rFonts w:hint="eastAsia" w:ascii="宋体" w:hAnsi="宋体" w:eastAsia="宋体" w:cs="宋体"/>
                <w:sz w:val="24"/>
                <w:szCs w:val="24"/>
                <w:highlight w:val="none"/>
              </w:rPr>
              <w:t>采购标的：</w:t>
            </w:r>
            <w:r>
              <w:rPr>
                <w:rFonts w:hint="eastAsia" w:ascii="宋体" w:hAnsi="宋体" w:cs="宋体"/>
                <w:kern w:val="0"/>
                <w:sz w:val="24"/>
                <w:highlight w:val="none"/>
                <w:lang w:val="en-US" w:eastAsia="zh-CN"/>
              </w:rPr>
              <w:t>安防监控设备</w:t>
            </w:r>
            <w:r>
              <w:rPr>
                <w:rFonts w:hint="eastAsia" w:ascii="宋体" w:hAnsi="宋体" w:eastAsia="宋体" w:cs="宋体"/>
                <w:sz w:val="24"/>
                <w:szCs w:val="24"/>
                <w:highlight w:val="none"/>
              </w:rPr>
              <w:t>，所属行业：工业。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sdt>
              <w:sdtPr>
                <w:rPr>
                  <w:rFonts w:hint="eastAsia" w:ascii="宋体" w:hAnsi="宋体" w:cs="宋体"/>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本项目不允许采购进口产品。</w:t>
            </w:r>
          </w:p>
          <w:p>
            <w:pPr>
              <w:spacing w:line="360" w:lineRule="auto"/>
              <w:rPr>
                <w:rFonts w:hint="eastAsia" w:ascii="宋体" w:hAnsi="宋体" w:cs="宋体"/>
                <w:kern w:val="0"/>
                <w:sz w:val="24"/>
                <w:highlight w:val="none"/>
              </w:rPr>
            </w:pPr>
            <w:sdt>
              <w:sdtPr>
                <w:rPr>
                  <w:rFonts w:hint="eastAsia" w:ascii="宋体" w:hAnsi="宋体" w:cs="宋体"/>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p>
            <w:pPr>
              <w:spacing w:line="360" w:lineRule="auto"/>
              <w:rPr>
                <w:rFonts w:ascii="宋体" w:hAnsi="宋体" w:cs="宋体"/>
                <w:highlight w:val="none"/>
              </w:rPr>
            </w:pPr>
            <w:r>
              <w:rPr>
                <w:rFonts w:hint="eastAsia" w:ascii="宋体" w:hAnsi="宋体" w:cs="宋体"/>
                <w:kern w:val="0"/>
                <w:sz w:val="24"/>
                <w:highlight w:val="none"/>
              </w:rPr>
              <w:t>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highlight w:val="none"/>
              </w:rPr>
            </w:pPr>
            <w:sdt>
              <w:sdtPr>
                <w:rPr>
                  <w:rFonts w:hint="eastAsia" w:ascii="宋体" w:hAnsi="宋体" w:cs="宋体"/>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 xml:space="preserve"> A</w:t>
            </w:r>
            <w:r>
              <w:rPr>
                <w:rFonts w:hint="eastAsia" w:ascii="宋体" w:hAnsi="宋体" w:cs="宋体"/>
                <w:sz w:val="24"/>
                <w:highlight w:val="none"/>
              </w:rPr>
              <w:t>同意将非主体、非关键性的</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布线施工</w:t>
            </w:r>
            <w:r>
              <w:rPr>
                <w:rFonts w:hint="eastAsia" w:ascii="宋体" w:hAnsi="宋体" w:cs="宋体"/>
                <w:sz w:val="24"/>
                <w:highlight w:val="none"/>
                <w:u w:val="single"/>
              </w:rPr>
              <w:t xml:space="preserve">   </w:t>
            </w:r>
            <w:r>
              <w:rPr>
                <w:rFonts w:hint="eastAsia" w:ascii="宋体" w:hAnsi="宋体" w:cs="宋体"/>
                <w:sz w:val="24"/>
                <w:highlight w:val="none"/>
              </w:rPr>
              <w:t>工作分包。</w:t>
            </w:r>
          </w:p>
          <w:p>
            <w:pPr>
              <w:spacing w:line="360" w:lineRule="auto"/>
              <w:rPr>
                <w:rFonts w:ascii="宋体" w:hAnsi="宋体" w:cs="宋体"/>
                <w:sz w:val="24"/>
                <w:highlight w:val="none"/>
              </w:rPr>
            </w:pPr>
            <w:sdt>
              <w:sdtPr>
                <w:rPr>
                  <w:rFonts w:hint="eastAsia" w:ascii="宋体" w:hAnsi="宋体" w:cs="宋体"/>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80"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sz w:val="24"/>
                <w:szCs w:val="20"/>
                <w:highlight w:val="none"/>
              </w:rPr>
            </w:pPr>
            <w:sdt>
              <w:sdtPr>
                <w:rPr>
                  <w:rFonts w:hint="eastAsia" w:ascii="宋体" w:hAnsi="宋体" w:cs="宋体"/>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szCs w:val="24"/>
                <w:highlight w:val="none"/>
              </w:rPr>
            </w:pPr>
            <w:sdt>
              <w:sdtPr>
                <w:rPr>
                  <w:rFonts w:hint="eastAsia"/>
                  <w:highlight w:val="none"/>
                </w:rPr>
                <w:id w:val="-1639946486"/>
                <w14:checkbox>
                  <w14:checked w14:val="1"/>
                  <w14:checkedState w14:val="00FE" w14:font="Wingdings"/>
                  <w14:uncheckedState w14:val="2610" w14:font="MS Gothic"/>
                </w14:checkbox>
              </w:sdtPr>
              <w:sdtEndPr>
                <w:rPr>
                  <w:rFonts w:hint="eastAsia" w:ascii="宋体" w:hAnsi="宋体" w:eastAsia="宋体" w:cs="宋体"/>
                  <w:sz w:val="24"/>
                  <w:szCs w:val="24"/>
                  <w:highlight w:val="none"/>
                </w:rPr>
              </w:sdtEndPr>
              <w:sdtContent>
                <w:r>
                  <w:rPr>
                    <w:rFonts w:hint="eastAsia" w:ascii="Wingdings" w:hAnsi="Wingdings" w:eastAsia="宋体" w:cs="宋体"/>
                    <w:kern w:val="2"/>
                    <w:sz w:val="24"/>
                    <w:szCs w:val="24"/>
                    <w:highlight w:val="none"/>
                    <w:lang w:val="en-US" w:eastAsia="zh-CN" w:bidi="ar-SA"/>
                  </w:rPr>
                  <w:t>þ</w:t>
                </w:r>
              </w:sdtContent>
            </w:sdt>
            <w:r>
              <w:rPr>
                <w:rFonts w:hint="eastAsia" w:ascii="宋体" w:hAnsi="宋体" w:eastAsia="宋体" w:cs="宋体"/>
                <w:sz w:val="24"/>
                <w:szCs w:val="24"/>
                <w:highlight w:val="none"/>
              </w:rPr>
              <w:t>A不要求提供。</w:t>
            </w:r>
          </w:p>
          <w:p>
            <w:pPr>
              <w:spacing w:line="360" w:lineRule="auto"/>
              <w:rPr>
                <w:rFonts w:hint="eastAsia" w:ascii="宋体" w:hAnsi="宋体" w:eastAsia="宋体" w:cs="宋体"/>
                <w:sz w:val="24"/>
                <w:szCs w:val="24"/>
                <w:highlight w:val="none"/>
                <w:lang w:eastAsia="zh-CN"/>
              </w:rPr>
            </w:pPr>
            <w:sdt>
              <w:sdtPr>
                <w:rPr>
                  <w:rFonts w:hint="eastAsia" w:ascii="宋体" w:hAnsi="宋体" w:eastAsia="宋体" w:cs="宋体"/>
                  <w:sz w:val="24"/>
                  <w:szCs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sz w:val="24"/>
                  <w:szCs w:val="24"/>
                  <w:highlight w:val="none"/>
                </w:rPr>
              </w:sdtEndPr>
              <w:sdtContent>
                <w:r>
                  <w:rPr>
                    <w:rFonts w:hint="eastAsia" w:ascii="MS Gothic" w:hAnsi="MS Gothic" w:eastAsia="宋体" w:cs="宋体"/>
                    <w:kern w:val="2"/>
                    <w:sz w:val="24"/>
                    <w:szCs w:val="24"/>
                    <w:highlight w:val="none"/>
                    <w:lang w:val="en-US" w:eastAsia="zh-CN" w:bidi="ar-SA"/>
                  </w:rPr>
                  <w:t>☐</w:t>
                </w:r>
              </w:sdtContent>
            </w:sdt>
            <w:r>
              <w:rPr>
                <w:rFonts w:hint="eastAsia" w:ascii="宋体" w:hAnsi="宋体" w:eastAsia="宋体" w:cs="宋体"/>
                <w:sz w:val="24"/>
                <w:szCs w:val="24"/>
                <w:highlight w:val="none"/>
              </w:rPr>
              <w:t>B要求提供（未提供样品或提供样品不满足采购需求实质性条件的供应商，投标无效）</w:t>
            </w:r>
            <w:r>
              <w:rPr>
                <w:rFonts w:hint="eastAsia" w:ascii="宋体" w:hAnsi="宋体" w:eastAsia="宋体" w:cs="宋体"/>
                <w:sz w:val="24"/>
                <w:szCs w:val="24"/>
                <w:highlight w:val="none"/>
                <w:lang w:eastAsia="zh-CN"/>
              </w:rPr>
              <w:t>：</w:t>
            </w:r>
          </w:p>
          <w:p>
            <w:pPr>
              <w:spacing w:line="360" w:lineRule="auto"/>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cs="宋体"/>
                <w:kern w:val="0"/>
                <w:sz w:val="24"/>
                <w:highlight w:val="none"/>
              </w:rPr>
              <w:t>；</w:t>
            </w:r>
            <w:r>
              <w:rPr>
                <w:rFonts w:ascii="宋体" w:hAnsi="宋体" w:cs="宋体"/>
                <w:kern w:val="0"/>
                <w:sz w:val="24"/>
                <w:highlight w:val="none"/>
              </w:rPr>
              <w:t xml:space="preserve"> </w:t>
            </w:r>
          </w:p>
          <w:p>
            <w:pPr>
              <w:spacing w:line="360" w:lineRule="auto"/>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kern w:val="0"/>
                <w:sz w:val="24"/>
                <w:highlight w:val="none"/>
              </w:rPr>
              <w:t>（</w:t>
            </w:r>
            <w:r>
              <w:rPr>
                <w:rFonts w:hint="eastAsia" w:ascii="宋体" w:hAnsi="宋体" w:cs="宋体"/>
                <w:color w:val="auto"/>
                <w:kern w:val="0"/>
                <w:sz w:val="24"/>
                <w:highlight w:val="none"/>
              </w:rPr>
              <w:t>3）样品的评审方法以及评审标准：</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color w:val="auto"/>
                <w:sz w:val="24"/>
                <w:highlight w:val="none"/>
              </w:rPr>
            </w:pPr>
            <w:r>
              <w:rPr>
                <w:rFonts w:hint="eastAsia" w:ascii="宋体" w:hAnsi="宋体" w:cs="宋体"/>
                <w:sz w:val="24"/>
                <w:highlight w:val="none"/>
              </w:rPr>
              <w:t>（5）</w:t>
            </w:r>
            <w:r>
              <w:rPr>
                <w:rFonts w:hint="eastAsia" w:ascii="宋体" w:hAnsi="宋体" w:cs="宋体"/>
                <w:color w:val="auto"/>
                <w:sz w:val="24"/>
                <w:highlight w:val="none"/>
              </w:rPr>
              <w:t>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highlight w:val="none"/>
              </w:rPr>
            </w:pPr>
            <w:r>
              <w:rPr>
                <w:rFonts w:hint="eastAsia" w:ascii="宋体" w:hAnsi="宋体" w:cs="宋体"/>
                <w:color w:val="auto"/>
                <w:sz w:val="24"/>
                <w:highlight w:val="none"/>
              </w:rPr>
              <w:t xml:space="preserve"> (6)采购活动结束后，对于未中标人提供的样品，采</w:t>
            </w:r>
            <w:r>
              <w:rPr>
                <w:rFonts w:hint="eastAsia" w:ascii="宋体" w:hAnsi="宋体" w:cs="宋体"/>
                <w:sz w:val="24"/>
                <w:highlight w:val="none"/>
              </w:rPr>
              <w:t>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eastAsia="宋体"/>
                <w:highlight w:val="none"/>
                <w:lang w:eastAsia="zh-CN"/>
              </w:rPr>
            </w:pPr>
            <w:r>
              <w:rPr>
                <w:rFonts w:hint="eastAsia" w:ascii="宋体" w:hAnsi="宋体" w:cs="宋体"/>
                <w:sz w:val="24"/>
                <w:highlight w:val="none"/>
              </w:rPr>
              <w:t>（7）制作、运输、安装和保管样品所发生的一切费用由投标人自理</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kern w:val="0"/>
                <w:sz w:val="24"/>
                <w:highlight w:val="none"/>
              </w:rPr>
            </w:pPr>
            <w:sdt>
              <w:sdtPr>
                <w:rPr>
                  <w:rFonts w:hint="eastAsia" w:ascii="宋体" w:hAnsi="宋体" w:cs="宋体"/>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0" w:type="auto"/>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0" w:type="auto"/>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0" w:type="auto"/>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0" w:type="auto"/>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0" w:type="auto"/>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0" w:type="auto"/>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sz w:val="24"/>
                <w:highlight w:val="none"/>
              </w:rPr>
              <w:t>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360"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8" w:hRule="atLeast"/>
          <w:tblHeader/>
        </w:trPr>
        <w:tc>
          <w:tcPr>
            <w:tcW w:w="0" w:type="auto"/>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0" w:type="auto"/>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0" w:type="auto"/>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sz w:val="24"/>
                <w:highlight w:val="none"/>
                <w:u w:val="single"/>
              </w:rPr>
              <w:t>杭州市西湖区文一西路858号（杭州市公共资源交易中心西湖分中心东三楼</w:t>
            </w:r>
            <w:r>
              <w:rPr>
                <w:rFonts w:hint="eastAsia" w:hAnsi="宋体" w:cs="宋体"/>
                <w:sz w:val="24"/>
                <w:highlight w:val="none"/>
                <w:u w:val="single"/>
                <w:lang w:val="en-US" w:eastAsia="zh-CN"/>
              </w:rPr>
              <w:t>329办公室）</w:t>
            </w:r>
            <w:r>
              <w:rPr>
                <w:rFonts w:hint="eastAsia" w:hAnsi="宋体" w:cs="宋体"/>
                <w:kern w:val="28"/>
                <w:sz w:val="24"/>
                <w:szCs w:val="24"/>
                <w:highlight w:val="none"/>
              </w:rPr>
              <w:t>；备份投标文件签收人员联系电话：</w:t>
            </w:r>
            <w:r>
              <w:rPr>
                <w:rFonts w:hint="eastAsia" w:hAnsi="宋体" w:cs="宋体"/>
                <w:sz w:val="24"/>
                <w:highlight w:val="none"/>
                <w:u w:val="single"/>
              </w:rPr>
              <w:t xml:space="preserve"> 0571-89511007</w:t>
            </w:r>
            <w:r>
              <w:rPr>
                <w:rFonts w:hint="eastAsia" w:hAnsi="宋体" w:cs="宋体"/>
                <w:sz w:val="24"/>
                <w:szCs w:val="24"/>
                <w:highlight w:val="none"/>
              </w:rPr>
              <w:t>。</w:t>
            </w: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0" w:type="auto"/>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lang w:eastAsia="zh-CN"/>
              </w:rPr>
              <w:t>特别</w:t>
            </w:r>
            <w:r>
              <w:rPr>
                <w:rFonts w:hint="eastAsia" w:ascii="宋体" w:hAnsi="宋体" w:cs="宋体"/>
                <w:b/>
                <w:sz w:val="24"/>
                <w:highlight w:val="none"/>
              </w:rPr>
              <w:t>说明</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trPr>
        <w:tc>
          <w:tcPr>
            <w:tcW w:w="0" w:type="auto"/>
            <w:vMerge w:val="continue"/>
            <w:tcBorders>
              <w:left w:val="single" w:color="000000" w:sz="8" w:space="0"/>
              <w:right w:val="single" w:color="000000" w:sz="2" w:space="0"/>
            </w:tcBorders>
            <w:vAlign w:val="center"/>
          </w:tcPr>
          <w:p>
            <w:pPr>
              <w:spacing w:line="360" w:lineRule="auto"/>
              <w:rPr>
                <w:highlight w:val="none"/>
              </w:rPr>
            </w:pPr>
          </w:p>
        </w:tc>
        <w:tc>
          <w:tcPr>
            <w:tcW w:w="0" w:type="auto"/>
            <w:vMerge w:val="continue"/>
            <w:tcBorders>
              <w:left w:val="single" w:color="000000" w:sz="2" w:space="0"/>
              <w:right w:val="single" w:color="000000" w:sz="8" w:space="0"/>
            </w:tcBorders>
            <w:vAlign w:val="center"/>
          </w:tcPr>
          <w:p>
            <w:pPr>
              <w:spacing w:line="360" w:lineRule="auto"/>
              <w:rPr>
                <w:highlight w:val="none"/>
              </w:rPr>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Wingdings" w:hAnsi="Wingdings" w:cs="Arial" w:eastAsiaTheme="minorEastAsia"/>
                    <w:kern w:val="0"/>
                    <w:sz w:val="24"/>
                    <w:szCs w:val="24"/>
                    <w:highlight w:val="none"/>
                    <w:lang w:val="en-US" w:eastAsia="zh-CN" w:bidi="ar-SA"/>
                  </w:rPr>
                  <w:t>þ</w:t>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0" w:hRule="atLeast"/>
          <w:tblHeader/>
        </w:trPr>
        <w:tc>
          <w:tcPr>
            <w:tcW w:w="0" w:type="auto"/>
            <w:vMerge w:val="continue"/>
            <w:tcBorders>
              <w:left w:val="single" w:color="000000" w:sz="8" w:space="0"/>
              <w:bottom w:val="single" w:color="auto" w:sz="4" w:space="0"/>
              <w:right w:val="single" w:color="000000" w:sz="2" w:space="0"/>
            </w:tcBorders>
            <w:vAlign w:val="center"/>
          </w:tcPr>
          <w:p>
            <w:pPr>
              <w:spacing w:line="360" w:lineRule="auto"/>
              <w:rPr>
                <w:highlight w:val="none"/>
              </w:rPr>
            </w:pPr>
          </w:p>
        </w:tc>
        <w:tc>
          <w:tcPr>
            <w:tcW w:w="0" w:type="auto"/>
            <w:vMerge w:val="continue"/>
            <w:tcBorders>
              <w:left w:val="single" w:color="000000" w:sz="2" w:space="0"/>
              <w:bottom w:val="single" w:color="000000" w:sz="8" w:space="0"/>
              <w:right w:val="single" w:color="000000" w:sz="8" w:space="0"/>
            </w:tcBorders>
            <w:vAlign w:val="center"/>
          </w:tcPr>
          <w:p>
            <w:pPr>
              <w:spacing w:line="360" w:lineRule="auto"/>
              <w:rPr>
                <w:highlight w:val="none"/>
              </w:rPr>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评审因素对应的要求视为采购需求的一部分。</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3" w:name="第三部分"/>
      <w:bookmarkStart w:id="14" w:name="_Toc164416483"/>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cs="宋体"/>
              <w:kern w:val="0"/>
              <w:sz w:val="24"/>
              <w:highlight w:val="none"/>
            </w:rPr>
            <w:t>þ</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3.2.2 </w:t>
      </w:r>
      <w:r>
        <w:rPr>
          <w:rFonts w:hint="eastAsia" w:ascii="宋体" w:hAnsi="宋体" w:cs="宋体"/>
          <w:sz w:val="24"/>
          <w:highlight w:val="none"/>
        </w:rPr>
        <w:t>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rPr>
        <w:t>3.2.3</w:t>
      </w:r>
      <w:r>
        <w:rPr>
          <w:rFonts w:hint="eastAsia" w:ascii="宋体" w:hAnsi="宋体" w:cs="宋体"/>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sz w:val="24"/>
          <w:highlight w:val="none"/>
        </w:rPr>
        <w:t>优先采购绿色包装产品、绿色物流配送服务以及循环利用产品</w:t>
      </w:r>
      <w:bookmarkEnd w:id="15"/>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3.3.3对于未预留份额专门面向中小企业的政府采购货物项目，以及预留份额政府采购货物项目中的非预留部分标项，对小型和微型企业的投标报价给予</w:t>
      </w:r>
      <w:r>
        <w:rPr>
          <w:rFonts w:hint="eastAsia" w:ascii="宋体" w:hAnsi="宋体" w:cs="宋体"/>
          <w:sz w:val="24"/>
          <w:highlight w:val="none"/>
          <w:lang w:val="en-US" w:eastAsia="zh-CN"/>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highlight w:val="none"/>
        </w:rPr>
        <w:t>联合协议或者分包意向协议约定小微企业的合同份额占到合同总金额30%以上的</w:t>
      </w:r>
      <w:bookmarkEnd w:id="16"/>
      <w:r>
        <w:rPr>
          <w:rFonts w:hint="eastAsia" w:ascii="宋体" w:hAnsi="宋体" w:cs="宋体"/>
          <w:sz w:val="24"/>
          <w:highlight w:val="none"/>
        </w:rPr>
        <w:t>，对联合体或者大中型企业的报价给予</w:t>
      </w:r>
      <w:r>
        <w:rPr>
          <w:rFonts w:hint="eastAsia" w:ascii="宋体" w:hAnsi="宋体" w:cs="宋体"/>
          <w:sz w:val="24"/>
          <w:highlight w:val="none"/>
          <w:lang w:val="en-US" w:eastAsia="zh-CN"/>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hint="eastAsia" w:ascii="宋体" w:hAnsi="宋体" w:cs="宋体"/>
          <w:sz w:val="24"/>
          <w:highlight w:val="none"/>
          <w:lang w:val="en-US" w:eastAsia="zh-CN"/>
        </w:rPr>
        <w:t>3</w:t>
      </w:r>
      <w:r>
        <w:rPr>
          <w:rFonts w:hint="eastAsia" w:ascii="宋体" w:hAnsi="宋体" w:cs="宋体"/>
          <w:sz w:val="24"/>
          <w:highlight w:val="none"/>
        </w:rPr>
        <w:t>年内，以及产品核心技术高于国内领先水平，并具有明晰自主知识产权的“制造精品”产品，自认定之日起</w:t>
      </w:r>
      <w:r>
        <w:rPr>
          <w:rFonts w:hint="default" w:ascii="宋体" w:hAnsi="宋体" w:cs="宋体"/>
          <w:sz w:val="24"/>
          <w:highlight w:val="none"/>
          <w:lang w:val="en-US"/>
        </w:rPr>
        <w:t>3</w:t>
      </w:r>
      <w:r>
        <w:rPr>
          <w:rFonts w:hint="eastAsia" w:ascii="宋体" w:hAnsi="宋体" w:cs="宋体"/>
          <w:sz w:val="24"/>
          <w:highlight w:val="none"/>
        </w:rPr>
        <w:t>年内视同已具备相应销售业绩，参加政府采购活动时业绩分值为满分。</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w:t>
      </w:r>
      <w:r>
        <w:rPr>
          <w:rFonts w:hint="default" w:ascii="宋体" w:hAnsi="宋体" w:cs="宋体"/>
          <w:sz w:val="24"/>
          <w:highlight w:val="none"/>
          <w:lang w:val="en-US" w:eastAsia="zh-CN"/>
        </w:rPr>
        <w:t>5</w:t>
      </w:r>
      <w:r>
        <w:rPr>
          <w:rFonts w:hint="eastAsia" w:ascii="宋体" w:hAnsi="宋体" w:cs="宋体"/>
          <w:sz w:val="24"/>
          <w:highlight w:val="none"/>
        </w:rPr>
        <w:t>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pStyle w:val="887"/>
        <w:shd w:val="clear" w:color="auto" w:fill="FFFFFF"/>
        <w:snapToGrid w:val="0"/>
        <w:spacing w:after="240" w:afterAutospacing="0" w:line="360" w:lineRule="auto"/>
        <w:ind w:firstLine="400"/>
        <w:contextualSpacing/>
        <w:rPr>
          <w:highlight w:val="none"/>
          <w:lang w:val="zh-CN"/>
        </w:rPr>
      </w:pPr>
      <w:r>
        <w:rPr>
          <w:rFonts w:hint="eastAsia"/>
          <w:highlight w:val="none"/>
          <w:lang w:val="zh-CN"/>
        </w:rPr>
        <w:t>4.1在线询问、质疑、投诉</w:t>
      </w:r>
    </w:p>
    <w:p>
      <w:pPr>
        <w:pStyle w:val="887"/>
        <w:shd w:val="clear" w:color="auto" w:fill="FFFFFF"/>
        <w:snapToGrid w:val="0"/>
        <w:spacing w:after="240" w:afterAutospacing="0" w:line="360" w:lineRule="auto"/>
        <w:ind w:firstLine="400"/>
        <w:contextualSpacing/>
        <w:rPr>
          <w:highlight w:val="none"/>
          <w:lang w:val="zh-CN"/>
        </w:rPr>
      </w:pPr>
      <w:r>
        <w:rPr>
          <w:rFonts w:hint="eastAsia"/>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sz w:val="24"/>
          <w:highlight w:val="none"/>
          <w:lang w:eastAsia="zh-CN"/>
        </w:rPr>
        <w:t>采购代理机构</w:t>
      </w:r>
      <w:r>
        <w:rPr>
          <w:rFonts w:hint="eastAsia" w:hAnsi="宋体" w:cs="宋体"/>
          <w:sz w:val="24"/>
          <w:highlight w:val="none"/>
        </w:rPr>
        <w:t>提出质疑，否则，采购人或者</w:t>
      </w:r>
      <w:r>
        <w:rPr>
          <w:rFonts w:hint="eastAsia" w:hAnsi="宋体" w:cs="宋体"/>
          <w:sz w:val="24"/>
          <w:highlight w:val="none"/>
          <w:lang w:eastAsia="zh-CN"/>
        </w:rPr>
        <w:t>采购代理机构</w:t>
      </w:r>
      <w:r>
        <w:rPr>
          <w:rFonts w:hint="eastAsia" w:hAnsi="宋体" w:cs="宋体"/>
          <w:sz w:val="24"/>
          <w:highlight w:val="none"/>
        </w:rPr>
        <w:t>不予受理：</w:t>
      </w:r>
    </w:p>
    <w:p>
      <w:pPr>
        <w:pStyle w:val="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4.3.3.4事实依据；</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4.3.3.5必要的法律依据；</w:t>
      </w:r>
    </w:p>
    <w:p>
      <w:pPr>
        <w:pStyle w:val="34"/>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.5采购人或者</w:t>
      </w:r>
      <w:r>
        <w:rPr>
          <w:rFonts w:hint="eastAsia"/>
          <w:highlight w:val="none"/>
          <w:lang w:eastAsia="zh-CN"/>
        </w:rPr>
        <w:t>采购代理机构</w:t>
      </w:r>
      <w:r>
        <w:rPr>
          <w:rFonts w:hint="eastAsia"/>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highlight w:val="none"/>
          <w:lang w:eastAsia="zh-CN"/>
        </w:rPr>
        <w:t>采购代理机构</w:t>
      </w:r>
      <w:r>
        <w:rPr>
          <w:rFonts w:hint="eastAsia"/>
          <w:highlight w:val="none"/>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4.4供应商投诉</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4.4.1质疑供应商对采购人、</w:t>
      </w:r>
      <w:r>
        <w:rPr>
          <w:rFonts w:hint="eastAsia"/>
          <w:highlight w:val="none"/>
          <w:lang w:eastAsia="zh-CN"/>
        </w:rPr>
        <w:t>采购代理机构</w:t>
      </w:r>
      <w:r>
        <w:rPr>
          <w:rFonts w:hint="eastAsia"/>
          <w:highlight w:val="none"/>
        </w:rPr>
        <w:t>的答复不满意或者采购人、</w:t>
      </w:r>
      <w:r>
        <w:rPr>
          <w:rFonts w:hint="eastAsia"/>
          <w:highlight w:val="none"/>
          <w:lang w:eastAsia="zh-CN"/>
        </w:rPr>
        <w:t>采购代理机构</w:t>
      </w:r>
      <w:r>
        <w:rPr>
          <w:rFonts w:hint="eastAsia"/>
          <w:highlight w:val="none"/>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rPr>
          <w:highlight w:val="none"/>
        </w:rPr>
      </w:pPr>
      <w:r>
        <w:rPr>
          <w:rFonts w:hint="eastAsia"/>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887"/>
        <w:shd w:val="clear" w:color="auto" w:fill="FFFFFF"/>
        <w:snapToGrid w:val="0"/>
        <w:spacing w:after="240" w:afterAutospacing="0" w:line="360" w:lineRule="auto"/>
        <w:ind w:firstLine="480" w:firstLineChars="200"/>
        <w:contextualSpacing/>
        <w:rPr>
          <w:highlight w:val="none"/>
        </w:rPr>
      </w:pPr>
    </w:p>
    <w:p>
      <w:pPr>
        <w:pStyle w:val="129"/>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4"/>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4"/>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129"/>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129"/>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4"/>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4"/>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4"/>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11.1.2 联合协议（如果有）；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hint="eastAsia" w:ascii="宋体" w:hAnsi="宋体" w:cs="宋体"/>
          <w:sz w:val="24"/>
          <w:highlight w:val="none"/>
          <w:lang w:val="en-US" w:eastAsia="zh-CN"/>
        </w:rPr>
        <w:t>3</w:t>
      </w:r>
      <w:r>
        <w:rPr>
          <w:rFonts w:hint="eastAsia" w:ascii="宋体" w:hAnsi="宋体" w:cs="宋体"/>
          <w:sz w:val="24"/>
          <w:highlight w:val="none"/>
        </w:rPr>
        <w:t>落实政府采购政策需满足的资格要求</w:t>
      </w:r>
      <w:r>
        <w:rPr>
          <w:rFonts w:hint="eastAsia" w:ascii="宋体" w:hAnsi="宋体" w:cs="宋体"/>
          <w:sz w:val="24"/>
          <w:highlight w:val="none"/>
          <w:lang w:eastAsia="zh-CN"/>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hint="eastAsia" w:ascii="宋体" w:hAnsi="宋体" w:cs="宋体"/>
          <w:sz w:val="24"/>
          <w:highlight w:val="none"/>
          <w:lang w:val="en-US" w:eastAsia="zh-CN"/>
        </w:rPr>
        <w:t>4</w:t>
      </w:r>
      <w:r>
        <w:rPr>
          <w:rFonts w:hint="eastAsia" w:ascii="宋体" w:hAnsi="宋体" w:cs="宋体"/>
          <w:sz w:val="24"/>
          <w:highlight w:val="none"/>
        </w:rPr>
        <w:t>本项目的特定资格要求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hint="default" w:eastAsia="宋体"/>
          <w:highlight w:val="none"/>
          <w:lang w:val="en-US" w:eastAsia="zh-CN"/>
        </w:rPr>
      </w:pPr>
      <w:r>
        <w:rPr>
          <w:rFonts w:hint="eastAsia" w:ascii="宋体" w:hAnsi="宋体" w:cs="宋体"/>
          <w:sz w:val="24"/>
          <w:highlight w:val="none"/>
          <w:lang w:val="en-US" w:eastAsia="zh-CN"/>
        </w:rPr>
        <w:t>11.2.3 分包意向协议（如果有）；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4</w:t>
      </w:r>
      <w:r>
        <w:rPr>
          <w:rFonts w:hint="eastAsia" w:ascii="宋体" w:hAnsi="宋体" w:cs="宋体"/>
          <w:sz w:val="24"/>
          <w:highlight w:val="none"/>
        </w:rPr>
        <w:t>符合性审查资料；</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5</w:t>
      </w:r>
      <w:r>
        <w:rPr>
          <w:rFonts w:hint="eastAsia" w:ascii="宋体" w:hAnsi="宋体" w:cs="宋体"/>
          <w:sz w:val="24"/>
          <w:highlight w:val="none"/>
        </w:rPr>
        <w:t>评标标准相应的商务技术资料；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7</w:t>
      </w:r>
      <w:r>
        <w:rPr>
          <w:rFonts w:hint="eastAsia" w:ascii="宋体" w:hAnsi="宋体" w:cs="宋体"/>
          <w:sz w:val="24"/>
          <w:highlight w:val="none"/>
        </w:rPr>
        <w:t>商务技术偏离表；</w:t>
      </w:r>
    </w:p>
    <w:p>
      <w:pPr>
        <w:snapToGrid w:val="0"/>
        <w:spacing w:line="360" w:lineRule="auto"/>
        <w:ind w:firstLine="960" w:firstLineChars="400"/>
        <w:rPr>
          <w:rFonts w:hint="eastAsia" w:ascii="宋体" w:hAnsi="宋体" w:cs="宋体"/>
          <w:sz w:val="24"/>
          <w:highlight w:val="none"/>
          <w:lang w:val="zh-CN"/>
        </w:rPr>
      </w:pPr>
      <w:r>
        <w:rPr>
          <w:rFonts w:hint="eastAsia" w:ascii="宋体" w:hAnsi="宋体" w:cs="宋体"/>
          <w:sz w:val="24"/>
          <w:highlight w:val="none"/>
          <w:lang w:val="zh-CN"/>
        </w:rPr>
        <w:t>11.2.</w:t>
      </w:r>
      <w:r>
        <w:rPr>
          <w:rFonts w:hint="default" w:ascii="宋体" w:hAnsi="宋体" w:cs="宋体"/>
          <w:sz w:val="24"/>
          <w:highlight w:val="none"/>
          <w:lang w:val="en-US" w:eastAsia="zh-CN"/>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hint="eastAsia" w:ascii="宋体" w:hAnsi="宋体" w:cs="宋体"/>
          <w:sz w:val="24"/>
          <w:highlight w:val="none"/>
          <w:lang w:eastAsia="zh-CN"/>
        </w:rPr>
      </w:pPr>
      <w:r>
        <w:rPr>
          <w:rFonts w:hint="eastAsia" w:ascii="宋体" w:hAnsi="宋体" w:cs="宋体"/>
          <w:sz w:val="24"/>
          <w:highlight w:val="none"/>
        </w:rPr>
        <w:t>11.3.1开标一览表（报价表）</w:t>
      </w:r>
      <w:r>
        <w:rPr>
          <w:rFonts w:hint="eastAsia" w:ascii="宋体" w:hAnsi="宋体" w:cs="宋体"/>
          <w:sz w:val="24"/>
          <w:highlight w:val="none"/>
          <w:lang w:eastAsia="zh-CN"/>
        </w:rPr>
        <w:t>；</w:t>
      </w:r>
    </w:p>
    <w:p>
      <w:pPr>
        <w:snapToGrid w:val="0"/>
        <w:spacing w:line="360" w:lineRule="auto"/>
        <w:ind w:firstLine="960" w:firstLineChars="400"/>
        <w:rPr>
          <w:rFonts w:hint="eastAsia" w:ascii="宋体" w:hAnsi="宋体" w:eastAsia="宋体" w:cs="宋体"/>
          <w:sz w:val="24"/>
          <w:highlight w:val="none"/>
          <w:lang w:eastAsia="zh-CN"/>
        </w:rPr>
      </w:pPr>
      <w:r>
        <w:rPr>
          <w:rFonts w:hint="eastAsia" w:ascii="宋体" w:hAnsi="宋体" w:cs="宋体"/>
          <w:sz w:val="24"/>
          <w:highlight w:val="none"/>
        </w:rPr>
        <w:t>11.3.</w:t>
      </w:r>
      <w:r>
        <w:rPr>
          <w:rFonts w:hint="default" w:ascii="宋体" w:hAnsi="宋体" w:cs="宋体"/>
          <w:sz w:val="24"/>
          <w:highlight w:val="none"/>
          <w:lang w:val="en-US"/>
        </w:rPr>
        <w:t>2</w:t>
      </w:r>
      <w:r>
        <w:rPr>
          <w:rFonts w:hint="eastAsia" w:ascii="宋体" w:hAnsi="宋体" w:cs="宋体"/>
          <w:sz w:val="24"/>
          <w:highlight w:val="none"/>
          <w:lang w:eastAsia="zh-CN"/>
        </w:rPr>
        <w:t>中小企业声明函（如果有）。</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129"/>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29"/>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29"/>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129"/>
        <w:ind w:firstLine="480"/>
        <w:rPr>
          <w:rFonts w:ascii="宋体" w:hAnsi="宋体" w:cs="宋体"/>
          <w:szCs w:val="24"/>
          <w:highlight w:val="none"/>
        </w:rPr>
      </w:pPr>
      <w:r>
        <w:rPr>
          <w:rFonts w:hint="eastAsia" w:ascii="宋体" w:hAnsi="宋体" w:cs="宋体"/>
          <w:szCs w:val="24"/>
          <w:highlight w:val="none"/>
        </w:rPr>
        <w:t xml:space="preserve">14.1 </w:t>
      </w:r>
      <w:r>
        <w:rPr>
          <w:rFonts w:hint="eastAsia" w:ascii="宋体" w:hAnsi="宋体" w:cs="宋体"/>
          <w:szCs w:val="24"/>
          <w:highlight w:val="none"/>
        </w:rPr>
        <w:t>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4"/>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w:t>
      </w:r>
      <w:r>
        <w:rPr>
          <w:rFonts w:hint="eastAsia" w:hAnsi="宋体" w:cs="宋体"/>
          <w:b/>
          <w:color w:val="auto"/>
          <w:sz w:val="24"/>
          <w:szCs w:val="24"/>
          <w:highlight w:val="none"/>
        </w:rPr>
        <w:t>未</w:t>
      </w:r>
      <w:r>
        <w:rPr>
          <w:rFonts w:hint="eastAsia" w:hAnsi="宋体" w:cs="宋体"/>
          <w:b/>
          <w:sz w:val="24"/>
          <w:szCs w:val="24"/>
          <w:highlight w:val="none"/>
        </w:rPr>
        <w:t>在电子交易平台传输递交投标文件的，投标无效。</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5"/>
        <w:spacing w:line="360" w:lineRule="auto"/>
        <w:ind w:firstLine="360" w:firstLineChars="150"/>
        <w:rPr>
          <w:rFonts w:cs="宋体"/>
          <w:szCs w:val="21"/>
          <w:highlight w:val="none"/>
        </w:rPr>
      </w:pPr>
      <w:r>
        <w:rPr>
          <w:rFonts w:hint="eastAsia" w:cs="宋体"/>
          <w:szCs w:val="21"/>
          <w:highlight w:val="none"/>
        </w:rPr>
        <w:t>有招标文件第四部分</w:t>
      </w:r>
      <w:r>
        <w:rPr>
          <w:rFonts w:hint="eastAsia" w:cs="宋体"/>
          <w:highlight w:val="none"/>
        </w:rPr>
        <w:t>4.2规定</w:t>
      </w:r>
      <w:r>
        <w:rPr>
          <w:rFonts w:hint="eastAsia" w:cs="宋体"/>
          <w:szCs w:val="21"/>
          <w:highlight w:val="none"/>
        </w:rPr>
        <w:t>的情形之一的，投标无效：</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29"/>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29"/>
        <w:spacing w:before="0"/>
        <w:ind w:firstLine="480"/>
        <w:rPr>
          <w:rFonts w:hint="eastAsia"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480"/>
        <w:rPr>
          <w:rFonts w:hint="eastAsia" w:ascii="宋体" w:hAnsi="宋体" w:cs="宋体"/>
          <w:highlight w:val="none"/>
        </w:rPr>
      </w:pPr>
      <w:r>
        <w:rPr>
          <w:rFonts w:hint="eastAsia" w:ascii="宋体" w:hAnsi="宋体" w:cs="宋体"/>
          <w:highlight w:val="none"/>
        </w:rPr>
        <w:t>17.4在投标截止时间起至投标有效期届满，供应商投标文件不可撤销。</w:t>
      </w:r>
    </w:p>
    <w:p>
      <w:pPr>
        <w:pStyle w:val="129"/>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5"/>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5"/>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leftChars="0" w:firstLine="241" w:firstLineChars="100"/>
        <w:contextualSpacing/>
        <w:rPr>
          <w:rFonts w:ascii="宋体" w:hAnsi="宋体" w:cs="宋体"/>
          <w:b/>
          <w:sz w:val="24"/>
          <w:szCs w:val="20"/>
          <w:highlight w:val="none"/>
        </w:rPr>
      </w:pPr>
      <w:r>
        <w:rPr>
          <w:rFonts w:hint="eastAsia" w:ascii="宋体" w:hAnsi="宋体" w:cs="宋体"/>
          <w:b/>
          <w:sz w:val="24"/>
          <w:szCs w:val="20"/>
          <w:highlight w:val="none"/>
        </w:rPr>
        <w:t>19、资格审查</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9"/>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9"/>
        <w:spacing w:before="0" w:line="360" w:lineRule="auto"/>
        <w:ind w:firstLine="241" w:firstLineChars="100"/>
        <w:rPr>
          <w:rFonts w:ascii="宋体" w:hAnsi="宋体" w:cs="宋体"/>
          <w:b/>
          <w:szCs w:val="24"/>
          <w:highlight w:val="none"/>
        </w:rPr>
      </w:pPr>
      <w:r>
        <w:rPr>
          <w:rFonts w:hint="eastAsia" w:ascii="宋体" w:hAnsi="宋体" w:cs="宋体"/>
          <w:b/>
          <w:szCs w:val="24"/>
          <w:highlight w:val="none"/>
        </w:rPr>
        <w:t>20、信用信息查询</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29"/>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7"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5"/>
        <w:spacing w:line="360" w:lineRule="auto"/>
        <w:ind w:left="479" w:hanging="479" w:hangingChars="199"/>
        <w:rPr>
          <w:rFonts w:cs="宋体"/>
          <w:b/>
          <w:highlight w:val="none"/>
        </w:rPr>
      </w:pPr>
      <w:r>
        <w:rPr>
          <w:rFonts w:hint="eastAsia" w:cs="宋体"/>
          <w:b/>
          <w:highlight w:val="none"/>
        </w:rPr>
        <w:t>22. 确定中标供应商</w:t>
      </w:r>
    </w:p>
    <w:p>
      <w:pPr>
        <w:pStyle w:val="129"/>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宋体" w:hAnsi="宋体" w:cs="宋体"/>
          <w:b w:val="0"/>
          <w:bCs w:val="0"/>
          <w:sz w:val="24"/>
          <w:highlight w:val="none"/>
        </w:rPr>
        <w:t>资格审查情况、评审专家抽取规则、符合性审查情况、未中标情况说明、中标公告期限以</w:t>
      </w:r>
      <w:r>
        <w:rPr>
          <w:rFonts w:hint="eastAsia" w:ascii="宋体" w:hAnsi="宋体" w:cs="宋体"/>
          <w:sz w:val="24"/>
          <w:highlight w:val="none"/>
        </w:rPr>
        <w:t>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5"/>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5"/>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hint="eastAsia" w:ascii="宋体" w:hAnsi="宋体" w:cs="宋体"/>
          <w:sz w:val="24"/>
          <w:highlight w:val="none"/>
          <w:lang w:val="en-US" w:eastAsia="zh-CN"/>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Style w:val="5"/>
        <w:ind w:left="0" w:firstLine="480" w:firstLineChars="200"/>
        <w:rPr>
          <w:rFonts w:hint="eastAsia"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highlight w:val="none"/>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Pr>
        <w:snapToGrid w:val="0"/>
        <w:spacing w:line="360" w:lineRule="auto"/>
        <w:ind w:firstLine="3357" w:firstLineChars="1045"/>
        <w:rPr>
          <w:rFonts w:ascii="宋体" w:hAnsi="宋体" w:cs="宋体"/>
          <w:b/>
          <w:sz w:val="32"/>
          <w:highlight w:val="none"/>
        </w:rPr>
      </w:pPr>
    </w:p>
    <w:bookmarkEnd w:id="13"/>
    <w:bookmarkEnd w:id="14"/>
    <w:bookmarkEnd w:id="17"/>
    <w:p>
      <w:pPr>
        <w:snapToGrid w:val="0"/>
        <w:spacing w:line="360" w:lineRule="auto"/>
        <w:ind w:firstLine="3357" w:firstLineChars="1045"/>
        <w:rPr>
          <w:rFonts w:ascii="宋体" w:hAnsi="宋体" w:cs="宋体"/>
          <w:b/>
          <w:sz w:val="24"/>
          <w:highlight w:val="none"/>
        </w:rPr>
      </w:pPr>
      <w:bookmarkStart w:id="18" w:name="第四部分"/>
      <w:r>
        <w:rPr>
          <w:rFonts w:hint="eastAsia" w:ascii="宋体" w:hAnsi="宋体" w:cs="宋体"/>
          <w:b/>
          <w:sz w:val="32"/>
          <w:highlight w:val="none"/>
        </w:rPr>
        <w:t>八、电子交易活动的中止</w:t>
      </w:r>
    </w:p>
    <w:p>
      <w:pPr>
        <w:pStyle w:val="129"/>
        <w:snapToGrid w:val="0"/>
        <w:spacing w:before="0"/>
        <w:ind w:firstLine="0" w:firstLineChars="0"/>
        <w:rPr>
          <w:rFonts w:ascii="宋体" w:hAnsi="宋体" w:cs="宋体"/>
          <w:highlight w:val="none"/>
        </w:rPr>
      </w:pPr>
      <w:r>
        <w:rPr>
          <w:rFonts w:ascii="宋体" w:hAnsi="宋体" w:cs="宋体"/>
          <w:b/>
          <w:bCs/>
          <w:kern w:val="2"/>
          <w:sz w:val="24"/>
          <w:szCs w:val="20"/>
          <w:highlight w:val="none"/>
        </w:rPr>
        <w:t>2</w:t>
      </w:r>
      <w:r>
        <w:rPr>
          <w:rFonts w:ascii="宋体" w:hAnsi="宋体" w:cs="宋体"/>
          <w:b/>
          <w:bCs/>
          <w:kern w:val="2"/>
          <w:sz w:val="24"/>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w:t>
      </w:r>
      <w:r>
        <w:rPr>
          <w:rFonts w:hint="eastAsia" w:ascii="宋体" w:hAnsi="宋体" w:cs="宋体"/>
          <w:highlight w:val="none"/>
          <w:lang w:eastAsia="zh-CN"/>
        </w:rPr>
        <w:t>采购代理机构</w:t>
      </w:r>
      <w:r>
        <w:rPr>
          <w:rFonts w:hint="eastAsia" w:ascii="宋体" w:hAnsi="宋体" w:cs="宋体"/>
          <w:highlight w:val="none"/>
        </w:rPr>
        <w:t>可中止电子交易活动：</w:t>
      </w:r>
    </w:p>
    <w:p>
      <w:pPr>
        <w:pStyle w:val="129"/>
        <w:snapToGrid w:val="0"/>
        <w:spacing w:before="0"/>
        <w:ind w:firstLine="480"/>
        <w:rPr>
          <w:rFonts w:ascii="宋体" w:hAnsi="宋体" w:cs="宋体"/>
          <w:highlight w:val="none"/>
        </w:rPr>
      </w:pPr>
      <w:r>
        <w:rPr>
          <w:rFonts w:hint="eastAsia" w:ascii="宋体" w:hAnsi="宋体" w:cs="宋体"/>
          <w:highlight w:val="none"/>
        </w:rPr>
        <w:t xml:space="preserve">28.1电子交易平台发生故障而无法登录访问的； </w:t>
      </w:r>
    </w:p>
    <w:p>
      <w:pPr>
        <w:pStyle w:val="129"/>
        <w:snapToGrid w:val="0"/>
        <w:spacing w:before="0"/>
        <w:ind w:firstLine="480"/>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129"/>
        <w:snapToGrid w:val="0"/>
        <w:spacing w:before="0"/>
        <w:ind w:firstLine="480"/>
        <w:rPr>
          <w:rFonts w:ascii="宋体" w:hAnsi="宋体" w:cs="宋体"/>
          <w:highlight w:val="none"/>
        </w:rPr>
      </w:pPr>
      <w:r>
        <w:rPr>
          <w:rFonts w:hint="eastAsia" w:ascii="宋体" w:hAnsi="宋体" w:cs="宋体"/>
          <w:highlight w:val="none"/>
        </w:rPr>
        <w:t>28.3电子交易平台发现严重安全漏洞，有潜在泄密危险的；</w:t>
      </w:r>
    </w:p>
    <w:p>
      <w:pPr>
        <w:pStyle w:val="129"/>
        <w:snapToGrid w:val="0"/>
        <w:spacing w:before="0"/>
        <w:ind w:firstLine="480"/>
        <w:rPr>
          <w:rFonts w:ascii="宋体" w:hAnsi="宋体" w:cs="宋体"/>
          <w:highlight w:val="none"/>
        </w:rPr>
      </w:pPr>
      <w:r>
        <w:rPr>
          <w:rFonts w:hint="eastAsia" w:ascii="宋体" w:hAnsi="宋体" w:cs="宋体"/>
          <w:highlight w:val="none"/>
        </w:rPr>
        <w:t xml:space="preserve">28.4病毒发作导致不能进行正常操作的； </w:t>
      </w:r>
    </w:p>
    <w:p>
      <w:pPr>
        <w:pStyle w:val="129"/>
        <w:snapToGrid w:val="0"/>
        <w:spacing w:before="0"/>
        <w:ind w:firstLine="480"/>
        <w:rPr>
          <w:rFonts w:ascii="宋体" w:hAnsi="宋体" w:cs="宋体"/>
          <w:highlight w:val="none"/>
        </w:rPr>
      </w:pPr>
      <w:r>
        <w:rPr>
          <w:rFonts w:hint="eastAsia" w:ascii="宋体" w:hAnsi="宋体" w:cs="宋体"/>
          <w:highlight w:val="none"/>
        </w:rPr>
        <w:t>28.5其他无法保证电子交易的公平、公正和安全的情况。</w:t>
      </w:r>
    </w:p>
    <w:p>
      <w:pPr>
        <w:pStyle w:val="129"/>
        <w:snapToGrid w:val="0"/>
        <w:spacing w:before="0"/>
        <w:ind w:firstLine="0" w:firstLineChars="0"/>
        <w:rPr>
          <w:rFonts w:ascii="宋体" w:hAnsi="宋体" w:cs="宋体"/>
          <w:highlight w:val="none"/>
        </w:rPr>
      </w:pPr>
      <w:r>
        <w:rPr>
          <w:rFonts w:hint="eastAsia" w:ascii="宋体" w:hAnsi="宋体" w:cs="宋体"/>
          <w:highlight w:val="none"/>
        </w:rPr>
        <w:t xml:space="preserve"> </w:t>
      </w:r>
      <w:r>
        <w:rPr>
          <w:rFonts w:hint="eastAsia" w:ascii="宋体" w:hAnsi="宋体" w:cs="宋体"/>
          <w:b/>
          <w:bCs/>
          <w:highlight w:val="none"/>
        </w:rPr>
        <w:t>29.</w:t>
      </w:r>
      <w:r>
        <w:rPr>
          <w:rFonts w:hint="eastAsia" w:ascii="宋体" w:hAnsi="宋体" w:cs="宋体"/>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5"/>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docGrid w:linePitch="312" w:charSpace="0"/>
        </w:sectPr>
      </w:pPr>
      <w:bookmarkStart w:id="19" w:name="_Hlt68072990"/>
      <w:bookmarkEnd w:id="19"/>
      <w:bookmarkStart w:id="20" w:name="_Hlt75236011"/>
      <w:bookmarkEnd w:id="20"/>
      <w:bookmarkStart w:id="21" w:name="_Hlt74729768"/>
      <w:bookmarkEnd w:id="21"/>
      <w:bookmarkStart w:id="22" w:name="_Hlt74707468"/>
      <w:bookmarkEnd w:id="22"/>
      <w:bookmarkStart w:id="23" w:name="_Hlt68073093"/>
      <w:bookmarkEnd w:id="23"/>
      <w:bookmarkStart w:id="24" w:name="_Hlt75236290"/>
      <w:bookmarkEnd w:id="24"/>
      <w:bookmarkStart w:id="25" w:name="_Hlt68057669"/>
      <w:bookmarkEnd w:id="25"/>
      <w:bookmarkStart w:id="26" w:name="_Hlt75236101"/>
      <w:bookmarkEnd w:id="26"/>
      <w:bookmarkStart w:id="27" w:name="_Hlt74714665"/>
      <w:bookmarkEnd w:id="27"/>
      <w:bookmarkStart w:id="28" w:name="_Hlt74730295"/>
      <w:bookmarkEnd w:id="28"/>
      <w:bookmarkStart w:id="29" w:name="_Hlt68403820"/>
      <w:bookmarkEnd w:id="29"/>
      <w:bookmarkStart w:id="30" w:name="_Hlt68072998"/>
      <w:bookmarkEnd w:id="30"/>
    </w:p>
    <w:p>
      <w:pPr>
        <w:spacing w:line="360" w:lineRule="auto"/>
        <w:jc w:val="center"/>
        <w:outlineLvl w:val="0"/>
        <w:rPr>
          <w:highlight w:val="none"/>
        </w:rPr>
      </w:pPr>
      <w:r>
        <w:rPr>
          <w:rFonts w:hint="eastAsia" w:ascii="宋体" w:hAnsi="宋体" w:cs="宋体"/>
          <w:b/>
          <w:sz w:val="36"/>
          <w:szCs w:val="36"/>
          <w:highlight w:val="none"/>
        </w:rPr>
        <w:t>第三部分   采购需求</w:t>
      </w:r>
    </w:p>
    <w:p>
      <w:pPr>
        <w:adjustRightInd/>
        <w:spacing w:before="120" w:beforeLines="50" w:after="120" w:afterLines="50" w:line="360" w:lineRule="auto"/>
        <w:jc w:val="center"/>
        <w:outlineLvl w:val="1"/>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属于实质性要求条款的，已用符号“▲”标明，否则属于非实质性要求。</w:t>
      </w:r>
    </w:p>
    <w:p>
      <w:pPr>
        <w:spacing w:line="360" w:lineRule="auto"/>
        <w:ind w:firstLine="720" w:firstLineChars="300"/>
        <w:rPr>
          <w:rFonts w:hint="eastAsia" w:cs="仿宋_GB2312" w:asciiTheme="minorEastAsia" w:hAnsiTheme="minorEastAsia" w:eastAsiaTheme="minorEastAsia"/>
          <w:sz w:val="24"/>
          <w:highlight w:val="none"/>
          <w:u w:val="single"/>
          <w:lang w:val="en-US" w:eastAsia="zh-CN"/>
        </w:rPr>
      </w:pPr>
      <w:r>
        <w:rPr>
          <w:rFonts w:hint="eastAsia" w:asciiTheme="minorEastAsia" w:hAnsiTheme="minorEastAsia" w:eastAsiaTheme="minorEastAsia"/>
          <w:sz w:val="24"/>
          <w:highlight w:val="none"/>
        </w:rPr>
        <w:t>产品采购项目中单一产品或核心产品：</w:t>
      </w:r>
      <w:r>
        <w:rPr>
          <w:rFonts w:hint="default" w:asciiTheme="minorEastAsia" w:hAnsiTheme="minorEastAsia" w:eastAsiaTheme="minorEastAsia"/>
          <w:sz w:val="24"/>
          <w:highlight w:val="none"/>
          <w:lang w:val="en-US"/>
        </w:rPr>
        <w:t>48盘位磁盘阵列</w:t>
      </w:r>
      <w:r>
        <w:rPr>
          <w:rFonts w:hint="eastAsia" w:asciiTheme="minorEastAsia" w:hAnsiTheme="minorEastAsia" w:eastAsiaTheme="minorEastAsia"/>
          <w:sz w:val="24"/>
          <w:highlight w:val="none"/>
          <w:lang w:val="en-US" w:eastAsia="zh-CN"/>
        </w:rPr>
        <w:t>。</w:t>
      </w:r>
    </w:p>
    <w:p>
      <w:pPr>
        <w:numPr>
          <w:ilvl w:val="0"/>
          <w:numId w:val="2"/>
        </w:numPr>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概述：</w:t>
      </w:r>
    </w:p>
    <w:p>
      <w:pPr>
        <w:spacing w:line="360" w:lineRule="auto"/>
        <w:ind w:left="479"/>
        <w:rPr>
          <w:rFonts w:ascii="宋体" w:hAnsi="宋体" w:cs="宋体"/>
          <w:bCs/>
          <w:sz w:val="24"/>
          <w:highlight w:val="none"/>
        </w:rPr>
      </w:pPr>
      <w:r>
        <w:rPr>
          <w:rFonts w:hint="eastAsia" w:ascii="宋体" w:hAnsi="宋体" w:cs="宋体"/>
          <w:bCs/>
          <w:sz w:val="24"/>
          <w:highlight w:val="none"/>
        </w:rPr>
        <w:t>1、本项目为</w:t>
      </w:r>
      <w:r>
        <w:rPr>
          <w:rFonts w:hint="eastAsia" w:ascii="宋体" w:hAnsi="宋体" w:cs="宋体"/>
          <w:sz w:val="24"/>
          <w:highlight w:val="none"/>
        </w:rPr>
        <w:t>杭州市文理中学监控系统采购项目</w:t>
      </w:r>
      <w:r>
        <w:rPr>
          <w:rFonts w:hint="eastAsia" w:ascii="宋体" w:hAnsi="宋体" w:cs="宋体"/>
          <w:bCs/>
          <w:sz w:val="24"/>
          <w:highlight w:val="none"/>
        </w:rPr>
        <w:t>；</w:t>
      </w:r>
    </w:p>
    <w:p>
      <w:pPr>
        <w:spacing w:line="360" w:lineRule="auto"/>
        <w:ind w:left="479"/>
        <w:rPr>
          <w:rFonts w:ascii="宋体" w:hAnsi="宋体" w:cs="宋体"/>
          <w:bCs/>
          <w:sz w:val="24"/>
          <w:highlight w:val="none"/>
        </w:rPr>
      </w:pPr>
      <w:r>
        <w:rPr>
          <w:rFonts w:hint="eastAsia" w:ascii="宋体" w:hAnsi="宋体" w:cs="宋体"/>
          <w:bCs/>
          <w:sz w:val="24"/>
          <w:highlight w:val="none"/>
        </w:rPr>
        <w:t>2、项目实施地点：</w:t>
      </w:r>
      <w:r>
        <w:rPr>
          <w:rFonts w:hint="eastAsia" w:ascii="宋体" w:hAnsi="宋体" w:cs="宋体"/>
          <w:sz w:val="24"/>
          <w:highlight w:val="none"/>
        </w:rPr>
        <w:t>杭州市文理中学校园内</w:t>
      </w:r>
      <w:r>
        <w:rPr>
          <w:rFonts w:hint="eastAsia" w:ascii="宋体" w:hAnsi="宋体" w:cs="宋体"/>
          <w:bCs/>
          <w:sz w:val="24"/>
          <w:highlight w:val="none"/>
        </w:rPr>
        <w:t>；</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3、本项目包括安防监控</w:t>
      </w:r>
      <w:r>
        <w:rPr>
          <w:rFonts w:hint="eastAsia" w:ascii="宋体" w:hAnsi="宋体" w:cs="宋体"/>
          <w:sz w:val="24"/>
          <w:highlight w:val="none"/>
        </w:rPr>
        <w:t>系统集成等，具体包括安装、产品调试、试运行、验收与相关的操作培训及不少于3年（含）7×24小时免费设备保修和售后现场技术服务等内容。</w:t>
      </w:r>
    </w:p>
    <w:p>
      <w:pPr>
        <w:overflowPunct w:val="0"/>
        <w:autoSpaceDE w:val="0"/>
        <w:autoSpaceDN w:val="0"/>
        <w:spacing w:line="360" w:lineRule="auto"/>
        <w:jc w:val="left"/>
        <w:rPr>
          <w:rFonts w:ascii="宋体" w:hAnsi="宋体" w:cs="宋体"/>
          <w:b/>
          <w:color w:val="000000"/>
          <w:sz w:val="32"/>
          <w:szCs w:val="32"/>
          <w:highlight w:val="none"/>
        </w:rPr>
      </w:pPr>
      <w:r>
        <w:rPr>
          <w:rFonts w:hint="eastAsia" w:ascii="宋体" w:hAnsi="宋体" w:cs="宋体"/>
          <w:b/>
          <w:color w:val="000000"/>
          <w:sz w:val="32"/>
          <w:szCs w:val="32"/>
          <w:highlight w:val="none"/>
        </w:rPr>
        <w:t>二、项目建设要求：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所选系统设备要求性能优良、运行稳定可靠，采用业内成熟和领先的技术以保证设备的先进性以及可扩展性；</w:t>
      </w:r>
    </w:p>
    <w:p>
      <w:pPr>
        <w:pStyle w:val="7"/>
        <w:keepNext/>
        <w:keepLines/>
        <w:pageBreakBefore w:val="0"/>
        <w:widowControl w:val="0"/>
        <w:kinsoku/>
        <w:wordWrap/>
        <w:overflowPunct/>
        <w:topLinePunct w:val="0"/>
        <w:autoSpaceDE/>
        <w:autoSpaceDN/>
        <w:bidi w:val="0"/>
        <w:adjustRightInd w:val="0"/>
        <w:snapToGrid/>
        <w:spacing w:before="0" w:after="0" w:line="360" w:lineRule="auto"/>
        <w:ind w:left="0" w:firstLine="0"/>
        <w:textAlignment w:val="auto"/>
        <w:rPr>
          <w:rFonts w:hint="default" w:eastAsia="宋体"/>
          <w:highlight w:val="none"/>
          <w:lang w:val="en-US" w:eastAsia="zh-CN"/>
        </w:rPr>
      </w:pPr>
      <w:r>
        <w:rPr>
          <w:rFonts w:hint="eastAsia" w:ascii="宋体" w:hAnsi="宋体" w:cs="宋体"/>
          <w:sz w:val="24"/>
          <w:highlight w:val="none"/>
          <w:lang w:val="en-US" w:eastAsia="zh-CN"/>
        </w:rPr>
        <w:t xml:space="preserve">  </w:t>
      </w:r>
      <w:r>
        <w:rPr>
          <w:rFonts w:hint="eastAsia" w:ascii="宋体" w:hAnsi="宋体" w:cs="宋体"/>
          <w:sz w:val="24"/>
          <w:highlight w:val="none"/>
          <w:u w:val="single"/>
          <w:lang w:val="en-US" w:eastAsia="zh-CN"/>
        </w:rPr>
        <w:t xml:space="preserve"> 本次采购存储设备须满足学校原有监控设备扩容存储90天和新增设备存储90天的需求。供应商所投产品须与学校原有所有安防设备兼容互通。平台保持一致性。</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配置系统设备时要充分考虑业主利益，使用高性价比的产品设备；投标方可自行前往现场进行详细的勘测、充分评估本次项目的工程量，如出现材料设备等数量不足，须自行补足，不得有任何额外费用；</w:t>
      </w:r>
    </w:p>
    <w:p>
      <w:pPr>
        <w:tabs>
          <w:tab w:val="left" w:pos="1050"/>
        </w:tabs>
        <w:spacing w:line="360" w:lineRule="auto"/>
        <w:ind w:firstLine="420" w:firstLineChars="175"/>
        <w:rPr>
          <w:rFonts w:ascii="宋体" w:hAnsi="宋体" w:cs="宋体"/>
          <w:sz w:val="24"/>
          <w:highlight w:val="none"/>
        </w:rPr>
      </w:pPr>
      <w:r>
        <w:rPr>
          <w:rFonts w:hint="eastAsia" w:ascii="宋体" w:hAnsi="宋体" w:cs="宋体"/>
          <w:sz w:val="24"/>
          <w:highlight w:val="none"/>
        </w:rPr>
        <w:t>投标人采用其它标准和规范时，应在投标文件中注明是采用何种标准，并应保证设备达到或优于国家规定的现行相关标准；</w:t>
      </w:r>
    </w:p>
    <w:p>
      <w:pPr>
        <w:tabs>
          <w:tab w:val="left" w:pos="1050"/>
        </w:tabs>
        <w:spacing w:line="360" w:lineRule="auto"/>
        <w:ind w:firstLine="420" w:firstLineChars="175"/>
        <w:rPr>
          <w:rFonts w:ascii="宋体" w:hAnsi="宋体" w:cs="宋体"/>
          <w:sz w:val="24"/>
          <w:highlight w:val="none"/>
        </w:rPr>
      </w:pPr>
      <w:r>
        <w:rPr>
          <w:rFonts w:hint="eastAsia" w:ascii="宋体" w:hAnsi="宋体" w:cs="宋体"/>
          <w:sz w:val="24"/>
          <w:highlight w:val="none"/>
        </w:rPr>
        <w:t>对国家规定有强制性规范或条例或认证要求的设备或材料，投标人提供的设备或材料应符合该类要求。</w:t>
      </w:r>
    </w:p>
    <w:p>
      <w:pPr>
        <w:snapToGrid w:val="0"/>
        <w:spacing w:line="360" w:lineRule="auto"/>
        <w:rPr>
          <w:rFonts w:ascii="宋体" w:hAnsi="宋体" w:cs="宋体"/>
          <w:b/>
          <w:color w:val="000000"/>
          <w:sz w:val="18"/>
          <w:szCs w:val="18"/>
          <w:highlight w:val="none"/>
        </w:rPr>
      </w:pPr>
      <w:r>
        <w:rPr>
          <w:rFonts w:hint="eastAsia" w:ascii="宋体" w:hAnsi="宋体" w:cs="宋体"/>
          <w:b/>
          <w:color w:val="000000"/>
          <w:sz w:val="30"/>
          <w:szCs w:val="30"/>
          <w:highlight w:val="none"/>
        </w:rPr>
        <w:t>三、设备清单和参数</w:t>
      </w:r>
    </w:p>
    <w:tbl>
      <w:tblPr>
        <w:tblStyle w:val="62"/>
        <w:tblW w:w="8874" w:type="dxa"/>
        <w:jc w:val="center"/>
        <w:tblLayout w:type="fixed"/>
        <w:tblCellMar>
          <w:top w:w="0" w:type="dxa"/>
          <w:left w:w="108" w:type="dxa"/>
          <w:bottom w:w="0" w:type="dxa"/>
          <w:right w:w="108" w:type="dxa"/>
        </w:tblCellMar>
      </w:tblPr>
      <w:tblGrid>
        <w:gridCol w:w="505"/>
        <w:gridCol w:w="998"/>
        <w:gridCol w:w="6084"/>
        <w:gridCol w:w="417"/>
        <w:gridCol w:w="870"/>
      </w:tblGrid>
      <w:tr>
        <w:tblPrEx>
          <w:tblCellMar>
            <w:top w:w="0" w:type="dxa"/>
            <w:left w:w="108" w:type="dxa"/>
            <w:bottom w:w="0" w:type="dxa"/>
            <w:right w:w="108" w:type="dxa"/>
          </w:tblCellMar>
        </w:tblPrEx>
        <w:trPr>
          <w:trHeight w:val="2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设备名称</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参数要求</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单位</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数量</w:t>
            </w:r>
          </w:p>
        </w:tc>
      </w:tr>
      <w:tr>
        <w:tblPrEx>
          <w:tblCellMar>
            <w:top w:w="0" w:type="dxa"/>
            <w:left w:w="108" w:type="dxa"/>
            <w:bottom w:w="0" w:type="dxa"/>
            <w:right w:w="108" w:type="dxa"/>
          </w:tblCellMar>
        </w:tblPrEx>
        <w:trPr>
          <w:trHeight w:val="2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安防监控系统</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p>
        </w:tc>
      </w:tr>
      <w:tr>
        <w:tblPrEx>
          <w:tblCellMar>
            <w:top w:w="0" w:type="dxa"/>
            <w:left w:w="108" w:type="dxa"/>
            <w:bottom w:w="0" w:type="dxa"/>
            <w:right w:w="108" w:type="dxa"/>
          </w:tblCellMar>
        </w:tblPrEx>
        <w:trPr>
          <w:trHeight w:val="9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200万枪型网络摄像机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在1920x1080下分辨力可达到900TVL（投标时提供国家权威机构出具的检测报告为准）</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2、信噪比不小于55dB。</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3、支持红外补光，有效补光距离达到50m</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4、需支持IP66防尘防水。</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5、支持DC12V或poe供电</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6、内置1个麦克风，1个RJ45网络接口</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7、靶面尺寸为1/2.7英寸</w:t>
            </w:r>
          </w:p>
          <w:p>
            <w:pPr>
              <w:widowControl/>
              <w:numPr>
                <w:ilvl w:val="0"/>
                <w:numId w:val="0"/>
              </w:numPr>
              <w:adjustRightInd/>
              <w:rPr>
                <w:rFonts w:hint="eastAsia" w:ascii="宋体" w:hAnsi="宋体" w:eastAsia="宋体" w:cs="宋体"/>
                <w:color w:val="auto"/>
                <w:sz w:val="24"/>
                <w:szCs w:val="24"/>
                <w:highlight w:val="none"/>
              </w:rPr>
            </w:pPr>
            <w:r>
              <w:rPr>
                <w:rFonts w:hint="eastAsia" w:ascii="宋体" w:hAnsi="宋体" w:cs="宋体"/>
                <w:b/>
                <w:bCs/>
                <w:color w:val="auto"/>
                <w:sz w:val="24"/>
                <w:highlight w:val="none"/>
                <w:lang w:val="en-US" w:eastAsia="zh-CN"/>
              </w:rPr>
              <w:t>注：提供原厂质保或承诺在中标后7个工作日内提供原厂质保的承诺函</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离岗检测摄像机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支持2560x1440 @ 25fps，分辨力不小于1500TVL。</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2、内置GPU芯片。</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3、支持将智能资源分配设置为Smart事件或AI开放平台。</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4、可通过IE浏览器查看设备芯片类型和算法版本号。</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5、可通过IE浏览器添加、修改、删除算法库，可支持不少于4个算法库。</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6、支持离线算法或在线加载和升级等操作，升级过程中样机输出的视频画面应连续稳定，升级完成后样机不应重启（</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7、最低照度彩色：0.005 lx，黑白:0.001 lx，最大亮度鉴别等级不小于11级。</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8、红外补光距离不小于30米。</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9、需支持三码流技术。</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10、支持H.264、H.265、MJPEG视频编码格式，且具有High Profile编码能力。</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11、同一静止场景相同图像质量下，设备在H.265编码方式时，开启智能编码功能和不开启智能编码相比，码率节约80%。</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12、支持对存储卡进行读写锁定，锁定后的存储卡在移动终端需要密码才能访问。</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13、支持防水防尘等级不小于IP67。</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14、支持电源电压DC12V±20%的范围内正常工作，支持防反接保护和PoE供电。</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15、支持值岗检测，可在设定时间和检测区域内实时分析目标人员是否在岗、是否玩手机、是否睡觉，对符合设定条件的目标进行筛选、抓拍、统计、上报等处理。</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16、支持内置2个麦克风，1个扬声器，1路音频输入，1路音频输出，1路报警输入，1路报警输出，1个RS-485接口，一个DC12V电压输出接口。</w:t>
            </w:r>
          </w:p>
          <w:p>
            <w:pPr>
              <w:widowControl/>
              <w:numPr>
                <w:ilvl w:val="0"/>
                <w:numId w:val="0"/>
              </w:numPr>
              <w:adjustRightInd/>
              <w:rPr>
                <w:rFonts w:hint="eastAsia" w:ascii="宋体" w:hAnsi="宋体" w:eastAsia="宋体" w:cs="宋体"/>
                <w:color w:val="auto"/>
                <w:kern w:val="0"/>
                <w:sz w:val="24"/>
                <w:szCs w:val="24"/>
                <w:highlight w:val="none"/>
              </w:rPr>
            </w:pPr>
            <w:r>
              <w:rPr>
                <w:rFonts w:hint="eastAsia" w:ascii="宋体" w:hAnsi="宋体" w:cs="宋体"/>
                <w:b/>
                <w:bCs/>
                <w:color w:val="auto"/>
                <w:sz w:val="24"/>
                <w:highlight w:val="none"/>
                <w:lang w:val="en-US" w:eastAsia="zh-CN"/>
              </w:rPr>
              <w:t>注：提供原厂质保或承诺在中标后7个工作日内提供原厂质保的承诺函</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r>
      <w:tr>
        <w:tblPrEx>
          <w:tblCellMar>
            <w:top w:w="0" w:type="dxa"/>
            <w:left w:w="108" w:type="dxa"/>
            <w:bottom w:w="0" w:type="dxa"/>
            <w:right w:w="108" w:type="dxa"/>
          </w:tblCellMar>
        </w:tblPrEx>
        <w:trPr>
          <w:trHeight w:val="9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枪机支架</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1、金属材质，白色；</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2、壁装</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w:t>
            </w:r>
          </w:p>
        </w:tc>
      </w:tr>
      <w:tr>
        <w:tblPrEx>
          <w:tblCellMar>
            <w:top w:w="0" w:type="dxa"/>
            <w:left w:w="108" w:type="dxa"/>
            <w:bottom w:w="0" w:type="dxa"/>
            <w:right w:w="108" w:type="dxa"/>
          </w:tblCellMar>
        </w:tblPrEx>
        <w:trPr>
          <w:trHeight w:val="3834"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鳞镜星光摄像机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具有不小于1/1.8"靶面尺寸。</w:t>
            </w:r>
          </w:p>
          <w:p>
            <w:pPr>
              <w:widowControl/>
              <w:numPr>
                <w:ilvl w:val="0"/>
                <w:numId w:val="5"/>
              </w:numPr>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2、内置1颗GPU、2个麦克风</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3、镜头焦距不小于2.7mm~13.5mm。</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4、设备支持输出3200×1800@25fps的码流。</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5、可通过IE浏览器控制设备聚焦及变焦，变焦过程中可自动聚焦。（</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sz w:val="24"/>
                <w:szCs w:val="24"/>
                <w:highlight w:val="none"/>
              </w:rPr>
              <w:t>）</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6、最低照度彩色：0.001 lx，黑白:0.0001 lx，最大亮度鉴别等级（灰度等级）不小于11级。</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7、摄像机能够在-40~70摄氏度环境下稳定工作。</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8、支持透雾功能，当检测到雾的浓度达到设定的阈值时，可自动在光学透雾和数字透雾之间进行切换。（</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sz w:val="24"/>
                <w:szCs w:val="24"/>
                <w:highlight w:val="none"/>
              </w:rPr>
              <w:t>）</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9、同一静止场景相同图像质量下，设备在H.265编码方式时，开启智能编码功能和不开启智能编码相比，码率节约1/2。</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10、需支持本地SD卡存储，最大支持256G。</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11、不低于IP67防尘防水等级。</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12、具有1个RS485接口、1个报警输入接口、1个报警输出接口、1个音频输入接口、1个音频输出接口。</w:t>
            </w:r>
          </w:p>
          <w:p>
            <w:pPr>
              <w:widowControl/>
              <w:adjustRightInd/>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13、★摄像机采用鳞镜式补光灯，补光灯开启后，正面不可见补光灯灯珠，补光亮度均匀，无明显波纹状、圆环状、麻点状、条纹状及不规则亮斑。（</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sz w:val="24"/>
                <w:szCs w:val="24"/>
                <w:highlight w:val="none"/>
              </w:rPr>
              <w:t>）</w:t>
            </w:r>
          </w:p>
          <w:p>
            <w:pPr>
              <w:widowControl/>
              <w:adjustRightInd/>
              <w:rPr>
                <w:rFonts w:hint="eastAsia" w:ascii="宋体" w:hAnsi="宋体" w:eastAsia="宋体" w:cs="宋体"/>
                <w:color w:val="auto"/>
                <w:sz w:val="24"/>
                <w:szCs w:val="24"/>
                <w:highlight w:val="none"/>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鳞镜星光摄像机支架</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ind w:firstLine="240" w:firstLineChars="1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壁装支架/白/铝合金</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雷达联动摄像机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设备具有1个RJ45网络接口，可输出两路视频图像：全景通道、细节通道。（</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2、内置2个GPU芯片</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3、全景通道和细节通道分辨率支持2560x1440，全景通道焦距不小于6mm，光圈不小于F1.0，细节通道焦距不小于30mm，光学变倍不小于2倍。</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4、设备支持上、下双安装接口，其中上、下安装接口各有4个螺丝孔位，支持座装、吊装、壁装三种安装方式。</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5、支持最低照度可达彩色0.0002Lux，黑白0.0001Lux。</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6、两个通道均支持对镜头前盖玻璃进行加热，去除玻璃上的冰状和水状附着物。</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7、★设备细节通道内置水平和垂直旋转电机，细节通道采用电机直驱转动，无同步轮和同步带。细节通道支持水平±20°，垂直±5°电动调节。（</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8、全景和细节通道可分别或同时对行人、非机动车、机动车进行检测、跟踪、抓拍。（</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9、★在联动模式下，全景通道检测到移动目标后，可联动细节通道进行人脸，人体的抓拍和属性分析。全景通道检测并框出移动目标至细节通道开始转动的时间不大于0.2s，距离设备20m处的全景检测宽度不小于15m。（</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10、全景通道具有全结构化模式，细节通道具有混合比对模式（人脸抓拍、人体抓拍、人脸比对）和全结构化模式，切换智能资源时设备不重启即可生效。</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11、支持数据感知功能，可同时支持10路客户端和5路web端事件布防，设备在布防时间段内主动上传感知数据，断网重连后，报警信息与报警图片可继续上传。</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12、支持数据感知功能，在IE 浏览器下，重启事件记录包括正常重启和异常重启2种类型。正常重启可记录重启的时间、服务类型、用户名、IP/域名信息；异常重启可记录重启时间、异常类型信息。</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13、细节画面支持快速聚焦，从聚焦开始到聚焦结束用时不超过0.1s。</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14、设备具有人脸马赛克设置选项，启用后可对人脸抓拍小图和对应背景图原图进行人脸马赛克叠加；叠加位置为人脸的眼睛部位。（</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15、设备抓拍的同一目标的人体人脸可同时在1张背景大图中展示。</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16、设备具有人像增强和车牌增强功能，车牌增强等级在0~100范围内可设。</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17、设备具有人脸去重功能，去重相似度阈值在0~100范围内可设；去重库入库评分阈值在0~100范围内可设；去重库更新时间在0~300s范围内可设。</w:t>
            </w:r>
          </w:p>
          <w:p>
            <w:pPr>
              <w:widowControl/>
              <w:numPr>
                <w:ilvl w:val="0"/>
                <w:numId w:val="0"/>
              </w:numPr>
              <w:adjustRightInd/>
              <w:rPr>
                <w:rFonts w:hint="eastAsia" w:ascii="宋体" w:hAnsi="宋体" w:eastAsia="宋体" w:cs="宋体"/>
                <w:color w:val="auto"/>
                <w:kern w:val="0"/>
                <w:sz w:val="24"/>
                <w:szCs w:val="24"/>
                <w:highlight w:val="none"/>
              </w:rPr>
            </w:pPr>
            <w:r>
              <w:rPr>
                <w:rFonts w:hint="eastAsia" w:ascii="宋体" w:hAnsi="宋体" w:cs="宋体"/>
                <w:b/>
                <w:bCs/>
                <w:color w:val="auto"/>
                <w:sz w:val="24"/>
                <w:highlight w:val="none"/>
                <w:lang w:val="en-US" w:eastAsia="zh-CN"/>
              </w:rPr>
              <w:t>注：提供原厂质保或承诺在中标后7个工作日内提供原厂质保的承诺函</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万向节支架</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配套万向节</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全局摄像机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1、设备具有1个RJ45网络接口，可输出三路视频图像：全景通道、细节通道、球机通道。</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2、摄像机定焦镜头、2个变焦镜头CMOS靶面尺寸均不小于1/1.8英寸。（</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3、★内置≥4个GPU芯片，内置≥4个8GB eMMc。（</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4、全景和细节通道支持分辨率设置为2560x1440，帧率设置为25fps。</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5、细节和球机光学变倍都不小于4倍，细节通道最大焦距不小于30mm，球机通道最大焦距不小于51mm；全景通道焦距不大于6mm。</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6、★设备内置≥10颗补光灯，其中全景≥2颗补光灯，细节≥4颗补光灯，球机≥4颗补光灯。（</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7、三个通道均支持对镜头前盖玻璃加热，去除玻璃上的冰状和水状附着物。</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8、在联动模式下，细节通道和全景通道可进行全结构化抓拍和属性分析。在全景通道检测到移动目标后，可联动球机进行人脸、人体的抓拍和属性分析。</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9、具备多通道旋转功能，球机通道：水平0到330°，垂直：-10°到90°；全景通道：垂直±5°可调节；细节通道：水平±5°可调节，垂直±5°可调节。球机镜头、全景镜头和细节镜头可分开进行水平垂直方向调节。</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10、具备电瓶车牌识别功能，设备可在智能展示界面显示电瓶车的车牌，触发电瓶车报警时，可实时显示电瓶车小图、电瓶车大图和电瓶车车牌小图。</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11、设备在智能展示界面可显示为3分屏。</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12、具备车牌人脸关联功能，支持非机动车牌与非机动车上的人脸进行关联。（</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13、设备支持全景通道检测到移动目标后，可联动球机进行人脸、人体抓拍，全景检测宽度不小于15米。</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14、设备具有人脸马赛克配置选项，启用后可对人脸抓拍小图和对应背景图进行人脸马赛克叠加，叠加位置为人脸的眼睛部位。（</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15、设备支持上、下双安装接口，其中上安装接口≥4个螺丝孔位，下安装接口≥6个螺丝孔位。</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16、设备全景、细节和球机通道可分别或同时对行人、非机动车、机动车进行检测、跟踪、抓拍，可支持人脸、车牌、非机动车车牌抠图，可将人脸与人体、车牌与车辆关联显示。</w:t>
            </w:r>
          </w:p>
          <w:p>
            <w:pPr>
              <w:widowControl/>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17、设备支持人数统计、热度图、人员密度功能。（</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rPr>
              <w:t>★</w:t>
            </w:r>
            <w:r>
              <w:rPr>
                <w:rFonts w:hint="eastAsia" w:asciiTheme="minorEastAsia" w:hAnsiTheme="minorEastAsia" w:eastAsiaTheme="minorEastAsia" w:cstheme="minorEastAsia"/>
                <w:color w:val="auto"/>
                <w:kern w:val="0"/>
                <w:sz w:val="24"/>
                <w:szCs w:val="24"/>
                <w:highlight w:val="none"/>
                <w:lang w:val="en-US" w:eastAsia="zh-CN"/>
              </w:rPr>
              <w:t>18、</w:t>
            </w:r>
            <w:r>
              <w:rPr>
                <w:rFonts w:hint="eastAsia" w:hAnsi="宋体" w:cs="宋体"/>
                <w:b/>
                <w:bCs/>
                <w:sz w:val="24"/>
                <w:szCs w:val="24"/>
                <w:highlight w:val="none"/>
                <w:lang w:val="en-US" w:eastAsia="zh-CN"/>
              </w:rPr>
              <w:t>本设</w:t>
            </w:r>
            <w:r>
              <w:rPr>
                <w:rFonts w:hint="eastAsia" w:ascii="宋体" w:hAnsi="宋体" w:eastAsia="宋体" w:cs="宋体"/>
                <w:b/>
                <w:bCs/>
                <w:color w:val="auto"/>
                <w:kern w:val="0"/>
                <w:sz w:val="24"/>
                <w:szCs w:val="24"/>
                <w:highlight w:val="none"/>
                <w:lang w:val="en-US" w:eastAsia="zh-CN"/>
              </w:rPr>
              <w:t>备须接入西湖区教育局综合安防管理平台，并提供</w:t>
            </w:r>
            <w:r>
              <w:rPr>
                <w:rFonts w:hint="eastAsia" w:ascii="宋体" w:hAnsi="宋体" w:eastAsia="宋体" w:cs="宋体"/>
                <w:b/>
                <w:bCs/>
                <w:color w:val="auto"/>
                <w:kern w:val="0"/>
                <w:sz w:val="24"/>
                <w:szCs w:val="24"/>
                <w:highlight w:val="none"/>
              </w:rPr>
              <w:t>接入承诺函证明。</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全局支架</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全局摄像机配套壁装支架;材质：铝合金</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48盘位磁盘阵列</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adjustRightInd/>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服务器配置：≥1颗64位多核处理器，≥4GB内存，内存支持扩展到≥64GB，可以扩展到2个SSD作为缓存盘，配置≥6个风扇，支持风扇热插拔冗余温控调速风扇。</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2、支持热插拔1+1AC220V 或 1+1 直流冗余金牌电源供电（照片证明），机箱具备防尘滤网，采用双立柱防震设计</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3、标配≥2个千兆网口，可增扩≥4个千兆网口，或可增扩≥2个10Gb 光纤接口或≥4个HDMI接口或≥3个Mini SAS3.0接口；支持≥12级扩展柜级联扩展；可支持12GB SAS扩展口</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4、可接入2T/3T/4T/6T/8T/10T/12T/14T/16T/18T/20T SATA/SAS硬盘；支持NL-SAS 硬盘、HDD硬盘、SSD硬盘、氦气硬盘、空气硬盘；支持 CMR或SMR硬盘；支持硬盘交错/分时启动，节省功耗。</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5、具有48块硬盘热插拔插槽；支持硬盘热插拔设备在读写数据时，热插拔设备内的任意块硬盘，设备正常运行不宕机，硬盘不损坏，数据不丢失，业务不中断。（</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6、支持视音频、图片、智能数据流进行混合直存，无须存储服务器和图片服务器的参与，平台服务器宕机时，存储业务正常；支持国际GB/T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7、支持 ONVIF、PSIA、TCP/IP、UDP、SIP、SIP2.0、RTSP、RTP、RTCP、iSCSI、CIFS(SMB)、NFS、FTP、HTTP、AFP、RSYNC、SNMP、IPV4、IPV6、HLS、S3、OSS等协议，支持IP组播</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8、支持视频矫正功能，可将接入的鱼眼摄像机、双目摄像机和全景自拼接摄像机、智能相机、热成像摄像机的图像以多画面分割方式显示并进行调整；支持画中画通道视频显示和存储</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9、应能接入并存储2048Mbps视频图像，同时转发2048Mbps的视频图像，同时下载2048Mbps的视频图像；同时回放600Mbps的视频图像；在转发模式下，可进行2048路2Mbps视频码流转发；在总带宽不变的情况下，接入、转发、回放间的性能值可自由调整。（</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10、支持不低于1024MbpsMbps图片转发；支持不低于1024MbpsMbps图片并发输入，同时不低于1024MbpsMbps图片并发输出</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11、★当样机发生磁盘、IP冲突、网口降速、电源故障、RAID故障、RAID降级、温度超限、风扇故障、码流异常、电池故障、无硬盘、存储错误、录像丢帧、网络安全异常、SSD健康异常、无热备盘、存储空间满、Mac冲突、登录锁定等故障时，可发出声光指示、数码管/液晶显示器显示或通过E-mail/短信发送或SNMP Trap报警（</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default" w:ascii="宋体" w:hAnsi="宋体" w:cs="宋体"/>
                <w:color w:val="auto"/>
                <w:kern w:val="0"/>
                <w:sz w:val="24"/>
                <w:szCs w:val="24"/>
                <w:highlight w:val="none"/>
                <w:lang w:val="en-US"/>
              </w:rPr>
              <w:t>12</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网络中断后重新恢复，可续存断网期间存储在前端设备中的录像文件，并可通过IE浏览器设置自动回传和手动回传；支持256路4Mbps的录像回传。</w:t>
            </w:r>
            <w:r>
              <w:rPr>
                <w:rFonts w:hint="eastAsia" w:ascii="宋体" w:hAnsi="宋体" w:eastAsia="宋体" w:cs="宋体"/>
                <w:color w:val="auto"/>
                <w:kern w:val="0"/>
                <w:sz w:val="24"/>
                <w:szCs w:val="24"/>
                <w:highlight w:val="none"/>
              </w:rPr>
              <w:br w:type="textWrapping"/>
            </w:r>
            <w:r>
              <w:rPr>
                <w:rFonts w:hint="default" w:ascii="宋体" w:hAnsi="宋体" w:cs="宋体"/>
                <w:color w:val="auto"/>
                <w:kern w:val="0"/>
                <w:sz w:val="24"/>
                <w:szCs w:val="24"/>
                <w:highlight w:val="none"/>
                <w:lang w:val="en-US"/>
              </w:rPr>
              <w:t>13</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提供多设备同步升级功能，可以通过一键式操作对整个局域网内的所有设备同步升级</w:t>
            </w:r>
            <w:r>
              <w:rPr>
                <w:rFonts w:hint="eastAsia" w:ascii="宋体" w:hAnsi="宋体" w:eastAsia="宋体" w:cs="宋体"/>
                <w:color w:val="auto"/>
                <w:kern w:val="0"/>
                <w:sz w:val="24"/>
                <w:szCs w:val="24"/>
                <w:highlight w:val="none"/>
              </w:rPr>
              <w:br w:type="textWrapping"/>
            </w:r>
            <w:r>
              <w:rPr>
                <w:rFonts w:hint="default" w:ascii="宋体" w:hAnsi="宋体" w:cs="宋体"/>
                <w:color w:val="auto"/>
                <w:kern w:val="0"/>
                <w:sz w:val="24"/>
                <w:szCs w:val="24"/>
                <w:highlight w:val="none"/>
                <w:lang w:val="en-US"/>
              </w:rPr>
              <w:t>14</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可在操作界面查看数据重构状态，设备的磁盘或节点离线并重新插回后，可在界面显示离线磁盘或节点的数据重构过程，离线前数据不丢失</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w:t>
            </w:r>
            <w:r>
              <w:rPr>
                <w:rFonts w:hint="default" w:ascii="宋体" w:hAnsi="宋体" w:cs="宋体"/>
                <w:color w:val="auto"/>
                <w:kern w:val="0"/>
                <w:sz w:val="24"/>
                <w:szCs w:val="24"/>
                <w:highlight w:val="none"/>
                <w:lang w:val="en-US"/>
              </w:rPr>
              <w:t>5</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设备均应具有权限管理、运行日志功能设备应设置操作口令，宜有防篡改、防非法复制、数据（图像、音视频等）加密、等措施，以保证原始数据的完整性。重要的图像（图像、视音频、结构化数据、索引数据等）应加保护，不被删除和覆盖</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w:t>
            </w:r>
            <w:r>
              <w:rPr>
                <w:rFonts w:hint="default" w:ascii="宋体" w:hAnsi="宋体" w:cs="宋体"/>
                <w:color w:val="auto"/>
                <w:kern w:val="0"/>
                <w:sz w:val="24"/>
                <w:szCs w:val="24"/>
                <w:highlight w:val="none"/>
                <w:lang w:val="en-US"/>
              </w:rPr>
              <w:t>6</w:t>
            </w:r>
            <w:r>
              <w:rPr>
                <w:rFonts w:hint="eastAsia" w:ascii="宋体" w:hAnsi="宋体" w:eastAsia="宋体" w:cs="宋体"/>
                <w:color w:val="auto"/>
                <w:kern w:val="0"/>
                <w:sz w:val="24"/>
                <w:szCs w:val="24"/>
                <w:highlight w:val="none"/>
              </w:rPr>
              <w:t>、支持查看硬盘体检报告、硬盘深度体检和磁盘档案；支持下载单个硬盘或批量硬盘的报告，支持按时间显示硬盘的坏扇区、温度、振动变化趋势的曲线图；可通过硬盘深度体检查看硬盘原始数据读取错误率、上电时间、上电时长计数、意外断电计数、重映射扇区数、磁盘振动等多种硬盘相关健康值；支持查看硬盘体检的历史记录、硬盘健康状态，并对硬盘健康状态进行分级分类，包括健康（良好、正常）、亚健康（警告、即将损坏）、故障（错误、损坏）等；支持硬盘体检报告打印输出；</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w:t>
            </w:r>
            <w:r>
              <w:rPr>
                <w:rFonts w:hint="default" w:ascii="宋体" w:hAnsi="宋体" w:cs="宋体"/>
                <w:color w:val="auto"/>
                <w:kern w:val="0"/>
                <w:sz w:val="24"/>
                <w:szCs w:val="24"/>
                <w:highlight w:val="none"/>
                <w:lang w:val="en-US"/>
              </w:rPr>
              <w:t>7</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可扩展支持将前端一路视频流同时存入两台存储；支持双机间编码器和录像同步，故障时可进行互相接管;</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w:t>
            </w:r>
            <w:r>
              <w:rPr>
                <w:rFonts w:hint="default" w:ascii="宋体" w:hAnsi="宋体" w:cs="宋体"/>
                <w:color w:val="auto"/>
                <w:kern w:val="0"/>
                <w:sz w:val="24"/>
                <w:szCs w:val="24"/>
                <w:highlight w:val="none"/>
                <w:lang w:val="en-US"/>
              </w:rPr>
              <w:t>8</w:t>
            </w:r>
            <w:r>
              <w:rPr>
                <w:rFonts w:hint="eastAsia" w:ascii="宋体" w:hAnsi="宋体" w:eastAsia="宋体" w:cs="宋体"/>
                <w:color w:val="auto"/>
                <w:kern w:val="0"/>
                <w:sz w:val="24"/>
                <w:szCs w:val="24"/>
                <w:highlight w:val="none"/>
              </w:rPr>
              <w:t>、可通过客户端软件添加及删除手机号，启用短信网关报警功能后，设备可向添加的手机号码发送电源异常、系统卡容量不足、存储空间异常、自动修复失败、私有卷IO异常、无可用逻辑卷等报警信息，报警种类可设。</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w:t>
            </w:r>
            <w:r>
              <w:rPr>
                <w:rFonts w:hint="default" w:ascii="宋体" w:hAnsi="宋体" w:cs="宋体"/>
                <w:color w:val="auto"/>
                <w:kern w:val="0"/>
                <w:sz w:val="24"/>
                <w:szCs w:val="24"/>
                <w:highlight w:val="none"/>
                <w:lang w:val="en-US"/>
              </w:rPr>
              <w:t>9</w:t>
            </w:r>
            <w:r>
              <w:rPr>
                <w:rFonts w:hint="eastAsia" w:ascii="宋体" w:hAnsi="宋体" w:eastAsia="宋体" w:cs="宋体"/>
                <w:color w:val="auto"/>
                <w:kern w:val="0"/>
                <w:sz w:val="24"/>
                <w:szCs w:val="24"/>
                <w:highlight w:val="none"/>
              </w:rPr>
              <w:t>、★支持红灯/蓝灯报警，可根据故障紧急程度分级报警，不同级别闪烁不同颜色保养灯，保养灯闪烁时长、频率可设;（</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br w:type="textWrapping"/>
            </w:r>
            <w:r>
              <w:rPr>
                <w:rFonts w:hint="default" w:ascii="宋体" w:hAnsi="宋体" w:cs="宋体"/>
                <w:color w:val="auto"/>
                <w:kern w:val="0"/>
                <w:sz w:val="24"/>
                <w:szCs w:val="24"/>
                <w:highlight w:val="none"/>
                <w:lang w:val="en-US"/>
              </w:rPr>
              <w:t>20</w:t>
            </w:r>
            <w:r>
              <w:rPr>
                <w:rFonts w:hint="eastAsia" w:ascii="宋体" w:hAnsi="宋体" w:eastAsia="宋体" w:cs="宋体"/>
                <w:color w:val="auto"/>
                <w:kern w:val="0"/>
                <w:sz w:val="24"/>
                <w:szCs w:val="24"/>
                <w:highlight w:val="none"/>
              </w:rPr>
              <w:t>、支持通过IE、火狐、Google、QQ、360、遨游、搜狗、百度、猎豹、欧朋浏览器对设备进行操作；支持在麒麟/UOS操作系统上，使用奇安信浏览器/UOS浏览器对样机进行操作</w:t>
            </w:r>
            <w:r>
              <w:rPr>
                <w:rFonts w:hint="eastAsia" w:ascii="宋体" w:hAnsi="宋体" w:eastAsia="宋体" w:cs="宋体"/>
                <w:color w:val="auto"/>
                <w:kern w:val="0"/>
                <w:sz w:val="24"/>
                <w:szCs w:val="24"/>
                <w:highlight w:val="none"/>
              </w:rPr>
              <w:br w:type="textWrapping"/>
            </w:r>
            <w:r>
              <w:rPr>
                <w:rFonts w:hint="default" w:ascii="宋体" w:hAnsi="宋体" w:cs="宋体"/>
                <w:color w:val="auto"/>
                <w:kern w:val="0"/>
                <w:sz w:val="24"/>
                <w:szCs w:val="24"/>
                <w:highlight w:val="none"/>
                <w:lang w:val="en-US"/>
              </w:rPr>
              <w:t>21</w:t>
            </w:r>
            <w:r>
              <w:rPr>
                <w:rFonts w:hint="eastAsia" w:ascii="宋体" w:hAnsi="宋体" w:eastAsia="宋体" w:cs="宋体"/>
                <w:color w:val="auto"/>
                <w:kern w:val="0"/>
                <w:sz w:val="24"/>
                <w:szCs w:val="24"/>
                <w:highlight w:val="none"/>
              </w:rPr>
              <w:t>、可根据业务需要配置重构速度，支持低速、中速、高速和全速四种重构速度配置，可通过客户端软件显示重构速度；设备可根据自身业务量自动调节重构速度，当设备空间资源达到预设值时，可自动提高重构速度，当空间资源低于预设值时，可自动降低重构速度</w:t>
            </w:r>
            <w:r>
              <w:rPr>
                <w:rFonts w:hint="eastAsia" w:ascii="宋体" w:hAnsi="宋体" w:eastAsia="宋体" w:cs="宋体"/>
                <w:color w:val="auto"/>
                <w:kern w:val="0"/>
                <w:sz w:val="24"/>
                <w:szCs w:val="24"/>
                <w:highlight w:val="none"/>
              </w:rPr>
              <w:br w:type="textWrapping"/>
            </w:r>
            <w:r>
              <w:rPr>
                <w:rFonts w:hint="default" w:ascii="宋体" w:hAnsi="宋体" w:cs="宋体"/>
                <w:color w:val="auto"/>
                <w:kern w:val="0"/>
                <w:sz w:val="24"/>
                <w:szCs w:val="24"/>
                <w:highlight w:val="none"/>
                <w:lang w:val="en-US"/>
              </w:rPr>
              <w:t>22</w:t>
            </w:r>
            <w:r>
              <w:rPr>
                <w:rFonts w:hint="eastAsia" w:ascii="宋体" w:hAnsi="宋体" w:eastAsia="宋体" w:cs="宋体"/>
                <w:color w:val="auto"/>
                <w:kern w:val="0"/>
                <w:sz w:val="24"/>
                <w:szCs w:val="24"/>
                <w:highlight w:val="none"/>
              </w:rPr>
              <w:t>、设备可每5秒对视频流进行一次丢帧检测，当检测到丢帧时，可发出报警，并生成报警日志</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w:t>
            </w:r>
            <w:r>
              <w:rPr>
                <w:rFonts w:hint="default" w:ascii="宋体" w:hAnsi="宋体" w:cs="宋体"/>
                <w:color w:val="auto"/>
                <w:kern w:val="0"/>
                <w:sz w:val="24"/>
                <w:szCs w:val="24"/>
                <w:highlight w:val="none"/>
                <w:lang w:val="en-US"/>
              </w:rPr>
              <w:t>3</w:t>
            </w:r>
            <w:r>
              <w:rPr>
                <w:rFonts w:hint="eastAsia" w:ascii="宋体" w:hAnsi="宋体" w:eastAsia="宋体" w:cs="宋体"/>
                <w:color w:val="auto"/>
                <w:kern w:val="0"/>
                <w:sz w:val="24"/>
                <w:szCs w:val="24"/>
                <w:highlight w:val="none"/>
              </w:rPr>
              <w:t>、可对指定事件的1个或多个不同时间段的录像段添加标签，并自动备份到存档卷中，使之不会被覆盖删除，并根据标签查询录像，可将相同标签的录像进行统一回放、下载；可对录像卷和存档卷配置不同的存储周期</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w:t>
            </w:r>
            <w:r>
              <w:rPr>
                <w:rFonts w:hint="default" w:ascii="宋体" w:hAnsi="宋体" w:cs="宋体"/>
                <w:color w:val="auto"/>
                <w:kern w:val="0"/>
                <w:sz w:val="24"/>
                <w:szCs w:val="24"/>
                <w:highlight w:val="none"/>
                <w:lang w:val="en-US"/>
              </w:rPr>
              <w:t>4</w:t>
            </w:r>
            <w:r>
              <w:rPr>
                <w:rFonts w:hint="eastAsia" w:ascii="宋体" w:hAnsi="宋体" w:eastAsia="宋体" w:cs="宋体"/>
                <w:color w:val="auto"/>
                <w:kern w:val="0"/>
                <w:sz w:val="24"/>
                <w:szCs w:val="24"/>
                <w:highlight w:val="none"/>
              </w:rPr>
              <w:t>、更换系统盘并配置好信息后，再次开机无需人工介入，可自动恢复业务，历史数据不应丢失。</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w:t>
            </w:r>
            <w:r>
              <w:rPr>
                <w:rFonts w:hint="default" w:ascii="宋体" w:hAnsi="宋体" w:cs="宋体"/>
                <w:color w:val="auto"/>
                <w:kern w:val="0"/>
                <w:sz w:val="24"/>
                <w:szCs w:val="24"/>
                <w:highlight w:val="none"/>
                <w:lang w:val="en-US"/>
              </w:rPr>
              <w:t>5</w:t>
            </w:r>
            <w:r>
              <w:rPr>
                <w:rFonts w:hint="eastAsia" w:ascii="宋体" w:hAnsi="宋体" w:eastAsia="宋体" w:cs="宋体"/>
                <w:color w:val="auto"/>
                <w:kern w:val="0"/>
                <w:sz w:val="24"/>
                <w:szCs w:val="24"/>
                <w:highlight w:val="none"/>
              </w:rPr>
              <w:t>、提供3C</w:t>
            </w:r>
            <w:r>
              <w:rPr>
                <w:rFonts w:hint="eastAsia" w:ascii="宋体" w:hAnsi="宋体" w:cs="宋体"/>
                <w:color w:val="auto"/>
                <w:kern w:val="0"/>
                <w:sz w:val="24"/>
                <w:szCs w:val="24"/>
                <w:highlight w:val="none"/>
                <w:lang w:eastAsia="zh-CN"/>
              </w:rPr>
              <w:t>证书</w:t>
            </w:r>
            <w:r>
              <w:rPr>
                <w:rFonts w:hint="eastAsia" w:ascii="宋体" w:hAnsi="宋体" w:eastAsia="宋体" w:cs="宋体"/>
                <w:color w:val="auto"/>
                <w:kern w:val="0"/>
                <w:sz w:val="24"/>
                <w:szCs w:val="24"/>
                <w:highlight w:val="none"/>
              </w:rPr>
              <w:t>；</w:t>
            </w:r>
          </w:p>
          <w:p>
            <w:pPr>
              <w:widowControl/>
              <w:numPr>
                <w:ilvl w:val="0"/>
                <w:numId w:val="0"/>
              </w:numPr>
              <w:adjustRightInd/>
              <w:rPr>
                <w:rFonts w:hint="eastAsia" w:ascii="宋体" w:hAnsi="宋体" w:eastAsia="宋体" w:cs="宋体"/>
                <w:color w:val="auto"/>
                <w:kern w:val="0"/>
                <w:sz w:val="24"/>
                <w:szCs w:val="24"/>
                <w:highlight w:val="none"/>
                <w:lang w:bidi="ar"/>
              </w:rPr>
            </w:pPr>
            <w:r>
              <w:rPr>
                <w:rFonts w:hint="eastAsia" w:ascii="宋体" w:hAnsi="宋体" w:cs="宋体"/>
                <w:b/>
                <w:bCs/>
                <w:color w:val="auto"/>
                <w:sz w:val="24"/>
                <w:highlight w:val="none"/>
                <w:lang w:val="en-US" w:eastAsia="zh-CN"/>
              </w:rPr>
              <w:t>注：提供原厂质保或承诺在中标后7个工作日内提供原厂质保的承诺函</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企业级硬盘</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6T,企业定制盘，考虑到兼容性，须与磁盘阵列同一品牌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块</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293</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12</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36盘位磁盘阵列</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1、服务器配置：≥1颗64位多核处理器，≥4GB内存，内存支持扩展到≥64GB，可以扩展到2个SSD作为缓存盘，配置≥3个风扇，支持风扇热插拔冗余温控调速风扇。（</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2、支持热插拔1+1AC220V 或 1+1 直流冗余金牌电源供电（照片证明），机箱具备防尘滤网，采用双立柱防震设计（</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3、标配≥2个千兆网口，可增扩≥4个千兆网口，或可增扩≥2个10Gb 光纤接口或≥4个HDMI接口或≥3个Mini SAS3.0接口；支持≥12级扩展柜级联扩展；可支持12GB SAS扩展口</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4、可接入2T/3T/4T/6T/8T/10T/12T/14T/16T/18T/20T SATA/SAS硬盘；支持NL-SAS 硬盘、HDD硬盘、SSD硬盘、氦气硬盘、空气硬盘；支持 CMR或SMR硬盘；支持硬盘交错/分时启动，节省功耗。</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5、具有36块硬盘热插拔插槽；支持硬盘热插拔设备在读写数据时，热插拔设备内的任意块硬盘，设备正常运行不宕机，硬盘不损坏，数据不丢失，业务不中断。</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6、支持SATA和SAS混插，支持不同品牌（希捷、西数、东芝）的硬盘混插；支持SATA和SAS的HDD硬盘与SATA和NVME的SSD混插；支持不同大小的硬盘混合使用，可显示硬盘的总容量（各个硬盘容量之和）（</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7、设备应能提供RAID0、1、3、5、6、10、50，60、JBOD、VRAID、RAID Erasure coding、RAID5EE、iRAID模式；当磁盘的坏块数量达到RAID预设阈值时，样机可自动将数据拷贝到热备盘，并且可自动使用热备盘替换坏盘。支持RAID重建速度动态调整，可根据写入码流带宽，动态调整RAID重建速度</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8、★支持视音频、图片、智能数据流进行混合直存，无须存储服务器和图片服务器的参与，平台服务器宕机时，存储业务正常；支持国际GB/T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9、支持 ONVIF、PSIA、TCP/IP、UDP、SIP、SIP2.0、RTSP、RTP、RTCP、iSCSI、CIFS(SMB)、NFS、FTP、HTTP、AFP、RSYNC、SNMP、IPV4、IPV6、HLS、S3、OSS等协议，支持IP组播（</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10、支持视频矫正功能，可将接入的鱼眼摄像机、双目摄像机和全景自拼接摄像机、智能相机、热成像摄像机的图像以多画面分割方式显示并进行调整；支持画中画通道视频显示和存储</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11、应能接入并存储2048Mbps视频图像，同时转发2048Mbps的视频图像，同时下载2048Mbps的视频图像；同时回放600Mbps的视频图像；在转发模式下，可进行2048路2Mbps视频码流转发；在总带宽不变的情况下，接入、转发、回放间的性能值可自由调整。</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12、支持不低于1024MbpsMbps图片转发；支持不低于1024MbpsMbps图片并发输入，同时不低于1024MbpsMbps图片并发输出（</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w:t>
            </w:r>
            <w:r>
              <w:rPr>
                <w:rFonts w:hint="eastAsia" w:ascii="宋体" w:hAnsi="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当样机发生磁盘、IP冲突、网口降速、电源故障、RAID故障、RAID降级、温度超限、风扇故障、码流异常、电池故障、无硬盘、存储错误、录像丢帧、网络安全异常、SSD健康异常、无热备盘、存储空间满、Mac冲突、登录锁定等故障时，可发出声光指示、数码管/液晶显示器显示或通过E-mail/短信发送或SNMP Trap报警</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14、网络中断后重新恢复，可续存断网期间存储在前端设备中的录像文件，并可通过IE浏览器设置自动回传和手动回传；支持256路4Mbps的录像回传。</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15、提供多设备同步升级功能，可以通过一键式操作对整个局域网内的所有设备同步升级</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16、可在操作界面查看数据重构状态，设备的磁盘或节点离线并重新插回后，可在界面显示离线磁盘或节点的数据重构过程，离线前数据不丢失</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17、设备均应具有权限管理、运行日志功能设备应设置操作口令，宜有防篡改、防非法复制、数据（图像、音视频等）加密、等措施，以保证原始数据的完整性。重要的图像（图像、视音频、结构化数据、索引数据等）应加保护，不被删除和覆盖</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18、★支持查看硬盘体检报告、硬盘深度体检和磁盘档案；支持下载单个硬盘或批量硬盘的报告，支持按时间显示硬盘的坏扇区、温度、振动变化趋势的曲线图；可通过硬盘深度体检查看硬盘原始数据读取错误率、上电时间、上电时长计数、意外断电计数、重映射扇区数、磁盘振动等多种硬盘相关健康值；支持查看硬盘体检的历史记录、硬盘健康状态，并对硬盘健康状态进行分级分类，包括健康（良好、正常）、亚健康（警告、即将损坏）、故障（错误、损坏）等；支持硬盘体检报告打印输出；（</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19、可扩展支持将前端一路视频流同时存入两台存储；支持双机间编码器和录像同步，故障时可进行互相接管（</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20、可通过客户端软件添加及删除手机号，启用短信网关报警功能后，设备可向添加的手机号码发送电源异常、系统卡容量不足、存储空间异常、自动修复失败、私有卷IO异常、无可用逻辑卷等报警信息，报警种类可设。</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21、支持红灯/蓝灯报警，可根据故障紧急程度分级报警，不同级别闪烁不同颜色保养灯，保养灯闪烁时长、频率可设</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22、支持通过IE、火狐、Google、QQ、360、遨游、搜狗、百度、猎豹、欧朋浏览器对设备进行操作；支持在麒麟/UOS操作系统上，使用奇安信浏览器/UOS浏览器对样机进行操作（</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23、可根据业务需要配置重构速度，支持低速、中速、高速和全速四种重构速度配置，可通过客户端软件显示重构速度；设备可根据自身业务量自动调节重构速度，当设备空间资源达到预设值时，可自动提高重构速度，当空间资源低于预设值时，可自动降低重构速度（</w:t>
            </w:r>
            <w:r>
              <w:rPr>
                <w:rFonts w:ascii="宋体" w:hAnsi="宋体" w:eastAsia="宋体" w:cs="宋体"/>
                <w:sz w:val="24"/>
                <w:szCs w:val="24"/>
                <w:highlight w:val="none"/>
              </w:rPr>
              <w:t>投标时提供国家权威机构出具的检测报告为准</w:t>
            </w:r>
            <w:r>
              <w:rPr>
                <w:rFonts w:hint="eastAsia" w:ascii="宋体" w:hAnsi="宋体" w:eastAsia="宋体" w:cs="宋体"/>
                <w:color w:val="auto"/>
                <w:kern w:val="0"/>
                <w:sz w:val="24"/>
                <w:szCs w:val="24"/>
                <w:highlight w:val="none"/>
                <w:lang w:bidi="ar"/>
              </w:rPr>
              <w:t>）</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24、设备可每5秒对视频流进行一次丢帧检测，当检测到丢帧时，可发出报警，并生成报警日志</w:t>
            </w:r>
          </w:p>
          <w:p>
            <w:pPr>
              <w:widowControl/>
              <w:adjustRightInd/>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25、更换系统盘并配置好信息后，再次开机无需人工介入，可自动恢复业务，历史数据不应丢失。</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企业级硬盘</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rPr>
                <w:rFonts w:hint="eastAsia" w:ascii="宋体" w:hAnsi="宋体" w:eastAsia="宋体" w:cs="宋体"/>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单硬盘容量：8TB</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val="en-US" w:eastAsia="zh-CN"/>
              </w:rPr>
              <w:t>企业定制盘，考虑到兼容性，须与磁盘阵列同一品牌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36</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13</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校时服务系统</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Linux 系统，实时校时。</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套</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14</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智慧校园综合管理平台</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jc w:val="left"/>
              <w:rPr>
                <w:rFonts w:hint="eastAsia" w:asciiTheme="minorEastAsia" w:hAnsiTheme="minorEastAsia" w:eastAsiaTheme="minorEastAsia" w:cstheme="minorEastAsia"/>
                <w:sz w:val="24"/>
                <w:szCs w:val="24"/>
                <w:highlight w:val="none"/>
              </w:rPr>
            </w:pPr>
            <w:r>
              <w:rPr>
                <w:rFonts w:hint="eastAsia" w:ascii="宋体" w:hAnsi="宋体" w:eastAsia="宋体" w:cs="宋体"/>
                <w:color w:val="auto"/>
                <w:kern w:val="0"/>
                <w:sz w:val="24"/>
                <w:szCs w:val="24"/>
                <w:highlight w:val="none"/>
              </w:rPr>
              <w:t>基于校园原有平台进行扩容升级：</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1、</w:t>
            </w:r>
            <w:r>
              <w:rPr>
                <w:rFonts w:hint="eastAsia" w:asciiTheme="minorEastAsia" w:hAnsiTheme="minorEastAsia" w:eastAsiaTheme="minorEastAsia" w:cstheme="minorEastAsia"/>
                <w:sz w:val="24"/>
                <w:szCs w:val="24"/>
                <w:highlight w:val="none"/>
              </w:rPr>
              <w:t>保留原有的组织</w:t>
            </w:r>
            <w:r>
              <w:rPr>
                <w:rFonts w:hint="eastAsia" w:asciiTheme="minorEastAsia" w:hAnsiTheme="minorEastAsia" w:eastAsiaTheme="minorEastAsia" w:cstheme="minorEastAsia"/>
                <w:sz w:val="24"/>
                <w:szCs w:val="24"/>
                <w:highlight w:val="none"/>
                <w:lang w:eastAsia="zh-CN"/>
              </w:rPr>
              <w:t>资源</w:t>
            </w:r>
            <w:r>
              <w:rPr>
                <w:rFonts w:hint="eastAsia" w:asciiTheme="minorEastAsia" w:hAnsiTheme="minorEastAsia" w:eastAsiaTheme="minorEastAsia" w:cstheme="minorEastAsia"/>
                <w:sz w:val="24"/>
                <w:szCs w:val="24"/>
                <w:highlight w:val="none"/>
              </w:rPr>
              <w:t>管理、区域</w:t>
            </w:r>
            <w:r>
              <w:rPr>
                <w:rFonts w:hint="eastAsia" w:asciiTheme="minorEastAsia" w:hAnsiTheme="minorEastAsia" w:eastAsiaTheme="minorEastAsia" w:cstheme="minorEastAsia"/>
                <w:sz w:val="24"/>
                <w:szCs w:val="24"/>
                <w:highlight w:val="none"/>
                <w:lang w:eastAsia="zh-CN"/>
              </w:rPr>
              <w:t>资源</w:t>
            </w:r>
            <w:r>
              <w:rPr>
                <w:rFonts w:hint="eastAsia" w:asciiTheme="minorEastAsia" w:hAnsiTheme="minorEastAsia" w:eastAsiaTheme="minorEastAsia" w:cstheme="minorEastAsia"/>
                <w:sz w:val="24"/>
                <w:szCs w:val="24"/>
                <w:highlight w:val="none"/>
              </w:rPr>
              <w:t>管理、人员</w:t>
            </w:r>
            <w:r>
              <w:rPr>
                <w:rFonts w:hint="eastAsia" w:asciiTheme="minorEastAsia" w:hAnsiTheme="minorEastAsia" w:eastAsiaTheme="minorEastAsia" w:cstheme="minorEastAsia"/>
                <w:sz w:val="24"/>
                <w:szCs w:val="24"/>
                <w:highlight w:val="none"/>
                <w:lang w:eastAsia="zh-CN"/>
              </w:rPr>
              <w:t>信息</w:t>
            </w:r>
            <w:r>
              <w:rPr>
                <w:rFonts w:hint="eastAsia" w:asciiTheme="minorEastAsia" w:hAnsiTheme="minorEastAsia" w:eastAsiaTheme="minorEastAsia" w:cstheme="minorEastAsia"/>
                <w:sz w:val="24"/>
                <w:szCs w:val="24"/>
                <w:highlight w:val="none"/>
              </w:rPr>
              <w:t>管理、</w:t>
            </w:r>
            <w:r>
              <w:rPr>
                <w:rFonts w:hint="eastAsia" w:asciiTheme="minorEastAsia" w:hAnsiTheme="minorEastAsia" w:eastAsiaTheme="minorEastAsia" w:cstheme="minorEastAsia"/>
                <w:sz w:val="24"/>
                <w:szCs w:val="24"/>
                <w:highlight w:val="none"/>
                <w:lang w:eastAsia="zh-CN"/>
              </w:rPr>
              <w:t>卡片信息管理、</w:t>
            </w:r>
            <w:r>
              <w:rPr>
                <w:rFonts w:hint="eastAsia" w:asciiTheme="minorEastAsia" w:hAnsiTheme="minorEastAsia" w:eastAsiaTheme="minorEastAsia" w:cstheme="minorEastAsia"/>
                <w:sz w:val="24"/>
                <w:szCs w:val="24"/>
                <w:highlight w:val="none"/>
              </w:rPr>
              <w:t>车辆</w:t>
            </w:r>
            <w:r>
              <w:rPr>
                <w:rFonts w:hint="eastAsia" w:asciiTheme="minorEastAsia" w:hAnsiTheme="minorEastAsia" w:eastAsiaTheme="minorEastAsia" w:cstheme="minorEastAsia"/>
                <w:sz w:val="24"/>
                <w:szCs w:val="24"/>
                <w:highlight w:val="none"/>
                <w:lang w:eastAsia="zh-CN"/>
              </w:rPr>
              <w:t>信息</w:t>
            </w:r>
            <w:r>
              <w:rPr>
                <w:rFonts w:hint="eastAsia" w:asciiTheme="minorEastAsia" w:hAnsiTheme="minorEastAsia" w:eastAsiaTheme="minorEastAsia" w:cstheme="minorEastAsia"/>
                <w:sz w:val="24"/>
                <w:szCs w:val="24"/>
                <w:highlight w:val="none"/>
              </w:rPr>
              <w:t>管理、</w:t>
            </w:r>
            <w:r>
              <w:rPr>
                <w:rFonts w:hint="eastAsia" w:asciiTheme="minorEastAsia" w:hAnsiTheme="minorEastAsia" w:eastAsiaTheme="minorEastAsia" w:cstheme="minorEastAsia"/>
                <w:sz w:val="24"/>
                <w:szCs w:val="24"/>
                <w:highlight w:val="none"/>
                <w:lang w:eastAsia="zh-CN"/>
              </w:rPr>
              <w:t>系统</w:t>
            </w:r>
            <w:r>
              <w:rPr>
                <w:rFonts w:hint="eastAsia" w:asciiTheme="minorEastAsia" w:hAnsiTheme="minorEastAsia" w:eastAsiaTheme="minorEastAsia" w:cstheme="minorEastAsia"/>
                <w:sz w:val="24"/>
                <w:szCs w:val="24"/>
                <w:highlight w:val="none"/>
              </w:rPr>
              <w:t>用户管理、设备</w:t>
            </w:r>
            <w:r>
              <w:rPr>
                <w:rFonts w:hint="eastAsia" w:asciiTheme="minorEastAsia" w:hAnsiTheme="minorEastAsia" w:eastAsiaTheme="minorEastAsia" w:cstheme="minorEastAsia"/>
                <w:sz w:val="24"/>
                <w:szCs w:val="24"/>
                <w:highlight w:val="none"/>
                <w:lang w:eastAsia="zh-CN"/>
              </w:rPr>
              <w:t>信息</w:t>
            </w:r>
            <w:r>
              <w:rPr>
                <w:rFonts w:hint="eastAsia" w:asciiTheme="minorEastAsia" w:hAnsiTheme="minorEastAsia" w:eastAsiaTheme="minorEastAsia" w:cstheme="minorEastAsia"/>
                <w:sz w:val="24"/>
                <w:szCs w:val="24"/>
                <w:highlight w:val="none"/>
              </w:rPr>
              <w:t>管理功能</w:t>
            </w:r>
            <w:r>
              <w:rPr>
                <w:rFonts w:hint="eastAsia" w:asciiTheme="minorEastAsia" w:hAnsiTheme="minorEastAsia" w:eastAsiaTheme="minorEastAsia" w:cstheme="minorEastAsia"/>
                <w:sz w:val="24"/>
                <w:szCs w:val="24"/>
                <w:highlight w:val="none"/>
                <w:lang w:eastAsia="zh-CN"/>
              </w:rPr>
              <w:t>、系统用户管理，</w:t>
            </w:r>
            <w:r>
              <w:rPr>
                <w:rFonts w:hint="eastAsia" w:asciiTheme="minorEastAsia" w:hAnsiTheme="minorEastAsia" w:eastAsiaTheme="minorEastAsia" w:cstheme="minorEastAsia"/>
                <w:sz w:val="24"/>
                <w:szCs w:val="24"/>
                <w:highlight w:val="none"/>
                <w:lang w:val="en-US" w:eastAsia="zh-CN"/>
              </w:rPr>
              <w:t>升级后新增功能</w:t>
            </w:r>
            <w:r>
              <w:rPr>
                <w:rFonts w:hint="eastAsia" w:asciiTheme="minorEastAsia" w:hAnsiTheme="minorEastAsia" w:eastAsiaTheme="minorEastAsia" w:cstheme="minorEastAsia"/>
                <w:sz w:val="24"/>
                <w:szCs w:val="24"/>
                <w:highlight w:val="none"/>
              </w:rPr>
              <w:t>具体包含：</w:t>
            </w:r>
          </w:p>
          <w:p>
            <w:pPr>
              <w:widowControl/>
              <w:adjustRightInd/>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组织资源管理：支持组织基础信息的增删改查、导入、导出等功能；</w:t>
            </w:r>
          </w:p>
          <w:p>
            <w:pPr>
              <w:widowControl/>
              <w:adjustRightInd/>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区域资源管理：支持区域基础信息的增删改查、导入、导出等功能；</w:t>
            </w:r>
          </w:p>
          <w:p>
            <w:pPr>
              <w:widowControl/>
              <w:adjustRightInd/>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人员信息管理：支持人员信息的增删改查、导入、导出，包括人脸、指纹采集；支持人员基础信息自定义扩展；</w:t>
            </w:r>
          </w:p>
          <w:p>
            <w:pPr>
              <w:widowControl/>
              <w:adjustRightInd/>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卡片信息管理：支持卡片基本信息的增删改查、导入、导出；支持人员开卡、退卡、挂失、解挂、换卡及卡扇区加密；</w:t>
            </w:r>
          </w:p>
          <w:p>
            <w:pPr>
              <w:widowControl/>
              <w:adjustRightInd/>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车辆信息管理：支持车辆基本信息的增删改查、导入、导出；</w:t>
            </w:r>
          </w:p>
          <w:p>
            <w:pPr>
              <w:widowControl/>
              <w:adjustRightInd/>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设备信息管理：提供设备统一接入管理，包括：视频设备、出入口设备、门禁设备、梯控设备、可视对讲设备、食堂消费设备、寻车诱导设备、卡口设备、车载设备、报警设备等</w:t>
            </w:r>
            <w:r>
              <w:rPr>
                <w:rFonts w:hint="eastAsia" w:asciiTheme="minorEastAsia" w:hAnsiTheme="minorEastAsia" w:eastAsiaTheme="minorEastAsia" w:cstheme="minorEastAsia"/>
                <w:sz w:val="24"/>
                <w:szCs w:val="24"/>
                <w:highlight w:val="none"/>
                <w:lang w:eastAsia="zh-CN"/>
              </w:rPr>
              <w:t>；</w:t>
            </w:r>
          </w:p>
          <w:p>
            <w:pPr>
              <w:widowControl/>
              <w:adjustRightInd/>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系统用户管理：支持账户基本信息和角色信息的增删改查；支持配置不同角色权限，包括菜单权限、组织权限、区域权限、资源权限、功能控制权限；支持用户组权限分配；支持用户安全管理，可绑定用户mac地址及IP，可自行修改用户密码或者管理员重置密码；支持从Windows域同步用户信息，用于域账户进行平台登录；</w:t>
            </w:r>
          </w:p>
          <w:p>
            <w:pPr>
              <w:widowControl/>
              <w:adjustRightInd/>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2、对原有系统的视频监控接入能力进行提升，支持接入700路视频监控点位，并能平台的流畅、无卡顿运行。</w:t>
            </w:r>
          </w:p>
          <w:p>
            <w:pPr>
              <w:widowControl/>
              <w:adjustRightInd/>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3、同时对原有视频监控应用进行升级，升级后的应用应支持视频预览：支持视频实时预览能力，实现预览窗口布局切换、预览画面自适应及全屏切换；支持云台控制、实时抓图、紧急录像、即时回放、主子码流切换、声音开启\\关闭、辅屏预览（1个辅屏）、对讲、广播、报警输出控制的能力；支持智能规则展示的能力（如：针对热成像设备温度信息实时展示）；支持资源视图管理能力，以视图形式管理监控点、视频预览轮巡等自定义资源组，其中视图类型包含公有视图和私有视图；支持全景视频监控预览能力，支持球型鹰眼、全景摄像机的全景模式；</w:t>
            </w:r>
          </w:p>
          <w:p>
            <w:pPr>
              <w:widowControl/>
              <w:adjustRightInd/>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4、录像回放：支持录像计划管理能力，支持实时录像计划、录像回传计划；支持录像回放能力，支持多画面同步回放和异步回放切换、超高倍速回放、分段回放、录像下载、录像剪辑、录像标签、录像锁定、录像抓图；</w:t>
            </w:r>
          </w:p>
          <w:p>
            <w:pPr>
              <w:widowControl/>
              <w:adjustRightInd/>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5、图片监控：支持视频预览与图片实时监控模式切换能力，实现图片监控模式；支持图片查询回放能力，实现按监控点、时间段展示抓拍图片；支持图片自动播放能力，支持图片自动播放速度可设置；支持图片下载能力；</w:t>
            </w:r>
          </w:p>
          <w:p>
            <w:pPr>
              <w:widowControl/>
              <w:adjustRightInd/>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6、视频上墙：支持解码设备的管理，可按照海康SDK和第三方SDK接入解码设备；通过客户端支持预览上墙、回放上墙、轮巡上墙、报警联动上墙；需最大支持电视墙管理数量不少于100个，监控点上墙出图像耗时小于3秒，投标均须提供（</w:t>
            </w:r>
            <w:r>
              <w:rPr>
                <w:rFonts w:ascii="宋体" w:hAnsi="宋体" w:eastAsia="宋体" w:cs="宋体"/>
                <w:sz w:val="24"/>
                <w:szCs w:val="24"/>
                <w:highlight w:val="none"/>
              </w:rPr>
              <w:t>投标时提供国家权威机构出具的检测报告为准</w:t>
            </w:r>
            <w:r>
              <w:rPr>
                <w:rFonts w:hint="eastAsia" w:asciiTheme="minorEastAsia" w:hAnsiTheme="minorEastAsia" w:eastAsiaTheme="minorEastAsia" w:cstheme="minorEastAsia"/>
                <w:sz w:val="24"/>
                <w:szCs w:val="24"/>
                <w:highlight w:val="none"/>
              </w:rPr>
              <w:t>）。</w:t>
            </w:r>
          </w:p>
          <w:p>
            <w:pPr>
              <w:widowControl/>
              <w:adjustRightInd/>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7、视频事件：支持多种事件类型配置联动规则，事件源包含：通用视频事件、入侵报警事件、IO事件、门禁事件、停车场事件、可视对讲事件、园区卡口事件、行车监控事件、梯控事件、动环事件、人|脸|识|别事件、消防事件、热成像事件、动作分析事件；可配置的联动包括：实时预览界面弹出、录像、抓图、IO输出、短信、语音播报等，投标均须提供（</w:t>
            </w:r>
            <w:r>
              <w:rPr>
                <w:rFonts w:ascii="宋体" w:hAnsi="宋体" w:eastAsia="宋体" w:cs="宋体"/>
                <w:sz w:val="24"/>
                <w:szCs w:val="24"/>
                <w:highlight w:val="none"/>
              </w:rPr>
              <w:t>投标时提供国家权威机构出具的检测报告为准</w:t>
            </w:r>
            <w:r>
              <w:rPr>
                <w:rFonts w:hint="eastAsia" w:asciiTheme="minorEastAsia" w:hAnsiTheme="minorEastAsia" w:eastAsiaTheme="minorEastAsia" w:cstheme="minorEastAsia"/>
                <w:sz w:val="24"/>
                <w:szCs w:val="24"/>
                <w:highlight w:val="none"/>
              </w:rPr>
              <w:t>）</w:t>
            </w:r>
          </w:p>
          <w:p>
            <w:pPr>
              <w:widowControl/>
              <w:adjustRightInd/>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8、为提升系统运行速率，硬件扩容配置规格要求：处理器：配置1颗不低于intel至强4210R处理器，核数≥10核，主频≥2.4GHz；内存：配置不少于64G DDR4，不少于16根内存插槽； 硬盘：配置不少于2块1.2T 10K 2.5寸 SAS硬盘</w:t>
            </w:r>
          </w:p>
          <w:p>
            <w:pPr>
              <w:widowControl/>
              <w:adjustRightInd/>
              <w:jc w:val="left"/>
              <w:rPr>
                <w:rFonts w:hint="eastAsia" w:ascii="宋体" w:hAnsi="宋体" w:eastAsia="宋体" w:cs="宋体"/>
                <w:bCs/>
                <w:color w:val="auto"/>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b/>
                <w:bCs/>
                <w:sz w:val="24"/>
                <w:szCs w:val="24"/>
                <w:highlight w:val="none"/>
                <w:lang w:val="en-US" w:eastAsia="zh-CN"/>
              </w:rPr>
              <w:t>本次监控平台升级扩容，需要实现对原有平台的数据迁移，实现平台的双机热备等功能，投标人提供的磁盘阵列产品和智慧校园综合管理平台需要实现无缝对接学校原有设备（摄像机、解码器、大屏、磁盘阵列、平台服务器等），提供无缝对接及热备方案</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套</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15</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安全运维平台</w:t>
            </w:r>
          </w:p>
        </w:tc>
        <w:tc>
          <w:tcPr>
            <w:tcW w:w="6084" w:type="dxa"/>
            <w:tcBorders>
              <w:top w:val="single" w:color="000000" w:sz="4" w:space="0"/>
              <w:left w:val="single" w:color="000000" w:sz="4" w:space="0"/>
              <w:bottom w:val="single" w:color="000000" w:sz="4" w:space="0"/>
              <w:right w:val="single" w:color="000000" w:sz="4" w:space="0"/>
            </w:tcBorders>
          </w:tcPr>
          <w:p>
            <w:pPr>
              <w:widowControl/>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身份认证硬件Key：配备2个身份认证硬件Key</w:t>
            </w:r>
          </w:p>
          <w:p>
            <w:pPr>
              <w:widowControl/>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安全功能：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支持数据立即销毁与定时销毁、备份/恢复、端口管理、安全日志等功能，实现在存储介质上划分出具备隐藏功能的存储空间，且该隐藏存储空间不可被格式化</w:t>
            </w:r>
          </w:p>
          <w:p>
            <w:pPr>
              <w:widowControl/>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支持 UOS/中科方德/WIN11，并能提供国产操作系统相互认证证书</w:t>
            </w:r>
          </w:p>
          <w:p>
            <w:pPr>
              <w:widowControl/>
              <w:snapToGrid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★支持对用户的敏感数据提供芯片级数据防护，提供对敏感数据进行隐藏、销毁等防护手段，并能提供</w:t>
            </w:r>
            <w:r>
              <w:rPr>
                <w:rFonts w:hint="eastAsia" w:ascii="宋体" w:hAnsi="宋体" w:cs="宋体"/>
                <w:color w:val="auto"/>
                <w:sz w:val="24"/>
                <w:szCs w:val="24"/>
                <w:highlight w:val="none"/>
                <w:lang w:eastAsia="zh-CN"/>
              </w:rPr>
              <w:t>相关证明材料。</w:t>
            </w:r>
          </w:p>
          <w:p>
            <w:pPr>
              <w:widowControl/>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★支持数据销毁，实现秒级数据销毁，可提供立即销毁、定时销毁等，真正做到及时止损，并能提供</w:t>
            </w:r>
            <w:r>
              <w:rPr>
                <w:rFonts w:hint="eastAsia" w:ascii="宋体" w:hAnsi="宋体" w:cs="宋体"/>
                <w:color w:val="auto"/>
                <w:sz w:val="24"/>
                <w:szCs w:val="24"/>
                <w:highlight w:val="none"/>
                <w:lang w:eastAsia="zh-CN"/>
              </w:rPr>
              <w:t>相关证明材料</w:t>
            </w:r>
            <w:r>
              <w:rPr>
                <w:rFonts w:hint="eastAsia" w:ascii="宋体" w:hAnsi="宋体" w:eastAsia="宋体" w:cs="宋体"/>
                <w:color w:val="auto"/>
                <w:sz w:val="24"/>
                <w:szCs w:val="24"/>
                <w:highlight w:val="none"/>
              </w:rPr>
              <w:t>。</w:t>
            </w:r>
          </w:p>
          <w:p>
            <w:pPr>
              <w:widowControl/>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★支持对用户的隐私数据提供芯片级数据防护，提供对隐私数据进行隐藏、销毁等防护手段，并能提供</w:t>
            </w:r>
            <w:r>
              <w:rPr>
                <w:rFonts w:hint="eastAsia" w:ascii="宋体" w:hAnsi="宋体" w:cs="宋体"/>
                <w:color w:val="auto"/>
                <w:sz w:val="24"/>
                <w:szCs w:val="24"/>
                <w:highlight w:val="none"/>
                <w:lang w:eastAsia="zh-CN"/>
              </w:rPr>
              <w:t>相关证明材料</w:t>
            </w:r>
            <w:r>
              <w:rPr>
                <w:rFonts w:hint="eastAsia" w:ascii="宋体" w:hAnsi="宋体" w:eastAsia="宋体" w:cs="宋体"/>
                <w:color w:val="auto"/>
                <w:sz w:val="24"/>
                <w:szCs w:val="24"/>
                <w:highlight w:val="none"/>
              </w:rPr>
              <w:t>。</w:t>
            </w:r>
          </w:p>
          <w:p>
            <w:pPr>
              <w:widowControl/>
              <w:snapToGrid w:val="0"/>
              <w:ind w:firstLine="240" w:firstLineChars="1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针对监控数据网，监控收集各监控交换机端口信息及负载信息，有效反应监控网数据流量情况，进行直观敏捷的可视化表达，数据可视化兼顾专业性，灵敏性，美观性。平台具有如下功能：监控网设备状态和实时性能采集、主流交换机设备、支持用户定制采集分析、平台全内置模块自动实时根据采样监控数据进行网页可视化展示；支持监控网络设备各端口数据按用户定义进行归集分析(提供截图)，所有监控网络设备的所有端口情况可按定义在同一页面进行展示，所有展示均支持历史回放(提供截图)，平台支持跨品牌无障碍衔接各类交换机(提供截图)。平台包含所有本项目数据网设备接入授权。</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套</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16</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设备专网核心交换机</w:t>
            </w:r>
          </w:p>
        </w:tc>
        <w:tc>
          <w:tcPr>
            <w:tcW w:w="608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1.交换容量≥47.7Tbps， 包转发率≥10065Mpps，独立主控引擎插槽≥2个，独立业务插槽数≥3个；提供官网截图</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2.设备高度≤4U，设备深度≤600mm；</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3.主控引擎支持集成硬件监控功能，能集中监控板卡、风扇、电源、环境。无需单独配置硬件监控板卡，降低整机功耗</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4.设备支持硬件健康状态可视化，可以对风扇状态、电源、温度、板载电压进行监控，尤其是在日常巡查中发现电压异常前兆，可及时处理，避免出现电压异常宕机。</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5.为了适应机柜并排部署，机箱业务板卡区采用后出风风道设计，提供设备散热气流流向截图</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6.为保障核心设备的安全可靠性，要求所投产品端口浪涌抗扰度≥6KV（即具备6KV的防雷能力），投标时提供具有CMA或CAL或CNAS认证章的第三方权威机构检验报告证明</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★7.出厂预置管理软件和业务模板，免安装，极速部署；除了可以实现对网络的业务规划，还可以对接入的交换机实现即插即用、零配置上线、智能零替换以及光链路故障监测预警功能，提供功能官方截图证明 </w:t>
            </w:r>
          </w:p>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8.配置要求：</w:t>
            </w:r>
          </w:p>
          <w:p>
            <w:pPr>
              <w:widowControl/>
              <w:jc w:val="left"/>
              <w:textAlignment w:val="center"/>
              <w:rPr>
                <w:rFonts w:hint="eastAsia" w:ascii="宋体" w:hAnsi="宋体" w:eastAsia="宋体" w:cs="宋体"/>
                <w:color w:val="auto"/>
                <w:kern w:val="0"/>
                <w:sz w:val="24"/>
                <w:szCs w:val="24"/>
                <w:highlight w:val="none"/>
              </w:rPr>
            </w:pPr>
            <w:r>
              <w:rPr>
                <w:rFonts w:hint="default" w:ascii="宋体" w:hAnsi="宋体" w:cs="宋体"/>
                <w:color w:val="auto"/>
                <w:kern w:val="0"/>
                <w:sz w:val="24"/>
                <w:szCs w:val="24"/>
                <w:highlight w:val="none"/>
                <w:lang w:val="en-US"/>
              </w:rPr>
              <w:t>8.</w:t>
            </w:r>
            <w:r>
              <w:rPr>
                <w:rFonts w:hint="eastAsia" w:ascii="宋体" w:hAnsi="宋体" w:eastAsia="宋体" w:cs="宋体"/>
                <w:color w:val="auto"/>
                <w:kern w:val="0"/>
                <w:sz w:val="24"/>
                <w:szCs w:val="24"/>
                <w:highlight w:val="none"/>
              </w:rPr>
              <w:t>1.每台配置主控引擎≥1个、电源≥2个；</w:t>
            </w:r>
          </w:p>
          <w:p>
            <w:pPr>
              <w:widowControl/>
              <w:jc w:val="left"/>
              <w:textAlignment w:val="center"/>
              <w:rPr>
                <w:rFonts w:hint="eastAsia" w:ascii="宋体" w:hAnsi="宋体" w:eastAsia="宋体" w:cs="宋体"/>
                <w:color w:val="auto"/>
                <w:kern w:val="0"/>
                <w:sz w:val="24"/>
                <w:szCs w:val="24"/>
                <w:highlight w:val="none"/>
              </w:rPr>
            </w:pPr>
            <w:r>
              <w:rPr>
                <w:rFonts w:hint="default" w:ascii="宋体" w:hAnsi="宋体" w:cs="宋体"/>
                <w:color w:val="auto"/>
                <w:kern w:val="0"/>
                <w:sz w:val="24"/>
                <w:szCs w:val="24"/>
                <w:highlight w:val="none"/>
                <w:lang w:val="en-US"/>
              </w:rPr>
              <w:t>8.</w:t>
            </w:r>
            <w:r>
              <w:rPr>
                <w:rFonts w:hint="eastAsia" w:ascii="宋体" w:hAnsi="宋体" w:eastAsia="宋体" w:cs="宋体"/>
                <w:color w:val="auto"/>
                <w:kern w:val="0"/>
                <w:sz w:val="24"/>
                <w:szCs w:val="24"/>
                <w:highlight w:val="none"/>
              </w:rPr>
              <w:t>2.每台配置千兆光接口≥24个，千兆电口≥24个，万兆光接口≥4个、USB接口≥1，所有网络接口为业务板接口，非主控引擎板接口；</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注：提供原厂质保或承诺在中标后7个工作日内提供原厂质保的承诺函</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17</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24 口 P0E交换机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1.固化10/100/1000M以太网电口≥24，100/1000M SFP千兆光接口≥4个，10/100/1000M复用电口≥2个</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2.交换容量≥336Gbps，包转发率≥42Mpps</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3.要求所投产品支持POE和POE+远程供电，POE供电功率为370W</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4.为保证设备在受到外界机械碰撞时能够正常运行，要求所投交换机IK防护测试级别至少达到IK05，</w:t>
            </w:r>
            <w:r>
              <w:rPr>
                <w:rFonts w:hint="eastAsia" w:ascii="宋体" w:hAnsi="宋体" w:eastAsia="宋体" w:cs="宋体"/>
                <w:b/>
                <w:bCs/>
                <w:color w:val="auto"/>
                <w:sz w:val="24"/>
                <w:szCs w:val="24"/>
                <w:highlight w:val="none"/>
              </w:rPr>
              <w:t>提供国家认可的检测机构出具的IK防护等级测试报告。</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5.投标产品面板自带一键查看PoE供电状态功能的PoE按钮，轻按即可查看设备当前的通信状态和供电状态，</w:t>
            </w:r>
            <w:r>
              <w:rPr>
                <w:rFonts w:hint="eastAsia" w:ascii="宋体" w:hAnsi="宋体" w:eastAsia="宋体" w:cs="宋体"/>
                <w:b/>
                <w:bCs/>
                <w:color w:val="auto"/>
                <w:sz w:val="24"/>
                <w:szCs w:val="24"/>
                <w:highlight w:val="none"/>
              </w:rPr>
              <w:t>提供所投产品官网截图（含链接）、实物照片</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6.工作温度-5°-55°，</w:t>
            </w:r>
            <w:r>
              <w:rPr>
                <w:rFonts w:hint="eastAsia" w:ascii="宋体" w:hAnsi="宋体" w:eastAsia="宋体" w:cs="宋体"/>
                <w:b/>
                <w:bCs/>
                <w:color w:val="auto"/>
                <w:sz w:val="24"/>
                <w:szCs w:val="24"/>
                <w:highlight w:val="none"/>
              </w:rPr>
              <w:t>提供官网截图。</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7.要求所投产品端口浪涌抗扰度≥8KV（即具备8KV的防雷能力）</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8.提供工信部设备进网许可证</w:t>
            </w:r>
          </w:p>
          <w:p>
            <w:pPr>
              <w:widowControl/>
              <w:snapToGrid w:val="0"/>
              <w:rPr>
                <w:rFonts w:hint="eastAsia" w:ascii="宋体" w:hAnsi="宋体" w:eastAsia="宋体" w:cs="宋体"/>
                <w:b/>
                <w:bCs/>
                <w:color w:val="auto"/>
                <w:kern w:val="0"/>
                <w:sz w:val="24"/>
                <w:szCs w:val="24"/>
                <w:highlight w:val="none"/>
                <w:lang w:bidi="ar"/>
              </w:rPr>
            </w:pPr>
            <w:r>
              <w:rPr>
                <w:rFonts w:hint="eastAsia" w:ascii="宋体" w:hAnsi="宋体" w:eastAsia="宋体" w:cs="宋体"/>
                <w:color w:val="auto"/>
                <w:sz w:val="24"/>
                <w:szCs w:val="24"/>
                <w:highlight w:val="none"/>
              </w:rPr>
              <w:t>9．</w:t>
            </w:r>
            <w:r>
              <w:rPr>
                <w:rFonts w:hint="eastAsia" w:ascii="宋体" w:hAnsi="宋体" w:eastAsia="宋体" w:cs="宋体"/>
                <w:b/>
                <w:bCs/>
                <w:color w:val="auto"/>
                <w:kern w:val="0"/>
                <w:sz w:val="24"/>
                <w:szCs w:val="24"/>
                <w:highlight w:val="none"/>
                <w:lang w:bidi="ar"/>
              </w:rPr>
              <w:t>设备需与设备专网核心交换机兼容</w:t>
            </w:r>
          </w:p>
          <w:p>
            <w:pPr>
              <w:widowControl/>
              <w:snapToGrid w:val="0"/>
              <w:rPr>
                <w:rFonts w:hint="eastAsia" w:ascii="宋体" w:hAnsi="宋体" w:eastAsia="宋体" w:cs="宋体"/>
                <w:color w:val="auto"/>
                <w:kern w:val="0"/>
                <w:sz w:val="24"/>
                <w:szCs w:val="24"/>
                <w:highlight w:val="none"/>
                <w:lang w:bidi="ar"/>
              </w:rPr>
            </w:pPr>
            <w:r>
              <w:rPr>
                <w:rFonts w:hint="eastAsia" w:ascii="宋体" w:hAnsi="宋体" w:cs="宋体"/>
                <w:b/>
                <w:bCs/>
                <w:color w:val="auto"/>
                <w:sz w:val="24"/>
                <w:highlight w:val="none"/>
                <w:lang w:val="en-US" w:eastAsia="zh-CN"/>
              </w:rPr>
              <w:t>注：提供原厂质保或承诺在中标后7个工作日内提供原厂质保的承诺函</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18</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8口POE交换机</w:t>
            </w:r>
          </w:p>
        </w:tc>
        <w:tc>
          <w:tcPr>
            <w:tcW w:w="608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1.固化10/100/1000M以太网电口≥8个，100/1000M SFP千兆光接口≥2个,交换容量≥256Gbps，包转发率≥30Mpps；</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2.要求所投产品支持POE和POE+远程供电，POE供电功率为125W；</w:t>
            </w:r>
          </w:p>
          <w:p>
            <w:pPr>
              <w:widowControl/>
              <w:jc w:val="left"/>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3.投标产品面板自带一键查看PoE供电状态功能的PoE按钮，轻按即可查看设备当前的通信状态和供电状态，提供所投产品官网截图（含链接）、实物照片；</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4.支持端口浪涌抗扰度≥8KV（即具备8KV的防雷能力），要求提供官网截图作为证明；</w:t>
            </w:r>
            <w:r>
              <w:rPr>
                <w:rFonts w:hint="eastAsia" w:ascii="宋体" w:hAnsi="宋体" w:eastAsia="宋体" w:cs="宋体"/>
                <w:color w:val="auto"/>
                <w:sz w:val="24"/>
                <w:szCs w:val="24"/>
                <w:highlight w:val="none"/>
              </w:rPr>
              <w:t xml:space="preserve">                         </w:t>
            </w:r>
          </w:p>
          <w:p>
            <w:pPr>
              <w:widowControl/>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b/>
                <w:bCs/>
                <w:color w:val="auto"/>
                <w:sz w:val="24"/>
                <w:szCs w:val="24"/>
                <w:highlight w:val="none"/>
              </w:rPr>
              <w:t>5.</w:t>
            </w:r>
            <w:r>
              <w:rPr>
                <w:rFonts w:hint="eastAsia" w:ascii="宋体" w:hAnsi="宋体" w:eastAsia="宋体" w:cs="宋体"/>
                <w:b/>
                <w:bCs/>
                <w:color w:val="auto"/>
                <w:kern w:val="0"/>
                <w:sz w:val="24"/>
                <w:szCs w:val="24"/>
                <w:highlight w:val="none"/>
                <w:lang w:bidi="ar"/>
              </w:rPr>
              <w:t>设备需与数据网交换机兼容</w:t>
            </w:r>
            <w:r>
              <w:rPr>
                <w:rFonts w:hint="eastAsia" w:ascii="宋体" w:hAnsi="宋体" w:eastAsia="宋体" w:cs="宋体"/>
                <w:color w:val="auto"/>
                <w:kern w:val="0"/>
                <w:sz w:val="24"/>
                <w:szCs w:val="24"/>
                <w:highlight w:val="none"/>
                <w:lang w:bidi="ar"/>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2</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cs="宋体"/>
                <w:color w:val="auto"/>
                <w:kern w:val="0"/>
                <w:sz w:val="24"/>
                <w:szCs w:val="24"/>
                <w:highlight w:val="none"/>
                <w:lang w:val="en-US" w:bidi="ar"/>
              </w:rPr>
              <w:t>19</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光模块</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千兆单模</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10</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bidi="ar"/>
              </w:rPr>
            </w:pPr>
            <w:r>
              <w:rPr>
                <w:rFonts w:hint="default" w:ascii="宋体" w:hAnsi="宋体" w:cs="宋体"/>
                <w:color w:val="auto"/>
                <w:kern w:val="0"/>
                <w:sz w:val="24"/>
                <w:szCs w:val="24"/>
                <w:highlight w:val="none"/>
                <w:lang w:val="en-US" w:bidi="ar"/>
              </w:rPr>
              <w:t>20</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lang w:val="en-US" w:eastAsia="zh-CN"/>
              </w:rPr>
              <w:t>系统信息安全集成服务</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满足</w:t>
            </w:r>
            <w:r>
              <w:rPr>
                <w:rFonts w:hint="eastAsia" w:asciiTheme="minorEastAsia" w:hAnsiTheme="minorEastAsia" w:eastAsiaTheme="minorEastAsia" w:cstheme="minorEastAsia"/>
                <w:color w:val="auto"/>
                <w:sz w:val="24"/>
                <w:szCs w:val="24"/>
                <w:highlight w:val="none"/>
              </w:rPr>
              <w:t>跨校区监控互访要求: 通过现有城域网将校区监控系统互联，做到相关管理人员能在任意校区任意办公室内，以无线及有线方式访问对端监控平台。特别注意监控数据在任何时间都不得上传至公网或云端，并且由于信息安全原因，在学校城域网边界不得以任何防火墙端口映射/IP映射等方式开放监控数据服务。提供监控数据互联方案及方案测试截图(包含数据互访测试，防火墙无映射截图，端口扫描无应答截图)</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lang w:val="en-US" w:eastAsia="zh-CN"/>
              </w:rPr>
              <w:t>项</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lang w:val="en-US" w:eastAsia="zh-CN"/>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default" w:ascii="宋体" w:hAnsi="宋体" w:cs="宋体"/>
                <w:color w:val="auto"/>
                <w:kern w:val="0"/>
                <w:sz w:val="24"/>
                <w:szCs w:val="24"/>
                <w:highlight w:val="none"/>
                <w:lang w:val="en-US" w:bidi="ar"/>
              </w:rPr>
              <w:t>21</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六类双绞线</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六类室内非屏蔽双绞线；</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·导体材料：无氧圆铜（纯度99.99%）；</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·线规：23AWG</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米</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6500</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2</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12芯单模光纤</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室外12芯单模10G光纤</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kern w:val="0"/>
                <w:sz w:val="24"/>
                <w:szCs w:val="24"/>
                <w:highlight w:val="none"/>
                <w:lang w:bidi="ar"/>
              </w:rPr>
            </w:pPr>
            <w:r>
              <w:rPr>
                <w:rFonts w:hint="eastAsia" w:ascii="宋体" w:hAnsi="宋体" w:eastAsia="宋体" w:cs="宋体"/>
                <w:bCs/>
                <w:color w:val="auto"/>
                <w:sz w:val="24"/>
                <w:szCs w:val="24"/>
                <w:highlight w:val="none"/>
              </w:rPr>
              <w:t>米</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kern w:val="0"/>
                <w:sz w:val="24"/>
                <w:szCs w:val="24"/>
                <w:highlight w:val="none"/>
                <w:lang w:bidi="ar"/>
              </w:rPr>
            </w:pPr>
            <w:r>
              <w:rPr>
                <w:rFonts w:hint="eastAsia" w:ascii="宋体" w:hAnsi="宋体" w:eastAsia="宋体" w:cs="宋体"/>
                <w:bCs/>
                <w:color w:val="auto"/>
                <w:sz w:val="24"/>
                <w:szCs w:val="24"/>
                <w:highlight w:val="none"/>
              </w:rPr>
              <w:t>1500</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3</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PVC管材及线槽</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pvc25</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米</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1500</w:t>
            </w:r>
          </w:p>
        </w:tc>
      </w:tr>
      <w:tr>
        <w:tblPrEx>
          <w:tblCellMar>
            <w:top w:w="0" w:type="dxa"/>
            <w:left w:w="108" w:type="dxa"/>
            <w:bottom w:w="0" w:type="dxa"/>
            <w:right w:w="108" w:type="dxa"/>
          </w:tblCellMar>
        </w:tblPrEx>
        <w:trPr>
          <w:trHeight w:val="426"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室外防水箱</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bidi="ar"/>
              </w:rPr>
              <w:t>600*600</w:t>
            </w:r>
            <w:r>
              <w:rPr>
                <w:rFonts w:hint="default" w:ascii="宋体" w:hAnsi="宋体" w:cs="宋体"/>
                <w:color w:val="auto"/>
                <w:kern w:val="0"/>
                <w:sz w:val="24"/>
                <w:szCs w:val="24"/>
                <w:highlight w:val="none"/>
                <w:lang w:val="en-US" w:bidi="ar"/>
              </w:rPr>
              <w:t>mm</w:t>
            </w:r>
            <w:r>
              <w:rPr>
                <w:rFonts w:hint="eastAsia" w:ascii="宋体" w:hAnsi="宋体" w:eastAsia="宋体" w:cs="宋体"/>
                <w:color w:val="auto"/>
                <w:kern w:val="0"/>
                <w:sz w:val="24"/>
                <w:szCs w:val="24"/>
                <w:highlight w:val="none"/>
                <w:lang w:bidi="ar"/>
              </w:rPr>
              <w:t>，不锈钢</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5</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存储机柜</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bidi="ar"/>
              </w:rPr>
              <w:t>600*1000*2000</w:t>
            </w:r>
            <w:r>
              <w:rPr>
                <w:rFonts w:hint="default" w:ascii="宋体" w:hAnsi="宋体" w:cs="宋体"/>
                <w:color w:val="auto"/>
                <w:kern w:val="0"/>
                <w:sz w:val="24"/>
                <w:szCs w:val="24"/>
                <w:highlight w:val="none"/>
                <w:lang w:val="en-US" w:bidi="ar"/>
              </w:rPr>
              <w:t>mm</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6</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墙柜</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600*600</w:t>
            </w:r>
            <w:r>
              <w:rPr>
                <w:rFonts w:hint="default" w:ascii="宋体" w:hAnsi="宋体" w:cs="宋体"/>
                <w:color w:val="auto"/>
                <w:kern w:val="0"/>
                <w:sz w:val="24"/>
                <w:szCs w:val="24"/>
                <w:highlight w:val="none"/>
                <w:lang w:val="en-US" w:bidi="ar"/>
              </w:rPr>
              <w:t>mm</w:t>
            </w:r>
            <w:r>
              <w:rPr>
                <w:rFonts w:hint="eastAsia" w:ascii="宋体" w:hAnsi="宋体" w:eastAsia="宋体" w:cs="宋体"/>
                <w:color w:val="auto"/>
                <w:kern w:val="0"/>
                <w:sz w:val="24"/>
                <w:szCs w:val="24"/>
                <w:highlight w:val="none"/>
                <w:lang w:bidi="ar"/>
              </w:rPr>
              <w:t>，不锈钢</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7</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防雷电源插座</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bidi="ar"/>
              </w:rPr>
              <w:t>配套</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8</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开孔</w:t>
            </w:r>
          </w:p>
        </w:tc>
        <w:tc>
          <w:tcPr>
            <w:tcW w:w="60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bidi="ar"/>
              </w:rPr>
              <w:t>教室、办公室、吊顶、过梁开孔</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50</w:t>
            </w:r>
          </w:p>
        </w:tc>
      </w:tr>
      <w:tr>
        <w:tblPrEx>
          <w:tblCellMar>
            <w:top w:w="0" w:type="dxa"/>
            <w:left w:w="108" w:type="dxa"/>
            <w:bottom w:w="0" w:type="dxa"/>
            <w:right w:w="108" w:type="dxa"/>
          </w:tblCellMar>
        </w:tblPrEx>
        <w:trPr>
          <w:trHeight w:val="66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2</w:t>
            </w:r>
            <w:r>
              <w:rPr>
                <w:rFonts w:hint="default" w:ascii="宋体" w:hAnsi="宋体" w:cs="宋体"/>
                <w:color w:val="auto"/>
                <w:kern w:val="0"/>
                <w:sz w:val="24"/>
                <w:szCs w:val="24"/>
                <w:highlight w:val="none"/>
                <w:lang w:val="en-US" w:bidi="ar"/>
              </w:rPr>
              <w:t>9</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光配架</w:t>
            </w:r>
          </w:p>
        </w:tc>
        <w:tc>
          <w:tcPr>
            <w:tcW w:w="6084" w:type="dxa"/>
            <w:tcBorders>
              <w:top w:val="single" w:color="000000" w:sz="4" w:space="0"/>
              <w:left w:val="single" w:color="000000" w:sz="4" w:space="0"/>
              <w:bottom w:val="single" w:color="000000" w:sz="4" w:space="0"/>
              <w:right w:val="single" w:color="000000" w:sz="4" w:space="0"/>
            </w:tcBorders>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12口光配架</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p>
        </w:tc>
      </w:tr>
      <w:tr>
        <w:tblPrEx>
          <w:tblCellMar>
            <w:top w:w="0" w:type="dxa"/>
            <w:left w:w="108" w:type="dxa"/>
            <w:bottom w:w="0" w:type="dxa"/>
            <w:right w:w="108" w:type="dxa"/>
          </w:tblCellMar>
        </w:tblPrEx>
        <w:trPr>
          <w:trHeight w:val="66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cs="宋体"/>
                <w:color w:val="auto"/>
                <w:kern w:val="0"/>
                <w:sz w:val="24"/>
                <w:szCs w:val="24"/>
                <w:highlight w:val="none"/>
                <w:lang w:val="en-US" w:bidi="ar"/>
              </w:rPr>
              <w:t>30</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光配架</w:t>
            </w:r>
          </w:p>
        </w:tc>
        <w:tc>
          <w:tcPr>
            <w:tcW w:w="6084" w:type="dxa"/>
            <w:tcBorders>
              <w:top w:val="single" w:color="000000" w:sz="4" w:space="0"/>
              <w:left w:val="single" w:color="000000" w:sz="4" w:space="0"/>
              <w:bottom w:val="single" w:color="000000" w:sz="4" w:space="0"/>
              <w:right w:val="single" w:color="000000" w:sz="4" w:space="0"/>
            </w:tcBorders>
          </w:tcPr>
          <w:p>
            <w:pPr>
              <w:widowControl/>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24口光配架</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r>
      <w:tr>
        <w:tblPrEx>
          <w:tblCellMar>
            <w:top w:w="0" w:type="dxa"/>
            <w:left w:w="108" w:type="dxa"/>
            <w:bottom w:w="0" w:type="dxa"/>
            <w:right w:w="108" w:type="dxa"/>
          </w:tblCellMar>
        </w:tblPrEx>
        <w:trPr>
          <w:trHeight w:val="364"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default" w:ascii="宋体" w:hAnsi="宋体" w:cs="宋体"/>
                <w:color w:val="auto"/>
                <w:sz w:val="24"/>
                <w:szCs w:val="24"/>
                <w:highlight w:val="none"/>
                <w:lang w:val="en-US"/>
              </w:rPr>
              <w:t>31</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光跳线</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LC-LC</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根</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20</w:t>
            </w:r>
          </w:p>
        </w:tc>
      </w:tr>
      <w:tr>
        <w:tblPrEx>
          <w:tblCellMar>
            <w:top w:w="0" w:type="dxa"/>
            <w:left w:w="108" w:type="dxa"/>
            <w:bottom w:w="0" w:type="dxa"/>
            <w:right w:w="108" w:type="dxa"/>
          </w:tblCellMar>
        </w:tblPrEx>
        <w:trPr>
          <w:trHeight w:val="9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lang w:bidi="ar"/>
              </w:rPr>
              <w:t>3</w:t>
            </w:r>
            <w:r>
              <w:rPr>
                <w:rFonts w:hint="default" w:ascii="宋体" w:hAnsi="宋体" w:cs="宋体"/>
                <w:color w:val="auto"/>
                <w:kern w:val="0"/>
                <w:sz w:val="24"/>
                <w:szCs w:val="24"/>
                <w:highlight w:val="none"/>
                <w:lang w:val="en-US" w:bidi="ar"/>
              </w:rPr>
              <w:t>2</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尾纤</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SC-LC</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根</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156</w:t>
            </w:r>
          </w:p>
        </w:tc>
      </w:tr>
      <w:tr>
        <w:tblPrEx>
          <w:tblCellMar>
            <w:top w:w="0" w:type="dxa"/>
            <w:left w:w="108" w:type="dxa"/>
            <w:bottom w:w="0" w:type="dxa"/>
            <w:right w:w="108" w:type="dxa"/>
          </w:tblCellMar>
        </w:tblPrEx>
        <w:trPr>
          <w:trHeight w:val="666"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3</w:t>
            </w:r>
            <w:r>
              <w:rPr>
                <w:rFonts w:hint="default" w:ascii="宋体" w:hAnsi="宋体" w:cs="宋体"/>
                <w:color w:val="auto"/>
                <w:kern w:val="0"/>
                <w:sz w:val="24"/>
                <w:szCs w:val="24"/>
                <w:highlight w:val="none"/>
                <w:lang w:val="en-US" w:bidi="ar"/>
              </w:rPr>
              <w:t>3</w:t>
            </w:r>
          </w:p>
        </w:tc>
        <w:tc>
          <w:tcPr>
            <w:tcW w:w="9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水晶头</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rj45</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盒</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3</w:t>
            </w:r>
            <w:r>
              <w:rPr>
                <w:rFonts w:hint="default" w:ascii="宋体" w:hAnsi="宋体" w:cs="宋体"/>
                <w:color w:val="auto"/>
                <w:kern w:val="0"/>
                <w:sz w:val="24"/>
                <w:szCs w:val="24"/>
                <w:highlight w:val="none"/>
                <w:lang w:val="en-US" w:bidi="ar"/>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PDU</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机架式防雷</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3</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3</w:t>
            </w:r>
            <w:r>
              <w:rPr>
                <w:rFonts w:hint="default" w:ascii="宋体" w:hAnsi="宋体" w:cs="宋体"/>
                <w:color w:val="auto"/>
                <w:kern w:val="0"/>
                <w:sz w:val="24"/>
                <w:szCs w:val="24"/>
                <w:highlight w:val="none"/>
                <w:lang w:val="en-US" w:bidi="ar"/>
              </w:rPr>
              <w:t>5</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广播线</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RvS2*1.0</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米</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600</w:t>
            </w:r>
          </w:p>
        </w:tc>
      </w:tr>
      <w:tr>
        <w:tblPrEx>
          <w:tblCellMar>
            <w:top w:w="0" w:type="dxa"/>
            <w:left w:w="108" w:type="dxa"/>
            <w:bottom w:w="0" w:type="dxa"/>
            <w:right w:w="108" w:type="dxa"/>
          </w:tblCellMar>
        </w:tblPrEx>
        <w:trPr>
          <w:trHeight w:val="356"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3</w:t>
            </w:r>
            <w:r>
              <w:rPr>
                <w:rFonts w:hint="default" w:ascii="宋体" w:hAnsi="宋体" w:cs="宋体"/>
                <w:color w:val="auto"/>
                <w:kern w:val="0"/>
                <w:sz w:val="24"/>
                <w:szCs w:val="24"/>
                <w:highlight w:val="none"/>
                <w:lang w:val="en-US" w:bidi="ar"/>
              </w:rPr>
              <w:t>6</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理线环</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1U机架</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10</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3</w:t>
            </w:r>
            <w:r>
              <w:rPr>
                <w:rFonts w:hint="default" w:ascii="宋体" w:hAnsi="宋体" w:cs="宋体"/>
                <w:color w:val="auto"/>
                <w:kern w:val="0"/>
                <w:sz w:val="24"/>
                <w:szCs w:val="24"/>
                <w:highlight w:val="none"/>
                <w:lang w:val="en-US" w:bidi="ar"/>
              </w:rPr>
              <w:t>7</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lang w:bidi="ar"/>
              </w:rPr>
              <w:t>660w功放</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5单元LED显示，便于观察工作状态；</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 xml:space="preserve"> 具有完善的输出短路保护和超温保护功能；</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 xml:space="preserve"> 散热风扇温度控制启动；</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 xml:space="preserve"> 额定输出功率：660W；</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 xml:space="preserve"> 输出方式:4-16 ohms(Ω)定阻输出，70V、100V定压输出；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台</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3</w:t>
            </w:r>
            <w:r>
              <w:rPr>
                <w:rFonts w:hint="default" w:ascii="宋体" w:hAnsi="宋体" w:cs="宋体"/>
                <w:color w:val="auto"/>
                <w:kern w:val="0"/>
                <w:sz w:val="24"/>
                <w:szCs w:val="24"/>
                <w:highlight w:val="none"/>
                <w:lang w:val="en-US" w:bidi="ar"/>
              </w:rPr>
              <w:t>8</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高保真壁挂音箱</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喇叭尺寸 5″*1+1.5″*1-25芯丝膜高音两路分频</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额定功率（W） 30W</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标准输入电压（V） 100V:333Ω.30W.667Ω.15W</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最大功率（W）  60</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频响 67-20KHz</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最大声压SPL1米1W) 105dB</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灵敏度(SPL1米1W) 90dB±2dB</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开放角度（水平） 90度</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安装方式 壁挂式</w:t>
            </w:r>
          </w:p>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颜色 黑.白色</w:t>
            </w:r>
          </w:p>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材质 ABS材料（金属铁网）</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只</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bidi="ar"/>
              </w:rPr>
              <w:t>6</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default" w:ascii="宋体" w:hAnsi="宋体" w:cs="宋体"/>
                <w:color w:val="auto"/>
                <w:kern w:val="0"/>
                <w:sz w:val="24"/>
                <w:szCs w:val="24"/>
                <w:highlight w:val="none"/>
                <w:lang w:val="en-US" w:bidi="ar"/>
              </w:rPr>
              <w:t>39</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半球摄像机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rPr>
              <w:t>1、在1920x1080下分辨力可达到1000TVL</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2、信噪比不小于55dB。</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3、支持红外补光，有效补光距离达到30m</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4、需支持IP66防尘防水</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5、支持DC12V或poe供电</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6、内置1个麦克风，1个RJ45网络接口</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7、靶面尺寸为1/2.7英寸</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个</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50</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bidi="ar"/>
              </w:rPr>
            </w:pPr>
            <w:r>
              <w:rPr>
                <w:rFonts w:hint="eastAsia" w:ascii="宋体" w:hAnsi="宋体" w:eastAsia="宋体" w:cs="宋体"/>
                <w:color w:val="auto"/>
                <w:kern w:val="0"/>
                <w:sz w:val="24"/>
                <w:szCs w:val="24"/>
                <w:highlight w:val="none"/>
                <w:lang w:bidi="ar"/>
              </w:rPr>
              <w:t>4</w:t>
            </w:r>
            <w:r>
              <w:rPr>
                <w:rFonts w:hint="default" w:ascii="宋体" w:hAnsi="宋体" w:cs="宋体"/>
                <w:color w:val="auto"/>
                <w:kern w:val="0"/>
                <w:sz w:val="24"/>
                <w:szCs w:val="24"/>
                <w:highlight w:val="none"/>
                <w:lang w:val="en-US" w:bidi="ar"/>
              </w:rPr>
              <w:t>0</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半球支架</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rPr>
              <w:t>1、金属材质，白色；</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2、壁装</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50</w:t>
            </w:r>
          </w:p>
        </w:tc>
      </w:tr>
    </w:tbl>
    <w:p>
      <w:pPr>
        <w:widowControl/>
        <w:spacing w:line="360" w:lineRule="auto"/>
        <w:jc w:val="left"/>
        <w:rPr>
          <w:rFonts w:ascii="宋体" w:hAnsi="宋体" w:cs="宋体"/>
          <w:b/>
          <w:sz w:val="24"/>
          <w:highlight w:val="none"/>
        </w:rPr>
      </w:pPr>
      <w:r>
        <w:rPr>
          <w:rFonts w:hint="eastAsia" w:ascii="宋体" w:hAnsi="宋体" w:cs="宋体"/>
          <w:b/>
          <w:sz w:val="24"/>
          <w:highlight w:val="none"/>
        </w:rPr>
        <w:t>特别说明：</w:t>
      </w:r>
    </w:p>
    <w:p>
      <w:pPr>
        <w:pStyle w:val="2"/>
        <w:rPr>
          <w:rFonts w:hAnsi="宋体" w:cs="宋体"/>
          <w:b/>
          <w:szCs w:val="24"/>
          <w:highlight w:val="none"/>
          <w:lang w:val="en-US"/>
        </w:rPr>
      </w:pPr>
      <w:r>
        <w:rPr>
          <w:rFonts w:hint="eastAsia" w:hAnsi="宋体" w:cs="宋体"/>
          <w:b/>
          <w:szCs w:val="24"/>
          <w:highlight w:val="none"/>
          <w:lang w:val="en-US"/>
        </w:rPr>
        <w:t>●</w:t>
      </w:r>
      <w:r>
        <w:rPr>
          <w:rFonts w:hAnsi="宋体" w:cs="宋体"/>
          <w:b/>
          <w:szCs w:val="24"/>
          <w:highlight w:val="none"/>
          <w:lang w:val="en-US"/>
        </w:rPr>
        <w:t xml:space="preserve"> </w:t>
      </w:r>
      <w:r>
        <w:rPr>
          <w:rFonts w:hint="eastAsia" w:hAnsi="宋体" w:cs="宋体"/>
          <w:b/>
          <w:szCs w:val="24"/>
          <w:highlight w:val="none"/>
          <w:lang w:val="en-US"/>
        </w:rPr>
        <w:t>相关线材等材料工程量以</w:t>
      </w:r>
      <w:r>
        <w:rPr>
          <w:rFonts w:hint="eastAsia" w:hAnsi="宋体" w:cs="宋体"/>
          <w:b/>
          <w:szCs w:val="24"/>
          <w:highlight w:val="none"/>
          <w:lang w:val="en-US" w:eastAsia="zh-CN"/>
        </w:rPr>
        <w:t>实际使用量</w:t>
      </w:r>
      <w:r>
        <w:rPr>
          <w:rFonts w:hint="eastAsia" w:hAnsi="宋体" w:cs="宋体"/>
          <w:b/>
          <w:szCs w:val="24"/>
          <w:highlight w:val="none"/>
          <w:lang w:val="en-US"/>
        </w:rPr>
        <w:t>为准。</w:t>
      </w:r>
    </w:p>
    <w:p>
      <w:pPr>
        <w:pStyle w:val="2"/>
        <w:rPr>
          <w:rFonts w:hAnsi="宋体" w:cs="宋体"/>
          <w:b/>
          <w:szCs w:val="24"/>
          <w:highlight w:val="none"/>
        </w:rPr>
      </w:pPr>
      <w:r>
        <w:rPr>
          <w:rFonts w:hint="eastAsia" w:hAnsi="宋体" w:cs="宋体"/>
          <w:b/>
          <w:szCs w:val="24"/>
          <w:highlight w:val="none"/>
          <w:lang w:val="en-US"/>
        </w:rPr>
        <w:t>●</w:t>
      </w:r>
      <w:r>
        <w:rPr>
          <w:rFonts w:hAnsi="宋体" w:cs="宋体"/>
          <w:b/>
          <w:szCs w:val="24"/>
          <w:highlight w:val="none"/>
          <w:lang w:val="en-US"/>
        </w:rPr>
        <w:t xml:space="preserve"> </w:t>
      </w:r>
      <w:r>
        <w:rPr>
          <w:rFonts w:hint="eastAsia" w:hAnsi="宋体" w:cs="宋体"/>
          <w:b/>
          <w:color w:val="000000"/>
          <w:szCs w:val="24"/>
          <w:highlight w:val="none"/>
        </w:rPr>
        <w:t>上述表格为</w:t>
      </w:r>
      <w:r>
        <w:rPr>
          <w:rFonts w:hint="eastAsia" w:hAnsi="宋体" w:cs="宋体"/>
          <w:szCs w:val="24"/>
          <w:highlight w:val="none"/>
        </w:rPr>
        <w:t>本项目的设备产品详细技术规格要求，投标人必须对技术要求有明确的响应，针对采购要求如实描述是否偏离。</w:t>
      </w:r>
      <w:r>
        <w:rPr>
          <w:rFonts w:hint="eastAsia" w:hAnsi="宋体" w:cs="宋体"/>
          <w:b/>
          <w:szCs w:val="24"/>
          <w:highlight w:val="none"/>
        </w:rPr>
        <w:t>投标人可参考采购单位推荐的参数配置，也欢迎优于本项目技术需求且性能相当的产品参加。</w:t>
      </w:r>
    </w:p>
    <w:p>
      <w:pPr>
        <w:spacing w:line="360" w:lineRule="auto"/>
        <w:rPr>
          <w:rFonts w:ascii="宋体" w:hAnsi="宋体" w:cs="宋体"/>
          <w:sz w:val="24"/>
          <w:highlight w:val="none"/>
        </w:rPr>
      </w:pPr>
      <w:r>
        <w:rPr>
          <w:rFonts w:hint="eastAsia" w:hAnsi="宋体" w:cs="宋体"/>
          <w:b/>
          <w:sz w:val="24"/>
          <w:highlight w:val="none"/>
        </w:rPr>
        <w:t>●</w:t>
      </w:r>
      <w:r>
        <w:rPr>
          <w:rFonts w:hAnsi="宋体" w:cs="宋体"/>
          <w:b/>
          <w:sz w:val="24"/>
          <w:highlight w:val="none"/>
        </w:rPr>
        <w:t xml:space="preserve"> </w:t>
      </w:r>
      <w:r>
        <w:rPr>
          <w:rFonts w:hint="eastAsia" w:ascii="宋体" w:hAnsi="宋体" w:cs="宋体"/>
          <w:sz w:val="24"/>
          <w:highlight w:val="none"/>
        </w:rPr>
        <w:t>投标方在招标前可自行前往现场实地勘察，以便充分了解现状和甲方需求，便于对项目做出合理规划，并在投标时给出合理化建议和设计，便于后期实施、维护。</w:t>
      </w:r>
    </w:p>
    <w:p>
      <w:pPr>
        <w:spacing w:line="360" w:lineRule="auto"/>
        <w:rPr>
          <w:rFonts w:ascii="宋体" w:hAnsi="宋体" w:cs="宋体"/>
          <w:sz w:val="24"/>
          <w:highlight w:val="none"/>
        </w:rPr>
      </w:pPr>
      <w:r>
        <w:rPr>
          <w:rFonts w:hint="eastAsia" w:hAnsi="宋体" w:cs="宋体"/>
          <w:b/>
          <w:sz w:val="24"/>
          <w:highlight w:val="none"/>
        </w:rPr>
        <w:t>●</w:t>
      </w:r>
      <w:r>
        <w:rPr>
          <w:rFonts w:hAnsi="宋体" w:cs="宋体"/>
          <w:b/>
          <w:sz w:val="24"/>
          <w:highlight w:val="none"/>
        </w:rPr>
        <w:t xml:space="preserve"> </w:t>
      </w:r>
      <w:r>
        <w:rPr>
          <w:rFonts w:hint="eastAsia" w:ascii="宋体" w:hAnsi="宋体" w:cs="宋体"/>
          <w:sz w:val="24"/>
          <w:highlight w:val="none"/>
        </w:rPr>
        <w:t>中标人交货时应对提供的货物列出清单，在完全符合要求后，在交付清单上双方签字确认，如有产品达不到技术标准，采购人有权拒绝签字，直到符合技术要求，采购人才做交付验收，该清单作为验收必备技术文档。</w:t>
      </w:r>
    </w:p>
    <w:p>
      <w:pPr>
        <w:spacing w:line="360" w:lineRule="auto"/>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、售后服务：</w:t>
      </w:r>
    </w:p>
    <w:p>
      <w:pPr>
        <w:spacing w:line="360" w:lineRule="auto"/>
        <w:rPr>
          <w:rFonts w:ascii="宋体" w:hAnsi="宋体" w:cs="宋体"/>
          <w:sz w:val="24"/>
          <w:highlight w:val="none"/>
        </w:rPr>
      </w:pPr>
      <w:r>
        <w:rPr>
          <w:rFonts w:hint="eastAsia" w:ascii="宋体" w:hAnsi="宋体" w:cs="宋体"/>
          <w:sz w:val="24"/>
          <w:highlight w:val="none"/>
        </w:rPr>
        <w:t>（1）软件及设备质保期必须验收合格后≥3年，设施设备质保期满后提供上门服务，仅收取材料费（所有费用包含在投标总价中）；</w:t>
      </w:r>
    </w:p>
    <w:p>
      <w:pPr>
        <w:spacing w:line="360" w:lineRule="auto"/>
        <w:rPr>
          <w:rFonts w:ascii="宋体" w:hAnsi="宋体" w:cs="宋体"/>
          <w:sz w:val="24"/>
          <w:highlight w:val="none"/>
        </w:rPr>
      </w:pPr>
      <w:r>
        <w:rPr>
          <w:rFonts w:hint="eastAsia" w:ascii="宋体" w:hAnsi="宋体" w:cs="宋体"/>
          <w:sz w:val="24"/>
          <w:highlight w:val="none"/>
        </w:rPr>
        <w:t>（2）投标方在保修期内，应承诺提供7×24小时免备件费、免人工费、免服务费的服务，软硬件系统出现故障影响正常运行的，半小时内响应，2小时内到现场，4小时内解决问题</w:t>
      </w:r>
      <w:r>
        <w:rPr>
          <w:rFonts w:hint="eastAsia" w:ascii="宋体" w:hAnsi="宋体" w:cs="宋体"/>
          <w:kern w:val="0"/>
          <w:sz w:val="24"/>
          <w:highlight w:val="none"/>
          <w:lang w:val="zh-CN"/>
        </w:rPr>
        <w:t>。若12小时内不能解决问题的，必须提供备机或其他保障措施，以保证采购单位的正常使用。</w:t>
      </w:r>
    </w:p>
    <w:p>
      <w:pPr>
        <w:spacing w:line="360" w:lineRule="auto"/>
        <w:rPr>
          <w:rFonts w:ascii="宋体" w:hAnsi="宋体" w:cs="宋体"/>
          <w:sz w:val="24"/>
          <w:highlight w:val="none"/>
        </w:rPr>
      </w:pPr>
      <w:r>
        <w:rPr>
          <w:rFonts w:hint="eastAsia" w:ascii="宋体" w:hAnsi="宋体" w:cs="宋体"/>
          <w:sz w:val="24"/>
          <w:highlight w:val="none"/>
        </w:rPr>
        <w:t>（3）投标人应具有完善的售后服务体系，建有零配件仓库。投标人应提供质保期后的服务计划或建议，明确收费事项及标准；</w:t>
      </w:r>
    </w:p>
    <w:p>
      <w:pPr>
        <w:spacing w:line="360" w:lineRule="auto"/>
        <w:rPr>
          <w:rFonts w:ascii="宋体" w:hAnsi="宋体" w:cs="宋体"/>
          <w:sz w:val="24"/>
          <w:highlight w:val="none"/>
        </w:rPr>
      </w:pPr>
      <w:r>
        <w:rPr>
          <w:rFonts w:hint="eastAsia" w:ascii="宋体" w:hAnsi="宋体" w:cs="宋体"/>
          <w:sz w:val="24"/>
          <w:highlight w:val="none"/>
        </w:rPr>
        <w:t>（4）提供售后服务部门及维修网点的联系电话；</w:t>
      </w:r>
    </w:p>
    <w:p>
      <w:pPr>
        <w:spacing w:line="360" w:lineRule="auto"/>
        <w:rPr>
          <w:rFonts w:ascii="宋体" w:hAnsi="宋体" w:cs="宋体"/>
          <w:sz w:val="24"/>
          <w:highlight w:val="none"/>
        </w:rPr>
      </w:pPr>
      <w:r>
        <w:rPr>
          <w:rFonts w:hint="eastAsia" w:ascii="宋体" w:hAnsi="宋体" w:cs="宋体"/>
          <w:sz w:val="24"/>
          <w:highlight w:val="none"/>
        </w:rPr>
        <w:t>（5）投标方的售后服务应以招标方能够获得系统良好的使用效果和技术支持为目的，投标方应随投标书提交一份售后服务和技术支持计划。</w:t>
      </w:r>
    </w:p>
    <w:p>
      <w:pPr>
        <w:pStyle w:val="4"/>
        <w:keepNext w:val="0"/>
        <w:keepLines/>
        <w:pageBreakBefore w:val="0"/>
        <w:widowControl w:val="0"/>
        <w:kinsoku/>
        <w:wordWrap/>
        <w:overflowPunct/>
        <w:topLinePunct w:val="0"/>
        <w:autoSpaceDE/>
        <w:autoSpaceDN/>
        <w:bidi w:val="0"/>
        <w:adjustRightInd w:val="0"/>
        <w:snapToGrid/>
        <w:spacing w:before="0" w:after="0" w:line="360" w:lineRule="auto"/>
        <w:ind w:left="0" w:firstLine="0"/>
        <w:jc w:val="left"/>
        <w:textAlignment w:val="auto"/>
        <w:rPr>
          <w:rFonts w:ascii="宋体" w:hAnsi="宋体" w:cs="宋体"/>
          <w:sz w:val="30"/>
          <w:szCs w:val="30"/>
          <w:highlight w:val="none"/>
        </w:rPr>
      </w:pPr>
      <w:r>
        <w:rPr>
          <w:rFonts w:hint="eastAsia" w:ascii="宋体" w:hAnsi="宋体" w:cs="宋体"/>
          <w:sz w:val="30"/>
          <w:szCs w:val="30"/>
          <w:highlight w:val="none"/>
        </w:rPr>
        <w:t>四、其它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1、建设周期</w:t>
      </w:r>
    </w:p>
    <w:p>
      <w:pPr>
        <w:spacing w:line="360" w:lineRule="auto"/>
        <w:ind w:firstLine="481"/>
        <w:outlineLvl w:val="1"/>
        <w:rPr>
          <w:rFonts w:ascii="宋体" w:hAnsi="宋体" w:cs="宋体"/>
          <w:sz w:val="24"/>
          <w:highlight w:val="none"/>
        </w:rPr>
      </w:pPr>
      <w:r>
        <w:rPr>
          <w:rFonts w:hint="eastAsia" w:ascii="宋体" w:hAnsi="宋体" w:cs="宋体"/>
          <w:sz w:val="24"/>
          <w:highlight w:val="none"/>
        </w:rPr>
        <w:t>为保证杭州市文理中学监控系统采购项目的顺利建设，本次设备采购、到货、安装、调试工作应在合同签订后</w:t>
      </w:r>
      <w:r>
        <w:rPr>
          <w:rFonts w:hint="eastAsia" w:ascii="宋体" w:hAnsi="宋体" w:cs="宋体"/>
          <w:b/>
          <w:sz w:val="24"/>
          <w:highlight w:val="none"/>
        </w:rPr>
        <w:t>30天</w:t>
      </w:r>
      <w:r>
        <w:rPr>
          <w:rFonts w:hint="eastAsia" w:ascii="宋体" w:hAnsi="宋体" w:cs="宋体"/>
          <w:sz w:val="24"/>
          <w:highlight w:val="none"/>
        </w:rPr>
        <w:t>内完成全部建设内容；正常试运行1个月，培训并交付使用，并制定相应的项目实施详细进度计划。</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2、培训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中标人应对用户进行培训，并承担所有费用，使其能对设备进行日常的维护保养及能对一般故障进行维修，并向培训人员提供详细的技术维修及调试参数资料；中标人应对用户的操作人员进行技术操作培训并提供详细的操作手册，所有费用由中标人承担；  上述两种培训的培训方式、地点、人数、时间，投标商应在投标文件中详细说明。</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3、安装、调试与验收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有责任检查安装现场是否符合产品安装条件，事先提出对安装的环境的要求。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项目涉及的设备由投标人负责测试、安装、调试和有关配置工作，投标人应提供详细的具有时效性的测试、安装、调试方案，经用户确认后，作为设备验收的标准，投标人应按上述方案完成测试、安装、调试和有关配置工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需保证设备均为制造商原产原装产品，保证所提供货物是全新的、未使用过的，并完全符合合同规定的质量、规格和性能的要求。货物到达用户指定的现场后，由投标人与用户共核对装箱单，共同开箱（若有争议，请质检机构检验确定），依照合同的货物清单清点，并进行签字确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项目实验过程中，若牵涉到与第三方产品集成工作，投标人应与其他供应商通力合作，并提供必要的技术支持。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投标人保证其提供的货物在正确安装、正常使用和保养条件下，在使用寿命期内具有满意的性能，投标人对由于产品设计、工艺或材料的缺陷而产生的故障负责与原制造厂商并协助解决。</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承诺本次提供的所有设备满足标书要求，对标书中的变更修改内容以本合同的设备配置附件为准。投标人承诺所有的设备满足技术完整性要求。如有线缆、附件等遗漏，影响设备安装和运行，由投标人承担并负责解决。</w:t>
      </w:r>
    </w:p>
    <w:p>
      <w:pPr>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注：</w:t>
      </w:r>
      <w:r>
        <w:rPr>
          <w:rFonts w:hint="eastAsia" w:ascii="宋体" w:hAnsi="宋体" w:cs="宋体"/>
          <w:sz w:val="24"/>
          <w:highlight w:val="none"/>
        </w:rPr>
        <w:t>评审因素对应的要求视为采购需求的一部分。</w:t>
      </w: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6"/>
        <w:rPr>
          <w:rFonts w:ascii="宋体" w:hAnsi="宋体" w:cs="宋体"/>
          <w:b/>
          <w:sz w:val="36"/>
          <w:szCs w:val="36"/>
          <w:highlight w:val="none"/>
        </w:rPr>
      </w:pPr>
    </w:p>
    <w:p>
      <w:pPr>
        <w:pStyle w:val="2"/>
        <w:rPr>
          <w:rFonts w:hint="eastAsia"/>
          <w:highlight w:val="none"/>
        </w:rPr>
      </w:pPr>
    </w:p>
    <w:p>
      <w:pPr>
        <w:snapToGrid w:val="0"/>
        <w:spacing w:line="360" w:lineRule="auto"/>
        <w:jc w:val="center"/>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1" w:name="_Toc184312076"/>
      <w:bookmarkEnd w:id="31"/>
      <w:bookmarkStart w:id="32" w:name="_Toc184314438"/>
      <w:bookmarkEnd w:id="32"/>
      <w:bookmarkStart w:id="33" w:name="_Toc184308090"/>
      <w:bookmarkEnd w:id="33"/>
      <w:bookmarkStart w:id="34" w:name="_Toc184314443"/>
      <w:bookmarkEnd w:id="34"/>
      <w:bookmarkStart w:id="35" w:name="_Toc184314439"/>
      <w:bookmarkEnd w:id="35"/>
      <w:bookmarkStart w:id="36" w:name="_Toc184314477"/>
      <w:bookmarkEnd w:id="36"/>
      <w:bookmarkStart w:id="37" w:name="_Toc184310275"/>
      <w:bookmarkEnd w:id="37"/>
      <w:bookmarkStart w:id="38" w:name="_Toc184308049"/>
      <w:bookmarkEnd w:id="38"/>
      <w:bookmarkStart w:id="39" w:name="_Toc184312094"/>
      <w:bookmarkEnd w:id="39"/>
      <w:bookmarkStart w:id="40" w:name="_Toc184312114"/>
      <w:bookmarkEnd w:id="40"/>
      <w:bookmarkStart w:id="41" w:name="_Toc184312116"/>
      <w:bookmarkEnd w:id="41"/>
      <w:bookmarkStart w:id="42" w:name="_Toc184308081"/>
      <w:bookmarkEnd w:id="42"/>
      <w:bookmarkStart w:id="43" w:name="_Toc184308046"/>
      <w:bookmarkEnd w:id="43"/>
      <w:bookmarkStart w:id="44" w:name="_Toc184314423"/>
      <w:bookmarkEnd w:id="44"/>
      <w:bookmarkStart w:id="45" w:name="_Toc184314458"/>
      <w:bookmarkEnd w:id="45"/>
      <w:bookmarkStart w:id="46" w:name="_Toc184313298"/>
      <w:bookmarkEnd w:id="46"/>
      <w:bookmarkStart w:id="47" w:name="_Toc184308037"/>
      <w:bookmarkEnd w:id="47"/>
      <w:bookmarkStart w:id="48" w:name="_Toc184310325"/>
      <w:bookmarkEnd w:id="48"/>
      <w:bookmarkStart w:id="49" w:name="_Toc184314475"/>
      <w:bookmarkEnd w:id="49"/>
      <w:bookmarkStart w:id="50" w:name="_Toc184310304"/>
      <w:bookmarkEnd w:id="50"/>
      <w:bookmarkStart w:id="51" w:name="_Toc184308085"/>
      <w:bookmarkEnd w:id="51"/>
      <w:bookmarkStart w:id="52" w:name="_Toc184312100"/>
      <w:bookmarkEnd w:id="52"/>
      <w:bookmarkStart w:id="53" w:name="_Toc184310337"/>
      <w:bookmarkEnd w:id="53"/>
      <w:bookmarkStart w:id="54" w:name="_Toc184308075"/>
      <w:bookmarkEnd w:id="54"/>
      <w:bookmarkStart w:id="55" w:name="_Toc184310278"/>
      <w:bookmarkEnd w:id="55"/>
      <w:bookmarkStart w:id="56" w:name="_Toc184312132"/>
      <w:bookmarkEnd w:id="56"/>
      <w:bookmarkStart w:id="57" w:name="_Toc184312088"/>
      <w:bookmarkEnd w:id="57"/>
      <w:bookmarkStart w:id="58" w:name="_Toc184314459"/>
      <w:bookmarkEnd w:id="58"/>
      <w:bookmarkStart w:id="59" w:name="_Toc184308040"/>
      <w:bookmarkEnd w:id="59"/>
      <w:bookmarkStart w:id="60" w:name="_Toc184312137"/>
      <w:bookmarkEnd w:id="60"/>
      <w:bookmarkStart w:id="61" w:name="_Toc184312123"/>
      <w:bookmarkEnd w:id="61"/>
      <w:bookmarkStart w:id="62" w:name="_Toc184310308"/>
      <w:bookmarkEnd w:id="62"/>
      <w:bookmarkStart w:id="63" w:name="_Toc184312117"/>
      <w:bookmarkEnd w:id="63"/>
      <w:bookmarkStart w:id="64" w:name="_Toc184310317"/>
      <w:bookmarkEnd w:id="64"/>
      <w:bookmarkStart w:id="65" w:name="_Toc184312130"/>
      <w:bookmarkEnd w:id="65"/>
      <w:bookmarkStart w:id="66" w:name="_Toc184314453"/>
      <w:bookmarkEnd w:id="66"/>
      <w:bookmarkStart w:id="67" w:name="_Toc184313241"/>
      <w:bookmarkEnd w:id="67"/>
      <w:bookmarkStart w:id="68" w:name="_Toc184308039"/>
      <w:bookmarkEnd w:id="68"/>
      <w:bookmarkStart w:id="69" w:name="_Toc184312087"/>
      <w:bookmarkEnd w:id="69"/>
      <w:bookmarkStart w:id="70" w:name="_Toc184312096"/>
      <w:bookmarkEnd w:id="70"/>
      <w:bookmarkStart w:id="71" w:name="_Toc184313287"/>
      <w:bookmarkEnd w:id="71"/>
      <w:bookmarkStart w:id="72" w:name="_Toc184310338"/>
      <w:bookmarkEnd w:id="72"/>
      <w:bookmarkStart w:id="73" w:name="_Toc184308102"/>
      <w:bookmarkEnd w:id="73"/>
      <w:bookmarkStart w:id="74" w:name="_Toc184310286"/>
      <w:bookmarkEnd w:id="74"/>
      <w:bookmarkStart w:id="75" w:name="_Toc184308088"/>
      <w:bookmarkEnd w:id="75"/>
      <w:bookmarkStart w:id="76" w:name="_Toc184313273"/>
      <w:bookmarkEnd w:id="76"/>
      <w:bookmarkStart w:id="77" w:name="_Toc184314435"/>
      <w:bookmarkEnd w:id="77"/>
      <w:bookmarkStart w:id="78" w:name="_Toc184314466"/>
      <w:bookmarkEnd w:id="78"/>
      <w:bookmarkStart w:id="79" w:name="_Toc184313251"/>
      <w:bookmarkEnd w:id="79"/>
      <w:bookmarkStart w:id="80" w:name="_Toc184314412"/>
      <w:bookmarkEnd w:id="80"/>
      <w:bookmarkStart w:id="81" w:name="_Toc184314452"/>
      <w:bookmarkEnd w:id="81"/>
      <w:bookmarkStart w:id="82" w:name="_Toc184313310"/>
      <w:bookmarkEnd w:id="82"/>
      <w:bookmarkStart w:id="83" w:name="_Toc184313281"/>
      <w:bookmarkEnd w:id="83"/>
      <w:bookmarkStart w:id="84" w:name="_Toc184312069"/>
      <w:bookmarkEnd w:id="84"/>
      <w:bookmarkStart w:id="85" w:name="_Toc184312083"/>
      <w:bookmarkEnd w:id="85"/>
      <w:bookmarkStart w:id="86" w:name="_Toc184310305"/>
      <w:bookmarkEnd w:id="86"/>
      <w:bookmarkStart w:id="87" w:name="_Toc184308084"/>
      <w:bookmarkEnd w:id="87"/>
      <w:bookmarkStart w:id="88" w:name="_Toc184314436"/>
      <w:bookmarkEnd w:id="88"/>
      <w:bookmarkStart w:id="89" w:name="_Toc184313304"/>
      <w:bookmarkEnd w:id="89"/>
      <w:bookmarkStart w:id="90" w:name="_Toc184312136"/>
      <w:bookmarkEnd w:id="90"/>
      <w:bookmarkStart w:id="91" w:name="_Toc184312119"/>
      <w:bookmarkEnd w:id="91"/>
      <w:bookmarkStart w:id="92" w:name="_Toc184310273"/>
      <w:bookmarkEnd w:id="92"/>
      <w:bookmarkStart w:id="93" w:name="_Toc184313263"/>
      <w:bookmarkEnd w:id="93"/>
      <w:bookmarkStart w:id="94" w:name="_Toc184313303"/>
      <w:bookmarkEnd w:id="94"/>
      <w:bookmarkStart w:id="95" w:name="_Toc184310334"/>
      <w:bookmarkEnd w:id="95"/>
      <w:bookmarkStart w:id="96" w:name="_Toc184314481"/>
      <w:bookmarkEnd w:id="96"/>
      <w:bookmarkStart w:id="97" w:name="_Toc184310322"/>
      <w:bookmarkEnd w:id="97"/>
      <w:bookmarkStart w:id="98" w:name="_Toc184314441"/>
      <w:bookmarkEnd w:id="98"/>
      <w:bookmarkStart w:id="99" w:name="_Toc184312135"/>
      <w:bookmarkEnd w:id="99"/>
      <w:bookmarkStart w:id="100" w:name="_Toc184310280"/>
      <w:bookmarkEnd w:id="100"/>
      <w:bookmarkStart w:id="101" w:name="_Toc184308072"/>
      <w:bookmarkEnd w:id="101"/>
      <w:bookmarkStart w:id="102" w:name="_Toc184310294"/>
      <w:bookmarkEnd w:id="102"/>
      <w:bookmarkStart w:id="103" w:name="_Toc184308051"/>
      <w:bookmarkEnd w:id="103"/>
      <w:bookmarkStart w:id="104" w:name="_Toc184310288"/>
      <w:bookmarkEnd w:id="104"/>
      <w:bookmarkStart w:id="105" w:name="_Toc184313280"/>
      <w:bookmarkEnd w:id="105"/>
      <w:bookmarkStart w:id="106" w:name="_Toc184313253"/>
      <w:bookmarkEnd w:id="106"/>
      <w:bookmarkStart w:id="107" w:name="_Toc184308078"/>
      <w:bookmarkEnd w:id="107"/>
      <w:bookmarkStart w:id="108" w:name="_Toc184310307"/>
      <w:bookmarkEnd w:id="108"/>
      <w:bookmarkStart w:id="109" w:name="_Toc184310329"/>
      <w:bookmarkEnd w:id="109"/>
      <w:bookmarkStart w:id="110" w:name="_Toc184314446"/>
      <w:bookmarkEnd w:id="110"/>
      <w:bookmarkStart w:id="111" w:name="_Toc184310315"/>
      <w:bookmarkEnd w:id="111"/>
      <w:bookmarkStart w:id="112" w:name="_Toc184313290"/>
      <w:bookmarkEnd w:id="112"/>
      <w:bookmarkStart w:id="113" w:name="_Toc184308056"/>
      <w:bookmarkEnd w:id="113"/>
      <w:bookmarkStart w:id="114" w:name="_Toc184312090"/>
      <w:bookmarkEnd w:id="114"/>
      <w:bookmarkStart w:id="115" w:name="_Toc184308054"/>
      <w:bookmarkEnd w:id="115"/>
      <w:bookmarkStart w:id="116" w:name="_Toc184312126"/>
      <w:bookmarkEnd w:id="116"/>
      <w:bookmarkStart w:id="117" w:name="_Toc184310330"/>
      <w:bookmarkEnd w:id="117"/>
      <w:bookmarkStart w:id="118" w:name="_Toc184310321"/>
      <w:bookmarkEnd w:id="118"/>
      <w:bookmarkStart w:id="119" w:name="_Toc184308107"/>
      <w:bookmarkEnd w:id="119"/>
      <w:bookmarkStart w:id="120" w:name="_Toc184313255"/>
      <w:bookmarkEnd w:id="120"/>
      <w:bookmarkStart w:id="121" w:name="_Toc184313247"/>
      <w:bookmarkEnd w:id="121"/>
      <w:bookmarkStart w:id="122" w:name="_Toc184308077"/>
      <w:bookmarkEnd w:id="122"/>
      <w:bookmarkStart w:id="123" w:name="_Toc184313258"/>
      <w:bookmarkEnd w:id="123"/>
      <w:bookmarkStart w:id="124" w:name="_Toc184312098"/>
      <w:bookmarkEnd w:id="124"/>
      <w:bookmarkStart w:id="125" w:name="_Toc184312122"/>
      <w:bookmarkEnd w:id="125"/>
      <w:bookmarkStart w:id="126" w:name="_Toc184314454"/>
      <w:bookmarkEnd w:id="126"/>
      <w:bookmarkStart w:id="127" w:name="_Toc184308098"/>
      <w:bookmarkEnd w:id="127"/>
      <w:bookmarkStart w:id="128" w:name="_Toc184308073"/>
      <w:bookmarkEnd w:id="128"/>
      <w:bookmarkStart w:id="129" w:name="_Toc184310309"/>
      <w:bookmarkEnd w:id="129"/>
      <w:bookmarkStart w:id="130" w:name="_Toc184310302"/>
      <w:bookmarkEnd w:id="130"/>
      <w:bookmarkStart w:id="131" w:name="_Toc184314426"/>
      <w:bookmarkEnd w:id="131"/>
      <w:bookmarkStart w:id="132" w:name="_Toc184308070"/>
      <w:bookmarkEnd w:id="132"/>
      <w:bookmarkStart w:id="133" w:name="_Toc184308076"/>
      <w:bookmarkEnd w:id="133"/>
      <w:bookmarkStart w:id="134" w:name="_Toc184314455"/>
      <w:bookmarkEnd w:id="134"/>
      <w:bookmarkStart w:id="135" w:name="_Toc184314451"/>
      <w:bookmarkEnd w:id="135"/>
      <w:bookmarkStart w:id="136" w:name="_Toc184310332"/>
      <w:bookmarkEnd w:id="136"/>
      <w:bookmarkStart w:id="137" w:name="_Toc184313291"/>
      <w:bookmarkEnd w:id="137"/>
      <w:bookmarkStart w:id="138" w:name="_Toc184314430"/>
      <w:bookmarkEnd w:id="138"/>
      <w:bookmarkStart w:id="139" w:name="_Toc184310320"/>
      <w:bookmarkEnd w:id="139"/>
      <w:bookmarkStart w:id="140" w:name="_Toc184313309"/>
      <w:bookmarkEnd w:id="140"/>
      <w:bookmarkStart w:id="141" w:name="_Toc184308053"/>
      <w:bookmarkEnd w:id="141"/>
      <w:bookmarkStart w:id="142" w:name="_Toc184314448"/>
      <w:bookmarkEnd w:id="142"/>
      <w:bookmarkStart w:id="143" w:name="_Toc184314410"/>
      <w:bookmarkEnd w:id="143"/>
      <w:bookmarkStart w:id="144" w:name="_Toc184313305"/>
      <w:bookmarkEnd w:id="144"/>
      <w:bookmarkStart w:id="145" w:name="_Toc184313276"/>
      <w:bookmarkEnd w:id="145"/>
      <w:bookmarkStart w:id="146" w:name="_Toc184308060"/>
      <w:bookmarkEnd w:id="146"/>
      <w:bookmarkStart w:id="147" w:name="_Toc184314422"/>
      <w:bookmarkEnd w:id="147"/>
      <w:bookmarkStart w:id="148" w:name="_Toc184313240"/>
      <w:bookmarkEnd w:id="148"/>
      <w:bookmarkStart w:id="149" w:name="_Toc184310300"/>
      <w:bookmarkEnd w:id="149"/>
      <w:bookmarkStart w:id="150" w:name="_Toc184314450"/>
      <w:bookmarkEnd w:id="150"/>
      <w:bookmarkStart w:id="151" w:name="_Toc184313249"/>
      <w:bookmarkEnd w:id="151"/>
      <w:bookmarkStart w:id="152" w:name="_Toc184313283"/>
      <w:bookmarkEnd w:id="152"/>
      <w:bookmarkStart w:id="153" w:name="_Toc184312128"/>
      <w:bookmarkEnd w:id="153"/>
      <w:bookmarkStart w:id="154" w:name="_Toc184313307"/>
      <w:bookmarkEnd w:id="154"/>
      <w:bookmarkStart w:id="155" w:name="_Toc184313302"/>
      <w:bookmarkEnd w:id="155"/>
      <w:bookmarkStart w:id="156" w:name="_Toc184312105"/>
      <w:bookmarkEnd w:id="156"/>
      <w:bookmarkStart w:id="157" w:name="_Toc184314471"/>
      <w:bookmarkEnd w:id="157"/>
      <w:bookmarkStart w:id="158" w:name="_Toc184308082"/>
      <w:bookmarkEnd w:id="158"/>
      <w:bookmarkStart w:id="159" w:name="_Toc184312124"/>
      <w:bookmarkEnd w:id="159"/>
      <w:bookmarkStart w:id="160" w:name="_Toc184313275"/>
      <w:bookmarkEnd w:id="160"/>
      <w:bookmarkStart w:id="161" w:name="_Toc184313292"/>
      <w:bookmarkEnd w:id="161"/>
      <w:bookmarkStart w:id="162" w:name="_Toc184308069"/>
      <w:bookmarkEnd w:id="162"/>
      <w:bookmarkStart w:id="163" w:name="_Toc184313284"/>
      <w:bookmarkEnd w:id="163"/>
      <w:bookmarkStart w:id="164" w:name="_Toc184310313"/>
      <w:bookmarkEnd w:id="164"/>
      <w:bookmarkStart w:id="165" w:name="_Toc184314464"/>
      <w:bookmarkEnd w:id="165"/>
      <w:bookmarkStart w:id="166" w:name="_Toc184313277"/>
      <w:bookmarkEnd w:id="166"/>
      <w:bookmarkStart w:id="167" w:name="_Toc184308045"/>
      <w:bookmarkEnd w:id="167"/>
      <w:bookmarkStart w:id="168" w:name="_Toc184314472"/>
      <w:bookmarkEnd w:id="168"/>
      <w:bookmarkStart w:id="169" w:name="_Toc184310282"/>
      <w:bookmarkEnd w:id="169"/>
      <w:bookmarkStart w:id="170" w:name="_Toc184312080"/>
      <w:bookmarkEnd w:id="170"/>
      <w:bookmarkStart w:id="171" w:name="_Toc184312139"/>
      <w:bookmarkEnd w:id="171"/>
      <w:bookmarkStart w:id="172" w:name="_Toc184308052"/>
      <w:bookmarkEnd w:id="172"/>
      <w:bookmarkStart w:id="173" w:name="_Toc184310296"/>
      <w:bookmarkEnd w:id="173"/>
      <w:bookmarkStart w:id="174" w:name="_Toc184314429"/>
      <w:bookmarkEnd w:id="174"/>
      <w:bookmarkStart w:id="175" w:name="_Toc184310283"/>
      <w:bookmarkEnd w:id="175"/>
      <w:bookmarkStart w:id="176" w:name="_Toc184313252"/>
      <w:bookmarkEnd w:id="176"/>
      <w:bookmarkStart w:id="177" w:name="_Toc184310293"/>
      <w:bookmarkEnd w:id="177"/>
      <w:bookmarkStart w:id="178" w:name="_Toc184312101"/>
      <w:bookmarkEnd w:id="178"/>
      <w:bookmarkStart w:id="179" w:name="_Toc184308063"/>
      <w:bookmarkEnd w:id="179"/>
      <w:bookmarkStart w:id="180" w:name="_Toc184314414"/>
      <w:bookmarkEnd w:id="180"/>
      <w:bookmarkStart w:id="181" w:name="_Toc184312070"/>
      <w:bookmarkEnd w:id="181"/>
      <w:bookmarkStart w:id="182" w:name="_Toc184312067"/>
      <w:bookmarkEnd w:id="182"/>
      <w:bookmarkStart w:id="183" w:name="_Toc184312115"/>
      <w:bookmarkEnd w:id="183"/>
      <w:bookmarkStart w:id="184" w:name="_Toc184314428"/>
      <w:bookmarkEnd w:id="184"/>
      <w:bookmarkStart w:id="185" w:name="_Toc184308050"/>
      <w:bookmarkEnd w:id="185"/>
      <w:bookmarkStart w:id="186" w:name="_Toc184312110"/>
      <w:bookmarkEnd w:id="186"/>
      <w:bookmarkStart w:id="187" w:name="_Toc184310299"/>
      <w:bookmarkEnd w:id="187"/>
      <w:bookmarkStart w:id="188" w:name="_Toc184313271"/>
      <w:bookmarkEnd w:id="188"/>
      <w:bookmarkStart w:id="189" w:name="_Toc184314421"/>
      <w:bookmarkEnd w:id="189"/>
      <w:bookmarkStart w:id="190" w:name="_Toc184310343"/>
      <w:bookmarkEnd w:id="190"/>
      <w:bookmarkStart w:id="191" w:name="_Toc184310295"/>
      <w:bookmarkEnd w:id="191"/>
      <w:bookmarkStart w:id="192" w:name="_Toc184308096"/>
      <w:bookmarkEnd w:id="192"/>
      <w:bookmarkStart w:id="193" w:name="_Toc184314462"/>
      <w:bookmarkEnd w:id="193"/>
      <w:bookmarkStart w:id="194" w:name="_Toc184310287"/>
      <w:bookmarkEnd w:id="194"/>
      <w:bookmarkStart w:id="195" w:name="_Toc184308100"/>
      <w:bookmarkEnd w:id="195"/>
      <w:bookmarkStart w:id="196" w:name="_Toc184313262"/>
      <w:bookmarkEnd w:id="196"/>
      <w:bookmarkStart w:id="197" w:name="_Toc184310272"/>
      <w:bookmarkEnd w:id="197"/>
      <w:bookmarkStart w:id="198" w:name="_Toc184310339"/>
      <w:bookmarkEnd w:id="198"/>
      <w:bookmarkStart w:id="199" w:name="_Toc184310292"/>
      <w:bookmarkEnd w:id="199"/>
      <w:bookmarkStart w:id="200" w:name="_Toc184314478"/>
      <w:bookmarkEnd w:id="200"/>
      <w:bookmarkStart w:id="201" w:name="_Toc184313256"/>
      <w:bookmarkEnd w:id="201"/>
      <w:bookmarkStart w:id="202" w:name="_Toc184310323"/>
      <w:bookmarkEnd w:id="202"/>
      <w:bookmarkStart w:id="203" w:name="_Toc184313268"/>
      <w:bookmarkEnd w:id="203"/>
      <w:bookmarkStart w:id="204" w:name="_Toc184312107"/>
      <w:bookmarkEnd w:id="204"/>
      <w:bookmarkStart w:id="205" w:name="_Toc184308108"/>
      <w:bookmarkEnd w:id="205"/>
      <w:bookmarkStart w:id="206" w:name="_Toc184313269"/>
      <w:bookmarkEnd w:id="206"/>
      <w:bookmarkStart w:id="207" w:name="_Toc184314460"/>
      <w:bookmarkEnd w:id="207"/>
      <w:bookmarkStart w:id="208" w:name="_Toc184312099"/>
      <w:bookmarkEnd w:id="208"/>
      <w:bookmarkStart w:id="209" w:name="_Toc184314415"/>
      <w:bookmarkEnd w:id="209"/>
      <w:bookmarkStart w:id="210" w:name="_Toc184313274"/>
      <w:bookmarkEnd w:id="210"/>
      <w:bookmarkStart w:id="211" w:name="_Toc184312079"/>
      <w:bookmarkEnd w:id="211"/>
      <w:bookmarkStart w:id="212" w:name="_Toc184308079"/>
      <w:bookmarkEnd w:id="212"/>
      <w:bookmarkStart w:id="213" w:name="_Toc184313265"/>
      <w:bookmarkEnd w:id="213"/>
      <w:bookmarkStart w:id="214" w:name="_Toc184313306"/>
      <w:bookmarkEnd w:id="214"/>
      <w:bookmarkStart w:id="215" w:name="_Toc184308041"/>
      <w:bookmarkEnd w:id="215"/>
      <w:bookmarkStart w:id="216" w:name="_Toc184314482"/>
      <w:bookmarkEnd w:id="216"/>
      <w:bookmarkStart w:id="217" w:name="_Toc184314445"/>
      <w:bookmarkEnd w:id="217"/>
      <w:bookmarkStart w:id="218" w:name="_Toc184310284"/>
      <w:bookmarkEnd w:id="218"/>
      <w:bookmarkStart w:id="219" w:name="_Toc184308059"/>
      <w:bookmarkEnd w:id="219"/>
      <w:bookmarkStart w:id="220" w:name="_Toc184314420"/>
      <w:bookmarkEnd w:id="220"/>
      <w:bookmarkStart w:id="221" w:name="_Toc184312075"/>
      <w:bookmarkEnd w:id="221"/>
      <w:bookmarkStart w:id="222" w:name="_Toc184312078"/>
      <w:bookmarkEnd w:id="222"/>
      <w:bookmarkStart w:id="223" w:name="_Toc184312102"/>
      <w:bookmarkEnd w:id="223"/>
      <w:bookmarkStart w:id="224" w:name="_Toc184310324"/>
      <w:bookmarkEnd w:id="224"/>
      <w:bookmarkStart w:id="225" w:name="_Toc184310328"/>
      <w:bookmarkEnd w:id="225"/>
      <w:bookmarkStart w:id="226" w:name="_Toc184308066"/>
      <w:bookmarkEnd w:id="226"/>
      <w:bookmarkStart w:id="227" w:name="_Toc184314432"/>
      <w:bookmarkEnd w:id="227"/>
      <w:bookmarkStart w:id="228" w:name="_Toc184310312"/>
      <w:bookmarkEnd w:id="228"/>
      <w:bookmarkStart w:id="229" w:name="_Toc184314480"/>
      <w:bookmarkEnd w:id="229"/>
      <w:bookmarkStart w:id="230" w:name="_Toc184312074"/>
      <w:bookmarkEnd w:id="230"/>
      <w:bookmarkStart w:id="231" w:name="_Toc184314444"/>
      <w:bookmarkEnd w:id="231"/>
      <w:bookmarkStart w:id="232" w:name="_Toc184312129"/>
      <w:bookmarkEnd w:id="232"/>
      <w:bookmarkStart w:id="233" w:name="_Toc184313238"/>
      <w:bookmarkEnd w:id="233"/>
      <w:bookmarkStart w:id="234" w:name="_Toc184312093"/>
      <w:bookmarkEnd w:id="234"/>
      <w:bookmarkStart w:id="235" w:name="_Toc184310285"/>
      <w:bookmarkEnd w:id="235"/>
      <w:bookmarkStart w:id="236" w:name="_Toc184310319"/>
      <w:bookmarkEnd w:id="236"/>
      <w:bookmarkStart w:id="237" w:name="_Toc184314461"/>
      <w:bookmarkEnd w:id="237"/>
      <w:bookmarkStart w:id="238" w:name="_Toc184313282"/>
      <w:bookmarkEnd w:id="238"/>
      <w:bookmarkStart w:id="239" w:name="_Toc184312111"/>
      <w:bookmarkEnd w:id="239"/>
      <w:bookmarkStart w:id="240" w:name="_Toc184313295"/>
      <w:bookmarkEnd w:id="240"/>
      <w:bookmarkStart w:id="241" w:name="_Toc184312086"/>
      <w:bookmarkEnd w:id="241"/>
      <w:bookmarkStart w:id="242" w:name="_Toc184312104"/>
      <w:bookmarkEnd w:id="242"/>
      <w:bookmarkStart w:id="243" w:name="_Toc184312085"/>
      <w:bookmarkEnd w:id="243"/>
      <w:bookmarkStart w:id="244" w:name="_Toc184314473"/>
      <w:bookmarkEnd w:id="244"/>
      <w:bookmarkStart w:id="245" w:name="_Toc184313244"/>
      <w:bookmarkEnd w:id="245"/>
      <w:bookmarkStart w:id="246" w:name="_Toc184312089"/>
      <w:bookmarkEnd w:id="246"/>
      <w:bookmarkStart w:id="247" w:name="_Toc184313259"/>
      <w:bookmarkEnd w:id="247"/>
      <w:bookmarkStart w:id="248" w:name="_Toc184310318"/>
      <w:bookmarkEnd w:id="248"/>
      <w:bookmarkStart w:id="249" w:name="_Toc184308044"/>
      <w:bookmarkEnd w:id="249"/>
      <w:bookmarkStart w:id="250" w:name="_Toc184312073"/>
      <w:bookmarkEnd w:id="250"/>
      <w:bookmarkStart w:id="251" w:name="_Toc184314431"/>
      <w:bookmarkEnd w:id="251"/>
      <w:bookmarkStart w:id="252" w:name="_Toc184308086"/>
      <w:bookmarkEnd w:id="252"/>
      <w:bookmarkStart w:id="253" w:name="_Toc184310289"/>
      <w:bookmarkEnd w:id="253"/>
      <w:bookmarkStart w:id="254" w:name="_Toc184314479"/>
      <w:bookmarkEnd w:id="254"/>
      <w:bookmarkStart w:id="255" w:name="_Toc184308061"/>
      <w:bookmarkEnd w:id="255"/>
      <w:bookmarkStart w:id="256" w:name="_Toc184312084"/>
      <w:bookmarkEnd w:id="256"/>
      <w:bookmarkStart w:id="257" w:name="_Toc184314417"/>
      <w:bookmarkEnd w:id="257"/>
      <w:bookmarkStart w:id="258" w:name="_Toc184312095"/>
      <w:bookmarkEnd w:id="258"/>
      <w:bookmarkStart w:id="259" w:name="_Toc184314449"/>
      <w:bookmarkEnd w:id="259"/>
      <w:bookmarkStart w:id="260" w:name="_Toc184313294"/>
      <w:bookmarkEnd w:id="260"/>
      <w:bookmarkStart w:id="261" w:name="_Toc184310316"/>
      <w:bookmarkEnd w:id="261"/>
      <w:bookmarkStart w:id="262" w:name="_Toc184310311"/>
      <w:bookmarkEnd w:id="262"/>
      <w:bookmarkStart w:id="263" w:name="_Toc184310279"/>
      <w:bookmarkEnd w:id="263"/>
      <w:bookmarkStart w:id="264" w:name="_Toc184308091"/>
      <w:bookmarkEnd w:id="264"/>
      <w:bookmarkStart w:id="265" w:name="_Toc184310277"/>
      <w:bookmarkEnd w:id="265"/>
      <w:bookmarkStart w:id="266" w:name="_Toc184312138"/>
      <w:bookmarkEnd w:id="266"/>
      <w:bookmarkStart w:id="267" w:name="_Toc184314442"/>
      <w:bookmarkEnd w:id="267"/>
      <w:bookmarkStart w:id="268" w:name="_Toc184310297"/>
      <w:bookmarkEnd w:id="268"/>
      <w:bookmarkStart w:id="269" w:name="_Toc184312081"/>
      <w:bookmarkEnd w:id="269"/>
      <w:bookmarkStart w:id="270" w:name="_Toc184312127"/>
      <w:bookmarkEnd w:id="270"/>
      <w:bookmarkStart w:id="271" w:name="_Toc184314467"/>
      <w:bookmarkEnd w:id="271"/>
      <w:bookmarkStart w:id="272" w:name="_Toc184313261"/>
      <w:bookmarkEnd w:id="272"/>
      <w:bookmarkStart w:id="273" w:name="_Toc184310314"/>
      <w:bookmarkEnd w:id="273"/>
      <w:bookmarkStart w:id="274" w:name="_Toc184312097"/>
      <w:bookmarkEnd w:id="274"/>
      <w:bookmarkStart w:id="275" w:name="_Toc184308071"/>
      <w:bookmarkEnd w:id="275"/>
      <w:bookmarkStart w:id="276" w:name="_Toc184313243"/>
      <w:bookmarkEnd w:id="276"/>
      <w:bookmarkStart w:id="277" w:name="_Toc184314418"/>
      <w:bookmarkEnd w:id="277"/>
      <w:bookmarkStart w:id="278" w:name="_Toc184310291"/>
      <w:bookmarkEnd w:id="278"/>
      <w:bookmarkStart w:id="279" w:name="_Toc184310333"/>
      <w:bookmarkEnd w:id="279"/>
      <w:bookmarkStart w:id="280" w:name="_Toc184308062"/>
      <w:bookmarkEnd w:id="280"/>
      <w:bookmarkStart w:id="281" w:name="_Toc184313254"/>
      <w:bookmarkEnd w:id="281"/>
      <w:bookmarkStart w:id="282" w:name="_Toc184308106"/>
      <w:bookmarkEnd w:id="282"/>
      <w:bookmarkStart w:id="283" w:name="_Toc184308067"/>
      <w:bookmarkEnd w:id="283"/>
      <w:bookmarkStart w:id="284" w:name="_Toc184313246"/>
      <w:bookmarkEnd w:id="284"/>
      <w:bookmarkStart w:id="285" w:name="_Toc184313264"/>
      <w:bookmarkEnd w:id="285"/>
      <w:bookmarkStart w:id="286" w:name="_Toc184313301"/>
      <w:bookmarkEnd w:id="286"/>
      <w:bookmarkStart w:id="287" w:name="_Toc184312092"/>
      <w:bookmarkEnd w:id="287"/>
      <w:bookmarkStart w:id="288" w:name="_Toc184313260"/>
      <w:bookmarkEnd w:id="288"/>
      <w:bookmarkStart w:id="289" w:name="_Toc184314433"/>
      <w:bookmarkEnd w:id="289"/>
      <w:bookmarkStart w:id="290" w:name="_Toc184313266"/>
      <w:bookmarkEnd w:id="290"/>
      <w:bookmarkStart w:id="291" w:name="_Toc184310342"/>
      <w:bookmarkEnd w:id="291"/>
      <w:bookmarkStart w:id="292" w:name="_Toc184310301"/>
      <w:bookmarkEnd w:id="292"/>
      <w:bookmarkStart w:id="293" w:name="_Toc184312071"/>
      <w:bookmarkEnd w:id="293"/>
      <w:bookmarkStart w:id="294" w:name="_Toc184308083"/>
      <w:bookmarkEnd w:id="294"/>
      <w:bookmarkStart w:id="295" w:name="_Toc184310303"/>
      <w:bookmarkEnd w:id="295"/>
      <w:bookmarkStart w:id="296" w:name="_Toc184312106"/>
      <w:bookmarkEnd w:id="296"/>
      <w:bookmarkStart w:id="297" w:name="_Toc184313257"/>
      <w:bookmarkEnd w:id="297"/>
      <w:bookmarkStart w:id="298" w:name="_Toc184310341"/>
      <w:bookmarkEnd w:id="298"/>
      <w:bookmarkStart w:id="299" w:name="_Toc184313239"/>
      <w:bookmarkEnd w:id="299"/>
      <w:bookmarkStart w:id="300" w:name="_Toc184308057"/>
      <w:bookmarkEnd w:id="300"/>
      <w:bookmarkStart w:id="301" w:name="_Toc184313272"/>
      <w:bookmarkEnd w:id="301"/>
      <w:bookmarkStart w:id="302" w:name="_Toc184314463"/>
      <w:bookmarkEnd w:id="302"/>
      <w:bookmarkStart w:id="303" w:name="_Toc184308105"/>
      <w:bookmarkEnd w:id="303"/>
      <w:bookmarkStart w:id="304" w:name="_Toc184314465"/>
      <w:bookmarkEnd w:id="304"/>
      <w:bookmarkStart w:id="305" w:name="_Toc184314440"/>
      <w:bookmarkEnd w:id="305"/>
      <w:bookmarkStart w:id="306" w:name="_Toc184313293"/>
      <w:bookmarkEnd w:id="306"/>
      <w:bookmarkStart w:id="307" w:name="_Toc184308065"/>
      <w:bookmarkEnd w:id="307"/>
      <w:bookmarkStart w:id="308" w:name="_Toc184310336"/>
      <w:bookmarkEnd w:id="308"/>
      <w:bookmarkStart w:id="309" w:name="_Toc184314416"/>
      <w:bookmarkEnd w:id="309"/>
      <w:bookmarkStart w:id="310" w:name="_Toc184310276"/>
      <w:bookmarkEnd w:id="310"/>
      <w:bookmarkStart w:id="311" w:name="_Toc184312120"/>
      <w:bookmarkEnd w:id="311"/>
      <w:bookmarkStart w:id="312" w:name="_Toc184308042"/>
      <w:bookmarkEnd w:id="312"/>
      <w:bookmarkStart w:id="313" w:name="_Toc184312068"/>
      <w:bookmarkEnd w:id="313"/>
      <w:bookmarkStart w:id="314" w:name="_Toc184314425"/>
      <w:bookmarkEnd w:id="314"/>
      <w:bookmarkStart w:id="315" w:name="_Toc184312108"/>
      <w:bookmarkEnd w:id="315"/>
      <w:bookmarkStart w:id="316" w:name="_Toc184312121"/>
      <w:bookmarkEnd w:id="316"/>
      <w:bookmarkStart w:id="317" w:name="_Toc184310326"/>
      <w:bookmarkEnd w:id="317"/>
      <w:bookmarkStart w:id="318" w:name="_Toc184308064"/>
      <w:bookmarkEnd w:id="318"/>
      <w:bookmarkStart w:id="319" w:name="_Toc184312112"/>
      <w:bookmarkEnd w:id="319"/>
      <w:bookmarkStart w:id="320" w:name="_Toc184310274"/>
      <w:bookmarkEnd w:id="320"/>
      <w:bookmarkStart w:id="321" w:name="_Toc184308103"/>
      <w:bookmarkEnd w:id="321"/>
      <w:bookmarkStart w:id="322" w:name="_Toc184314419"/>
      <w:bookmarkEnd w:id="322"/>
      <w:bookmarkStart w:id="323" w:name="_Toc184308048"/>
      <w:bookmarkEnd w:id="323"/>
      <w:bookmarkStart w:id="324" w:name="_Toc184314470"/>
      <w:bookmarkEnd w:id="324"/>
      <w:bookmarkStart w:id="325" w:name="_Toc184310335"/>
      <w:bookmarkEnd w:id="325"/>
      <w:bookmarkStart w:id="326" w:name="_Toc184314434"/>
      <w:bookmarkEnd w:id="326"/>
      <w:bookmarkStart w:id="327" w:name="_Toc184314474"/>
      <w:bookmarkEnd w:id="327"/>
      <w:bookmarkStart w:id="328" w:name="_Toc184308043"/>
      <w:bookmarkEnd w:id="328"/>
      <w:bookmarkStart w:id="329" w:name="_Toc184308055"/>
      <w:bookmarkEnd w:id="329"/>
      <w:bookmarkStart w:id="330" w:name="_Toc184308087"/>
      <w:bookmarkEnd w:id="330"/>
      <w:bookmarkStart w:id="331" w:name="_Toc184314447"/>
      <w:bookmarkEnd w:id="331"/>
      <w:bookmarkStart w:id="332" w:name="_Toc184313308"/>
      <w:bookmarkEnd w:id="332"/>
      <w:bookmarkStart w:id="333" w:name="_Toc184314411"/>
      <w:bookmarkEnd w:id="333"/>
      <w:bookmarkStart w:id="334" w:name="_Toc184313267"/>
      <w:bookmarkEnd w:id="334"/>
      <w:bookmarkStart w:id="335" w:name="_Toc184310290"/>
      <w:bookmarkEnd w:id="335"/>
      <w:bookmarkStart w:id="336" w:name="_Toc184313245"/>
      <w:bookmarkEnd w:id="336"/>
      <w:bookmarkStart w:id="337" w:name="_Toc184308093"/>
      <w:bookmarkEnd w:id="337"/>
      <w:bookmarkStart w:id="338" w:name="_Toc184308094"/>
      <w:bookmarkEnd w:id="338"/>
      <w:bookmarkStart w:id="339" w:name="_Toc184310310"/>
      <w:bookmarkEnd w:id="339"/>
      <w:bookmarkStart w:id="340" w:name="_Toc184310344"/>
      <w:bookmarkEnd w:id="340"/>
      <w:bookmarkStart w:id="341" w:name="_Toc184310281"/>
      <w:bookmarkEnd w:id="341"/>
      <w:bookmarkStart w:id="342" w:name="_Toc184314437"/>
      <w:bookmarkEnd w:id="342"/>
      <w:bookmarkStart w:id="343" w:name="_Toc184314424"/>
      <w:bookmarkEnd w:id="343"/>
      <w:bookmarkStart w:id="344" w:name="_Toc184313286"/>
      <w:bookmarkEnd w:id="344"/>
      <w:bookmarkStart w:id="345" w:name="_Toc184308047"/>
      <w:bookmarkEnd w:id="345"/>
      <w:bookmarkStart w:id="346" w:name="_Toc184312103"/>
      <w:bookmarkEnd w:id="346"/>
      <w:bookmarkStart w:id="347" w:name="_Toc184308068"/>
      <w:bookmarkEnd w:id="347"/>
      <w:bookmarkStart w:id="348" w:name="_Toc184310340"/>
      <w:bookmarkEnd w:id="348"/>
      <w:bookmarkStart w:id="349" w:name="_Toc184312133"/>
      <w:bookmarkEnd w:id="349"/>
      <w:bookmarkStart w:id="350" w:name="_Toc184313289"/>
      <w:bookmarkEnd w:id="350"/>
      <w:bookmarkStart w:id="351" w:name="_Toc184314427"/>
      <w:bookmarkEnd w:id="351"/>
      <w:bookmarkStart w:id="352" w:name="_Toc184310327"/>
      <w:bookmarkEnd w:id="352"/>
      <w:bookmarkStart w:id="353" w:name="_Toc184312118"/>
      <w:bookmarkEnd w:id="353"/>
      <w:bookmarkStart w:id="354" w:name="_Toc184314456"/>
      <w:bookmarkEnd w:id="354"/>
      <w:bookmarkStart w:id="355" w:name="_Toc184314469"/>
      <w:bookmarkEnd w:id="355"/>
      <w:bookmarkStart w:id="356" w:name="_Toc184308036"/>
      <w:bookmarkEnd w:id="356"/>
      <w:bookmarkStart w:id="357" w:name="_Toc184310306"/>
      <w:bookmarkEnd w:id="357"/>
      <w:bookmarkStart w:id="358" w:name="_Toc184314413"/>
      <w:bookmarkEnd w:id="358"/>
      <w:bookmarkStart w:id="359" w:name="_Toc184313288"/>
      <w:bookmarkEnd w:id="359"/>
      <w:bookmarkStart w:id="360" w:name="_Toc184308101"/>
      <w:bookmarkEnd w:id="360"/>
      <w:bookmarkStart w:id="361" w:name="_Toc184313250"/>
      <w:bookmarkEnd w:id="361"/>
      <w:bookmarkStart w:id="362" w:name="_Toc184313278"/>
      <w:bookmarkEnd w:id="362"/>
      <w:bookmarkStart w:id="363" w:name="_Toc184312113"/>
      <w:bookmarkEnd w:id="363"/>
      <w:bookmarkStart w:id="364" w:name="_Toc184313242"/>
      <w:bookmarkEnd w:id="364"/>
      <w:bookmarkStart w:id="365" w:name="_Toc184308058"/>
      <w:bookmarkEnd w:id="365"/>
      <w:bookmarkStart w:id="366" w:name="_Toc184308074"/>
      <w:bookmarkEnd w:id="366"/>
      <w:bookmarkStart w:id="367" w:name="_Toc184310298"/>
      <w:bookmarkEnd w:id="367"/>
      <w:bookmarkStart w:id="368" w:name="_Toc184308092"/>
      <w:bookmarkEnd w:id="368"/>
      <w:bookmarkStart w:id="369" w:name="_Toc184313297"/>
      <w:bookmarkEnd w:id="369"/>
      <w:bookmarkStart w:id="370" w:name="_Toc184312131"/>
      <w:bookmarkEnd w:id="370"/>
      <w:bookmarkStart w:id="371" w:name="_Toc184312134"/>
      <w:bookmarkEnd w:id="371"/>
      <w:bookmarkStart w:id="372" w:name="_Toc184313270"/>
      <w:bookmarkEnd w:id="372"/>
      <w:bookmarkStart w:id="373" w:name="_Toc184313285"/>
      <w:bookmarkEnd w:id="373"/>
      <w:bookmarkStart w:id="374" w:name="_Toc184308095"/>
      <w:bookmarkEnd w:id="374"/>
      <w:bookmarkStart w:id="375" w:name="_Toc184313279"/>
      <w:bookmarkEnd w:id="375"/>
      <w:bookmarkStart w:id="376" w:name="_Toc184313296"/>
      <w:bookmarkEnd w:id="376"/>
      <w:bookmarkStart w:id="377" w:name="_Toc184308080"/>
      <w:bookmarkEnd w:id="377"/>
      <w:bookmarkStart w:id="378" w:name="_Toc184312109"/>
      <w:bookmarkEnd w:id="378"/>
      <w:bookmarkStart w:id="379" w:name="_Toc184314476"/>
      <w:bookmarkEnd w:id="379"/>
      <w:bookmarkStart w:id="380" w:name="_Toc184308097"/>
      <w:bookmarkEnd w:id="380"/>
      <w:bookmarkStart w:id="381" w:name="_Toc184312125"/>
      <w:bookmarkEnd w:id="381"/>
      <w:bookmarkStart w:id="382" w:name="_Toc184312072"/>
      <w:bookmarkEnd w:id="382"/>
      <w:bookmarkStart w:id="383" w:name="_Toc184312077"/>
      <w:bookmarkEnd w:id="383"/>
      <w:bookmarkStart w:id="384" w:name="_Toc184308104"/>
      <w:bookmarkEnd w:id="384"/>
      <w:bookmarkStart w:id="385" w:name="_Toc184308099"/>
      <w:bookmarkEnd w:id="385"/>
      <w:bookmarkStart w:id="386" w:name="_Toc184312082"/>
      <w:bookmarkEnd w:id="386"/>
      <w:bookmarkStart w:id="387" w:name="_Toc184313300"/>
      <w:bookmarkEnd w:id="387"/>
      <w:bookmarkStart w:id="388" w:name="_Toc184313299"/>
      <w:bookmarkEnd w:id="388"/>
      <w:bookmarkStart w:id="389" w:name="_Toc184310331"/>
      <w:bookmarkEnd w:id="389"/>
      <w:bookmarkStart w:id="390" w:name="_Toc184312091"/>
      <w:bookmarkEnd w:id="390"/>
      <w:bookmarkStart w:id="391" w:name="_Toc184313248"/>
      <w:bookmarkEnd w:id="391"/>
      <w:bookmarkStart w:id="392" w:name="_Toc184308038"/>
      <w:bookmarkEnd w:id="392"/>
      <w:bookmarkStart w:id="393" w:name="_Toc184314457"/>
      <w:bookmarkEnd w:id="393"/>
      <w:bookmarkStart w:id="394" w:name="_Toc184308089"/>
      <w:bookmarkEnd w:id="394"/>
      <w:bookmarkStart w:id="395" w:name="_Toc184314468"/>
      <w:bookmarkEnd w:id="395"/>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075"/>
        <w:gridCol w:w="57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0" w:type="auto"/>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序号</w:t>
            </w:r>
          </w:p>
        </w:tc>
        <w:tc>
          <w:tcPr>
            <w:tcW w:w="0" w:type="auto"/>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评标标准</w:t>
            </w:r>
          </w:p>
        </w:tc>
        <w:tc>
          <w:tcPr>
            <w:tcW w:w="576" w:type="dxa"/>
            <w:vAlign w:val="center"/>
          </w:tcPr>
          <w:p>
            <w:pPr>
              <w:spacing w:line="360" w:lineRule="auto"/>
              <w:outlineLvl w:val="0"/>
              <w:rPr>
                <w:rFonts w:ascii="宋体" w:hAnsi="宋体" w:cs="宋体"/>
                <w:bCs/>
                <w:color w:val="auto"/>
                <w:sz w:val="24"/>
                <w:highlight w:val="none"/>
              </w:rPr>
            </w:pPr>
            <w:r>
              <w:rPr>
                <w:rFonts w:hint="eastAsia" w:ascii="宋体" w:hAnsi="宋体" w:cs="宋体"/>
                <w:bCs/>
                <w:color w:val="auto"/>
                <w:sz w:val="24"/>
                <w:highlight w:val="none"/>
              </w:rPr>
              <w:t>权重</w:t>
            </w:r>
          </w:p>
        </w:tc>
        <w:tc>
          <w:tcPr>
            <w:tcW w:w="1179" w:type="dxa"/>
          </w:tcPr>
          <w:p>
            <w:pPr>
              <w:spacing w:line="360" w:lineRule="auto"/>
              <w:outlineLvl w:val="0"/>
              <w:rPr>
                <w:rFonts w:ascii="宋体" w:hAnsi="宋体" w:cs="宋体"/>
                <w:bCs/>
                <w:color w:val="auto"/>
                <w:sz w:val="24"/>
                <w:highlight w:val="none"/>
              </w:rPr>
            </w:pPr>
            <w:r>
              <w:rPr>
                <w:rFonts w:hint="eastAsia" w:ascii="宋体" w:hAnsi="宋体" w:cs="宋体"/>
                <w:bCs/>
                <w:color w:val="auto"/>
                <w:sz w:val="24"/>
                <w:highlight w:val="none"/>
              </w:rPr>
              <w:t>投标文件中评标标准相应的商务技术资料目录</w:t>
            </w:r>
            <w:r>
              <w:rPr>
                <w:rFonts w:hint="eastAsia" w:ascii="宋体" w:hAnsi="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0" w:type="auto"/>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w:t>
            </w:r>
          </w:p>
        </w:tc>
        <w:tc>
          <w:tcPr>
            <w:tcW w:w="0" w:type="auto"/>
            <w:vAlign w:val="center"/>
          </w:tcPr>
          <w:p>
            <w:pPr>
              <w:spacing w:line="360" w:lineRule="auto"/>
              <w:outlineLvl w:val="0"/>
              <w:rPr>
                <w:rFonts w:ascii="宋体" w:hAnsi="宋体" w:cs="宋体"/>
                <w:color w:val="auto"/>
                <w:sz w:val="24"/>
                <w:highlight w:val="none"/>
              </w:rPr>
            </w:pPr>
            <w:r>
              <w:rPr>
                <w:rFonts w:hint="eastAsia" w:ascii="宋体" w:hAnsi="宋体" w:cs="宋体"/>
                <w:color w:val="auto"/>
                <w:kern w:val="0"/>
                <w:sz w:val="24"/>
                <w:highlight w:val="none"/>
              </w:rPr>
              <w:t>业绩案例</w:t>
            </w:r>
            <w:r>
              <w:rPr>
                <w:rFonts w:hint="eastAsia" w:ascii="宋体" w:hAnsi="宋体" w:cs="宋体"/>
                <w:color w:val="auto"/>
                <w:kern w:val="0"/>
                <w:sz w:val="24"/>
                <w:highlight w:val="none"/>
                <w:lang w:eastAsia="zh-CN"/>
              </w:rPr>
              <w:t>：</w:t>
            </w:r>
            <w:r>
              <w:rPr>
                <w:rFonts w:hint="eastAsia" w:ascii="宋体" w:hAnsi="宋体" w:cs="宋体"/>
                <w:color w:val="auto"/>
                <w:sz w:val="24"/>
                <w:highlight w:val="none"/>
              </w:rPr>
              <w:t>截止投标时间近三年，投标人承担类似项目实施的成功经验情况。结合已完成的项目案例和用户</w:t>
            </w:r>
            <w:r>
              <w:rPr>
                <w:rFonts w:hint="eastAsia" w:ascii="宋体" w:hAnsi="宋体" w:cs="宋体"/>
                <w:color w:val="auto"/>
                <w:sz w:val="24"/>
                <w:highlight w:val="none"/>
                <w:lang w:eastAsia="zh-CN"/>
              </w:rPr>
              <w:t>反映</w:t>
            </w:r>
            <w:r>
              <w:rPr>
                <w:rFonts w:hint="eastAsia" w:ascii="宋体" w:hAnsi="宋体" w:cs="宋体"/>
                <w:color w:val="auto"/>
                <w:sz w:val="24"/>
                <w:highlight w:val="none"/>
              </w:rPr>
              <w:t>情况，依照投标人提供的</w:t>
            </w:r>
            <w:r>
              <w:rPr>
                <w:rFonts w:hint="eastAsia" w:ascii="宋体" w:hAnsi="宋体" w:cs="宋体"/>
                <w:b/>
                <w:bCs/>
                <w:color w:val="auto"/>
                <w:sz w:val="24"/>
                <w:highlight w:val="none"/>
              </w:rPr>
              <w:t>合同和验收报告</w:t>
            </w:r>
            <w:r>
              <w:rPr>
                <w:rFonts w:hint="eastAsia" w:ascii="宋体" w:hAnsi="宋体" w:cs="宋体"/>
                <w:color w:val="auto"/>
                <w:sz w:val="24"/>
                <w:highlight w:val="none"/>
              </w:rPr>
              <w:t>。每个案例（以用户验收报告时间为准）得1分,最高得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b/>
                <w:bCs/>
                <w:color w:val="auto"/>
                <w:sz w:val="24"/>
                <w:highlight w:val="none"/>
              </w:rPr>
              <w:t>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576" w:type="dxa"/>
            <w:vAlign w:val="center"/>
          </w:tcPr>
          <w:p>
            <w:pPr>
              <w:jc w:val="center"/>
              <w:rPr>
                <w:rFonts w:ascii="宋体" w:hAnsi="宋体" w:cs="宋体"/>
                <w:color w:val="auto"/>
                <w:highlight w:val="none"/>
              </w:rPr>
            </w:pPr>
          </w:p>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1179" w:type="dxa"/>
            <w:vAlign w:val="center"/>
          </w:tcPr>
          <w:p>
            <w:p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一</w:t>
            </w:r>
            <w:r>
              <w:rPr>
                <w:rFonts w:hint="eastAsia" w:ascii="宋体" w:hAnsi="宋体" w:cs="宋体"/>
                <w:b/>
                <w:bCs/>
                <w:color w:val="auto"/>
                <w:sz w:val="24"/>
                <w:highlight w:val="none"/>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0" w:type="auto"/>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sz w:val="24"/>
                <w:highlight w:val="none"/>
                <w:lang w:val="en-US"/>
              </w:rPr>
              <w:t>2</w:t>
            </w:r>
          </w:p>
        </w:tc>
        <w:tc>
          <w:tcPr>
            <w:tcW w:w="0" w:type="auto"/>
            <w:vAlign w:val="center"/>
          </w:tcPr>
          <w:p>
            <w:pPr>
              <w:spacing w:line="360" w:lineRule="auto"/>
              <w:outlineLvl w:val="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pacing w:line="360" w:lineRule="auto"/>
              <w:outlineLvl w:val="0"/>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576"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sz w:val="24"/>
                <w:highlight w:val="none"/>
                <w:lang w:val="en-US" w:eastAsia="zh-CN"/>
              </w:rPr>
              <w:t>2</w:t>
            </w:r>
          </w:p>
        </w:tc>
        <w:tc>
          <w:tcPr>
            <w:tcW w:w="1179" w:type="dxa"/>
            <w:vAlign w:val="center"/>
          </w:tcPr>
          <w:p>
            <w:pPr>
              <w:spacing w:line="360" w:lineRule="auto"/>
              <w:jc w:val="center"/>
              <w:outlineLvl w:val="0"/>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sz w:val="24"/>
                <w:highlight w:val="none"/>
                <w:lang w:eastAsia="zh-CN"/>
              </w:rPr>
              <w:t>（二）节能环保产品标志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456" w:type="dxa"/>
            <w:vMerge w:val="restart"/>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2</w:t>
            </w:r>
          </w:p>
        </w:tc>
        <w:tc>
          <w:tcPr>
            <w:tcW w:w="0" w:type="auto"/>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投标人对方案总体设计、设备选型、系统的体系架构、功能模块、实现思路和关键技术等与业主单位业务需求相匹配，方案须体现跨校区监控互访要求: 通过现有城域网将校区监控系统互联，做到相关管理人员能在任意校区任意办公室内，以无线及有线方式访问对端监控平台。特别注意监控数据在任何时间都不得上传至公网或云端，并且由于信息安全原因，在学校城域网边界不得以任何防火墙端口映射/IP映射等方式开放监控数据服务。提供监控数据互联方案及方案测试截图(包含数据互访测试，防火墙无映射截图，端口扫描无应答截图)。</w:t>
            </w:r>
            <w:r>
              <w:rPr>
                <w:rFonts w:hint="eastAsia" w:ascii="宋体" w:hAnsi="宋体" w:cs="宋体"/>
                <w:color w:val="auto"/>
                <w:sz w:val="24"/>
                <w:highlight w:val="none"/>
                <w:lang w:eastAsia="zh-CN"/>
              </w:rPr>
              <w:t>提供的方案充分满足项目需求的得4分；部分满足项目需求的得2分，不满足的得0分。</w:t>
            </w:r>
          </w:p>
        </w:tc>
        <w:tc>
          <w:tcPr>
            <w:tcW w:w="576"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4</w:t>
            </w:r>
          </w:p>
        </w:tc>
        <w:tc>
          <w:tcPr>
            <w:tcW w:w="1179" w:type="dxa"/>
            <w:vMerge w:val="restart"/>
            <w:vAlign w:val="center"/>
          </w:tcPr>
          <w:p>
            <w:pPr>
              <w:numPr>
                <w:ilvl w:val="0"/>
                <w:numId w:val="8"/>
              </w:num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456" w:type="dxa"/>
            <w:vMerge w:val="continue"/>
            <w:vAlign w:val="center"/>
          </w:tcPr>
          <w:p>
            <w:pPr>
              <w:spacing w:line="360" w:lineRule="auto"/>
              <w:jc w:val="center"/>
              <w:outlineLvl w:val="0"/>
              <w:rPr>
                <w:rFonts w:hint="eastAsia" w:ascii="宋体" w:hAnsi="宋体" w:cs="宋体"/>
                <w:color w:val="auto"/>
                <w:sz w:val="24"/>
                <w:highlight w:val="none"/>
              </w:rPr>
            </w:pPr>
          </w:p>
        </w:tc>
        <w:tc>
          <w:tcPr>
            <w:tcW w:w="0" w:type="auto"/>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为保证设备的兼容性和稳定性，本次监控平台升级扩容，需要实现对原有平台的数据迁移，实现平台的双机热备等功能，投标人提供的磁盘阵列产品和智慧校园综合管理平台需要实现无缝对接学校原有设备（摄像机、解码器、大屏、磁盘阵列、平台服务器等）</w:t>
            </w:r>
            <w:r>
              <w:rPr>
                <w:rFonts w:hint="eastAsia" w:ascii="宋体" w:hAnsi="宋体" w:cs="宋体"/>
                <w:color w:val="auto"/>
                <w:sz w:val="24"/>
                <w:highlight w:val="none"/>
                <w:lang w:eastAsia="zh-CN"/>
              </w:rPr>
              <w:t>，</w:t>
            </w:r>
            <w:r>
              <w:rPr>
                <w:rFonts w:hint="eastAsia" w:ascii="宋体" w:hAnsi="宋体" w:cs="宋体"/>
                <w:color w:val="auto"/>
                <w:sz w:val="24"/>
                <w:highlight w:val="none"/>
              </w:rPr>
              <w:t>提供</w:t>
            </w:r>
            <w:r>
              <w:rPr>
                <w:rFonts w:hint="eastAsia" w:ascii="宋体" w:hAnsi="宋体" w:cs="宋体"/>
                <w:color w:val="auto"/>
                <w:sz w:val="24"/>
                <w:highlight w:val="none"/>
                <w:lang w:eastAsia="zh-CN"/>
              </w:rPr>
              <w:t>无缝</w:t>
            </w:r>
            <w:r>
              <w:rPr>
                <w:rFonts w:hint="eastAsia" w:ascii="宋体" w:hAnsi="宋体" w:cs="宋体"/>
                <w:color w:val="auto"/>
                <w:sz w:val="24"/>
                <w:highlight w:val="none"/>
              </w:rPr>
              <w:t>对接及热备方案</w:t>
            </w:r>
            <w:r>
              <w:rPr>
                <w:rFonts w:hint="eastAsia" w:ascii="宋体" w:hAnsi="宋体" w:cs="宋体"/>
                <w:color w:val="auto"/>
                <w:sz w:val="24"/>
                <w:highlight w:val="none"/>
                <w:lang w:eastAsia="zh-CN"/>
              </w:rPr>
              <w:t>，根据对接及热备方案的衔接性、稳定性、完整性，方案无缝适配的得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eastAsia="zh-CN"/>
              </w:rPr>
              <w:t>分，方案的衔接性、稳定性、完整性，适配度不足得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分，方案的衔接性、稳定性、完整性，适配度整体不满足项目需求的得0分。</w:t>
            </w:r>
          </w:p>
        </w:tc>
        <w:tc>
          <w:tcPr>
            <w:tcW w:w="57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4</w:t>
            </w:r>
          </w:p>
        </w:tc>
        <w:tc>
          <w:tcPr>
            <w:tcW w:w="1179" w:type="dxa"/>
            <w:vMerge w:val="continue"/>
            <w:vAlign w:val="center"/>
          </w:tcPr>
          <w:p>
            <w:pPr>
              <w:numPr>
                <w:ilvl w:val="0"/>
                <w:numId w:val="8"/>
              </w:numPr>
              <w:spacing w:line="360" w:lineRule="auto"/>
              <w:jc w:val="center"/>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0" w:type="auto"/>
            <w:vMerge w:val="restart"/>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3</w:t>
            </w:r>
          </w:p>
        </w:tc>
        <w:tc>
          <w:tcPr>
            <w:tcW w:w="7075" w:type="dxa"/>
            <w:vAlign w:val="center"/>
          </w:tcPr>
          <w:p>
            <w:pPr>
              <w:pStyle w:val="3"/>
              <w:ind w:left="0" w:leftChars="0" w:firstLine="0" w:firstLineChars="0"/>
              <w:rPr>
                <w:rFonts w:hint="eastAsia"/>
                <w:highlight w:val="none"/>
              </w:rPr>
            </w:pPr>
            <w:r>
              <w:rPr>
                <w:rFonts w:hint="eastAsia"/>
                <w:highlight w:val="none"/>
              </w:rPr>
              <w:t>投标产品所有技术指标性能、参数等满足招标文件第三部分“</w:t>
            </w:r>
            <w:r>
              <w:rPr>
                <w:rFonts w:hint="eastAsia"/>
                <w:highlight w:val="none"/>
                <w:lang w:eastAsia="zh-CN"/>
              </w:rPr>
              <w:t>三</w:t>
            </w:r>
            <w:r>
              <w:rPr>
                <w:rFonts w:hint="eastAsia"/>
                <w:highlight w:val="none"/>
              </w:rPr>
              <w:t>、设备采购清单及参数”中技术要求的，得</w:t>
            </w:r>
            <w:r>
              <w:rPr>
                <w:rFonts w:hint="eastAsia"/>
                <w:highlight w:val="none"/>
                <w:lang w:val="en-US" w:eastAsia="zh-CN"/>
              </w:rPr>
              <w:t>32</w:t>
            </w:r>
            <w:r>
              <w:rPr>
                <w:rFonts w:hint="eastAsia"/>
                <w:highlight w:val="none"/>
              </w:rPr>
              <w:t>分；</w:t>
            </w:r>
          </w:p>
          <w:p>
            <w:pPr>
              <w:pStyle w:val="3"/>
              <w:ind w:left="0" w:leftChars="0" w:firstLine="0" w:firstLineChars="0"/>
              <w:rPr>
                <w:rFonts w:hint="eastAsia"/>
                <w:highlight w:val="none"/>
              </w:rPr>
            </w:pPr>
            <w:r>
              <w:rPr>
                <w:rFonts w:hint="eastAsia"/>
                <w:highlight w:val="none"/>
              </w:rPr>
              <w:t>标“▲”符号的属于实质性要求，如负偏离或未响应均作无效标处理；</w:t>
            </w:r>
          </w:p>
          <w:p>
            <w:pPr>
              <w:pStyle w:val="3"/>
              <w:ind w:left="0" w:leftChars="0" w:firstLine="0" w:firstLineChars="0"/>
              <w:rPr>
                <w:rFonts w:hint="eastAsia"/>
                <w:highlight w:val="none"/>
              </w:rPr>
            </w:pPr>
            <w:r>
              <w:rPr>
                <w:rFonts w:hint="eastAsia"/>
                <w:highlight w:val="none"/>
              </w:rPr>
              <w:t>标有“★”符号的属于重要条款，负偏离或未响应的每项扣2分，扣完为止；非实质性条款且不是重要条款，负偏离或未响应的每项扣1分，扣完为止。</w:t>
            </w:r>
          </w:p>
          <w:p>
            <w:pPr>
              <w:pStyle w:val="3"/>
              <w:ind w:left="0" w:leftChars="0" w:firstLine="0" w:firstLineChars="0"/>
              <w:rPr>
                <w:highlight w:val="none"/>
              </w:rPr>
            </w:pPr>
            <w:r>
              <w:rPr>
                <w:rFonts w:hint="eastAsia"/>
                <w:b/>
                <w:bCs/>
                <w:highlight w:val="none"/>
              </w:rPr>
              <w:t>（要求提供检测报告或相关证明材料未提供</w:t>
            </w:r>
            <w:r>
              <w:rPr>
                <w:rFonts w:hint="eastAsia"/>
                <w:b/>
                <w:bCs/>
                <w:highlight w:val="none"/>
                <w:lang w:eastAsia="zh-CN"/>
              </w:rPr>
              <w:t>或缺少的均</w:t>
            </w:r>
            <w:r>
              <w:rPr>
                <w:rFonts w:hint="eastAsia"/>
                <w:b/>
                <w:bCs/>
                <w:highlight w:val="none"/>
              </w:rPr>
              <w:t>视为负偏离）</w:t>
            </w:r>
          </w:p>
        </w:tc>
        <w:tc>
          <w:tcPr>
            <w:tcW w:w="576"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32</w:t>
            </w:r>
          </w:p>
        </w:tc>
        <w:tc>
          <w:tcPr>
            <w:tcW w:w="1179" w:type="dxa"/>
            <w:vMerge w:val="restart"/>
            <w:vAlign w:val="center"/>
          </w:tcPr>
          <w:p>
            <w:p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三</w:t>
            </w:r>
            <w:r>
              <w:rPr>
                <w:rFonts w:hint="eastAsia" w:ascii="宋体" w:hAnsi="宋体" w:cs="宋体"/>
                <w:b/>
                <w:bCs/>
                <w:color w:val="auto"/>
                <w:sz w:val="24"/>
                <w:highlight w:val="none"/>
              </w:rPr>
              <w:t>）技术要求响应情况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0" w:type="auto"/>
            <w:vMerge w:val="continue"/>
            <w:vAlign w:val="center"/>
          </w:tcPr>
          <w:p>
            <w:pPr>
              <w:pStyle w:val="3"/>
              <w:ind w:left="0" w:leftChars="0" w:firstLine="0" w:firstLineChars="0"/>
              <w:rPr>
                <w:highlight w:val="none"/>
              </w:rPr>
            </w:pPr>
          </w:p>
        </w:tc>
        <w:tc>
          <w:tcPr>
            <w:tcW w:w="0" w:type="auto"/>
            <w:vAlign w:val="center"/>
          </w:tcPr>
          <w:p>
            <w:pPr>
              <w:pStyle w:val="3"/>
              <w:spacing w:line="360" w:lineRule="auto"/>
              <w:ind w:left="0" w:leftChars="0" w:firstLine="0" w:firstLineChars="0"/>
              <w:rPr>
                <w:rFonts w:hint="eastAsia"/>
                <w:highlight w:val="none"/>
              </w:rPr>
            </w:pPr>
            <w:r>
              <w:rPr>
                <w:rFonts w:hint="eastAsia"/>
                <w:highlight w:val="none"/>
              </w:rPr>
              <w:t>200万枪型网络摄像机、离岗检测摄像机、雷达联动摄像机、48盘位磁盘阵列和原有监控平台兼容</w:t>
            </w:r>
            <w:r>
              <w:rPr>
                <w:rFonts w:hint="eastAsia"/>
                <w:highlight w:val="none"/>
                <w:lang w:eastAsia="zh-CN"/>
              </w:rPr>
              <w:t>、</w:t>
            </w:r>
            <w:r>
              <w:rPr>
                <w:rFonts w:hint="eastAsia"/>
                <w:highlight w:val="none"/>
              </w:rPr>
              <w:t>对设备的无缝接入</w:t>
            </w:r>
            <w:r>
              <w:rPr>
                <w:rFonts w:hint="eastAsia"/>
                <w:highlight w:val="none"/>
                <w:lang w:eastAsia="zh-CN"/>
              </w:rPr>
              <w:t>情况</w:t>
            </w:r>
            <w:r>
              <w:rPr>
                <w:rFonts w:hint="eastAsia"/>
                <w:highlight w:val="none"/>
              </w:rPr>
              <w:t>，提供相关证明材料，</w:t>
            </w:r>
            <w:r>
              <w:rPr>
                <w:rFonts w:hint="eastAsia"/>
                <w:highlight w:val="none"/>
                <w:lang w:eastAsia="zh-CN"/>
              </w:rPr>
              <w:t>满足一项的</w:t>
            </w:r>
            <w:r>
              <w:rPr>
                <w:rFonts w:hint="default"/>
                <w:highlight w:val="none"/>
                <w:lang w:val="en-US" w:eastAsia="zh-CN"/>
              </w:rPr>
              <w:t>1</w:t>
            </w:r>
            <w:r>
              <w:rPr>
                <w:rFonts w:hint="eastAsia"/>
                <w:highlight w:val="none"/>
                <w:lang w:val="en-US" w:eastAsia="zh-CN"/>
              </w:rPr>
              <w:t>分，最高得</w:t>
            </w:r>
            <w:r>
              <w:rPr>
                <w:rFonts w:hint="default"/>
                <w:highlight w:val="none"/>
                <w:lang w:val="en-US" w:eastAsia="zh-CN"/>
              </w:rPr>
              <w:t>4</w:t>
            </w:r>
            <w:r>
              <w:rPr>
                <w:rFonts w:hint="eastAsia"/>
                <w:highlight w:val="none"/>
                <w:lang w:val="en-US" w:eastAsia="zh-CN"/>
              </w:rPr>
              <w:t>分，</w:t>
            </w:r>
            <w:r>
              <w:rPr>
                <w:rFonts w:hint="eastAsia"/>
                <w:highlight w:val="none"/>
              </w:rPr>
              <w:t>不满足</w:t>
            </w:r>
            <w:r>
              <w:rPr>
                <w:rFonts w:hint="eastAsia"/>
                <w:highlight w:val="none"/>
                <w:lang w:eastAsia="zh-CN"/>
              </w:rPr>
              <w:t>不得</w:t>
            </w:r>
            <w:r>
              <w:rPr>
                <w:rFonts w:hint="eastAsia"/>
                <w:highlight w:val="none"/>
              </w:rPr>
              <w:t>分。</w:t>
            </w:r>
          </w:p>
        </w:tc>
        <w:tc>
          <w:tcPr>
            <w:tcW w:w="576" w:type="dxa"/>
            <w:vAlign w:val="center"/>
          </w:tcPr>
          <w:p>
            <w:pPr>
              <w:pStyle w:val="3"/>
              <w:ind w:left="0" w:leftChars="0" w:firstLine="0" w:firstLineChars="0"/>
              <w:jc w:val="center"/>
              <w:rPr>
                <w:rFonts w:hint="default"/>
                <w:highlight w:val="none"/>
                <w:lang w:val="en-US"/>
              </w:rPr>
            </w:pPr>
            <w:r>
              <w:rPr>
                <w:rFonts w:hint="default"/>
                <w:highlight w:val="none"/>
                <w:lang w:val="en-US"/>
              </w:rPr>
              <w:t>4</w:t>
            </w:r>
          </w:p>
        </w:tc>
        <w:tc>
          <w:tcPr>
            <w:tcW w:w="1179" w:type="dxa"/>
            <w:vMerge w:val="continue"/>
            <w:vAlign w:val="center"/>
          </w:tcPr>
          <w:p>
            <w:pPr>
              <w:pStyle w:val="3"/>
              <w:ind w:left="0" w:leftChars="0" w:firstLine="0" w:firstLineChars="0"/>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56"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0" w:type="auto"/>
            <w:vAlign w:val="center"/>
          </w:tcPr>
          <w:p>
            <w:pPr>
              <w:spacing w:line="360" w:lineRule="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项目实施方案：投标人提供科学、合理、</w:t>
            </w:r>
            <w:r>
              <w:rPr>
                <w:rFonts w:hint="eastAsia" w:ascii="宋体" w:hAnsi="宋体" w:cs="宋体"/>
                <w:color w:val="auto"/>
                <w:sz w:val="24"/>
                <w:highlight w:val="none"/>
                <w:lang w:eastAsia="zh-CN"/>
              </w:rPr>
              <w:t>可操作的</w:t>
            </w:r>
            <w:r>
              <w:rPr>
                <w:rFonts w:hint="eastAsia" w:ascii="宋体" w:hAnsi="宋体" w:cs="宋体"/>
                <w:color w:val="auto"/>
                <w:sz w:val="24"/>
                <w:highlight w:val="none"/>
              </w:rPr>
              <w:t>具体项目整体实施方案，包括①项目实施计划进度②项目实施保障措施③项目实施培训方案④项目验收方案</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eastAsia="zh-CN"/>
              </w:rPr>
              <w:t>分，未提供或不合理的不得分。</w:t>
            </w:r>
          </w:p>
        </w:tc>
        <w:tc>
          <w:tcPr>
            <w:tcW w:w="57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179" w:type="dxa"/>
            <w:vAlign w:val="center"/>
          </w:tcPr>
          <w:p>
            <w:pPr>
              <w:spacing w:line="360" w:lineRule="auto"/>
              <w:jc w:val="center"/>
              <w:outlineLvl w:val="0"/>
              <w:rPr>
                <w:rFonts w:hint="eastAsia"/>
                <w:b/>
                <w:bCs/>
                <w:color w:val="auto"/>
                <w:highlight w:val="none"/>
                <w:lang w:val="en-US" w:eastAsia="zh-CN"/>
              </w:rPr>
            </w:pPr>
            <w:r>
              <w:rPr>
                <w:rFonts w:hint="eastAsia"/>
                <w:b/>
                <w:bCs/>
                <w:color w:val="auto"/>
                <w:sz w:val="24"/>
                <w:szCs w:val="24"/>
                <w:highlight w:val="none"/>
              </w:rPr>
              <w:t>（</w:t>
            </w:r>
            <w:r>
              <w:rPr>
                <w:rFonts w:hint="eastAsia"/>
                <w:b/>
                <w:bCs/>
                <w:color w:val="auto"/>
                <w:sz w:val="24"/>
                <w:szCs w:val="24"/>
                <w:highlight w:val="none"/>
                <w:lang w:eastAsia="zh-CN"/>
              </w:rPr>
              <w:t>四</w:t>
            </w:r>
            <w:r>
              <w:rPr>
                <w:rFonts w:hint="eastAsia"/>
                <w:b/>
                <w:bCs/>
                <w:color w:val="auto"/>
                <w:sz w:val="24"/>
                <w:szCs w:val="24"/>
                <w:highlight w:val="none"/>
              </w:rPr>
              <w:t>）</w:t>
            </w:r>
            <w:r>
              <w:rPr>
                <w:rFonts w:hint="eastAsia"/>
                <w:b/>
                <w:bCs/>
                <w:color w:val="auto"/>
                <w:sz w:val="24"/>
                <w:szCs w:val="24"/>
                <w:highlight w:val="none"/>
                <w:lang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56"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0" w:type="auto"/>
            <w:vAlign w:val="center"/>
          </w:tcPr>
          <w:p>
            <w:pPr>
              <w:spacing w:line="360" w:lineRule="auto"/>
              <w:outlineLvl w:val="0"/>
              <w:rPr>
                <w:rFonts w:hint="eastAsia"/>
                <w:highlight w:val="none"/>
                <w:lang w:eastAsia="zh-CN"/>
              </w:rPr>
            </w:pPr>
            <w:r>
              <w:rPr>
                <w:rFonts w:hint="eastAsia"/>
                <w:sz w:val="24"/>
                <w:szCs w:val="24"/>
                <w:highlight w:val="none"/>
                <w:lang w:eastAsia="zh-CN"/>
              </w:rPr>
              <w:t>投标人提供的安装服务实施方案：投标人提供合理性、科学性、有效性的安装服务实施方案，包括</w:t>
            </w:r>
            <w:r>
              <w:rPr>
                <w:rFonts w:hint="eastAsia"/>
                <w:sz w:val="24"/>
                <w:szCs w:val="24"/>
                <w:highlight w:val="none"/>
              </w:rPr>
              <w:t>①</w:t>
            </w:r>
            <w:r>
              <w:rPr>
                <w:rFonts w:hint="eastAsia"/>
                <w:sz w:val="24"/>
                <w:szCs w:val="24"/>
                <w:highlight w:val="none"/>
                <w:lang w:eastAsia="zh-CN"/>
              </w:rPr>
              <w:t>项目交付工期</w:t>
            </w:r>
            <w:r>
              <w:rPr>
                <w:rFonts w:hint="eastAsia"/>
                <w:sz w:val="24"/>
                <w:szCs w:val="24"/>
                <w:highlight w:val="none"/>
              </w:rPr>
              <w:t>②</w:t>
            </w:r>
            <w:r>
              <w:rPr>
                <w:rFonts w:hint="eastAsia"/>
                <w:sz w:val="24"/>
                <w:szCs w:val="24"/>
                <w:highlight w:val="none"/>
                <w:lang w:eastAsia="zh-CN"/>
              </w:rPr>
              <w:t>根据项目</w:t>
            </w:r>
            <w:r>
              <w:rPr>
                <w:rFonts w:hint="eastAsia"/>
                <w:sz w:val="24"/>
                <w:szCs w:val="24"/>
                <w:highlight w:val="none"/>
              </w:rPr>
              <w:t>交付时间节点，送货安装时间</w:t>
            </w:r>
            <w:r>
              <w:rPr>
                <w:rFonts w:hint="eastAsia"/>
                <w:sz w:val="24"/>
                <w:szCs w:val="24"/>
                <w:highlight w:val="none"/>
                <w:lang w:eastAsia="zh-CN"/>
              </w:rPr>
              <w:t>、</w:t>
            </w:r>
            <w:r>
              <w:rPr>
                <w:rFonts w:hint="eastAsia"/>
                <w:sz w:val="24"/>
                <w:szCs w:val="24"/>
                <w:highlight w:val="none"/>
              </w:rPr>
              <w:t>人员安排</w:t>
            </w:r>
            <w:r>
              <w:rPr>
                <w:rFonts w:hint="eastAsia"/>
                <w:sz w:val="24"/>
                <w:szCs w:val="24"/>
                <w:highlight w:val="none"/>
                <w:lang w:eastAsia="zh-CN"/>
              </w:rPr>
              <w:t>、设备调试等情况的落实情况。</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eastAsia="zh-CN"/>
              </w:rPr>
              <w:t>分，未提供或不合理的不得分。</w:t>
            </w:r>
          </w:p>
        </w:tc>
        <w:tc>
          <w:tcPr>
            <w:tcW w:w="57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179" w:type="dxa"/>
            <w:vAlign w:val="center"/>
          </w:tcPr>
          <w:p>
            <w:pPr>
              <w:pStyle w:val="26"/>
              <w:ind w:left="0" w:leftChars="0" w:firstLine="0" w:firstLineChars="0"/>
              <w:rPr>
                <w:rFonts w:hint="eastAsia"/>
                <w:b/>
                <w:bCs/>
                <w:color w:val="auto"/>
                <w:highlight w:val="none"/>
                <w:lang w:val="en-US" w:eastAsia="zh-CN"/>
              </w:rPr>
            </w:pPr>
            <w:r>
              <w:rPr>
                <w:rFonts w:hint="eastAsia"/>
                <w:b/>
                <w:bCs/>
                <w:color w:val="auto"/>
                <w:sz w:val="24"/>
                <w:szCs w:val="24"/>
                <w:highlight w:val="none"/>
                <w:lang w:val="en-US" w:eastAsia="zh-CN"/>
              </w:rPr>
              <w:t>（五）安装服务实施方案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0" w:type="auto"/>
            <w:vMerge w:val="restart"/>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7075" w:type="dxa"/>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拟担任本项目经理和技术负责人的专业素质、技术能力、证书、经验等情况</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0.5</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，最高得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eastAsia="zh-CN"/>
              </w:rPr>
              <w:t>分，未提供或不合理不得分。</w:t>
            </w:r>
          </w:p>
        </w:tc>
        <w:tc>
          <w:tcPr>
            <w:tcW w:w="57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1</w:t>
            </w:r>
          </w:p>
        </w:tc>
        <w:tc>
          <w:tcPr>
            <w:tcW w:w="1179" w:type="dxa"/>
            <w:vMerge w:val="restart"/>
            <w:vAlign w:val="center"/>
          </w:tcPr>
          <w:p>
            <w:pPr>
              <w:spacing w:line="360" w:lineRule="auto"/>
              <w:jc w:val="center"/>
              <w:outlineLvl w:val="0"/>
              <w:rPr>
                <w:rFonts w:hint="eastAsia"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六</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0" w:type="auto"/>
            <w:vMerge w:val="continue"/>
            <w:vAlign w:val="center"/>
          </w:tcPr>
          <w:p>
            <w:pPr>
              <w:spacing w:line="360" w:lineRule="auto"/>
              <w:outlineLvl w:val="0"/>
              <w:rPr>
                <w:highlight w:val="none"/>
              </w:rPr>
            </w:pPr>
          </w:p>
        </w:tc>
        <w:tc>
          <w:tcPr>
            <w:tcW w:w="0" w:type="auto"/>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项目组实施人员专业人员数量、配置和相关资质情况（证书、技术能力、专业分布、类似经验等），提供履历表和相关资料、相关证书等证明材料，项目团队中每具有一名中级工程师证书（建筑电气或建筑智能化）及以上的工作人员得</w:t>
            </w:r>
            <w:r>
              <w:rPr>
                <w:rFonts w:hint="default" w:ascii="宋体" w:hAnsi="宋体" w:cs="宋体"/>
                <w:color w:val="auto"/>
                <w:sz w:val="24"/>
                <w:highlight w:val="none"/>
                <w:lang w:val="en-US" w:eastAsia="zh-CN"/>
              </w:rPr>
              <w:t>0.5</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分。需提供团队内每个成员的社保缴纳证明。注：同一个人多本证书只算一个有效证书。未提供或不符合要求的不得分。</w:t>
            </w:r>
          </w:p>
        </w:tc>
        <w:tc>
          <w:tcPr>
            <w:tcW w:w="576"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2</w:t>
            </w:r>
          </w:p>
        </w:tc>
        <w:tc>
          <w:tcPr>
            <w:tcW w:w="1179" w:type="dxa"/>
            <w:vMerge w:val="continue"/>
            <w:vAlign w:val="center"/>
          </w:tcPr>
          <w:p>
            <w:pPr>
              <w:spacing w:line="360" w:lineRule="auto"/>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0" w:type="auto"/>
            <w:vAlign w:val="center"/>
          </w:tcPr>
          <w:p>
            <w:pPr>
              <w:adjustRightInd w:val="0"/>
              <w:snapToGrid w:val="0"/>
              <w:spacing w:line="360" w:lineRule="auto"/>
              <w:jc w:val="left"/>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color w:val="auto"/>
                <w:sz w:val="24"/>
                <w:highlight w:val="none"/>
                <w:lang w:val="en-US" w:eastAsia="zh-CN"/>
              </w:rPr>
              <w:t>根据投标人提供的售后服务方案进行评价。包括：</w:t>
            </w:r>
            <w:r>
              <w:rPr>
                <w:rFonts w:hint="default"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、售后服务期内服务内容情况；</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、售后服务体系、</w:t>
            </w:r>
            <w:r>
              <w:rPr>
                <w:rFonts w:hint="eastAsia" w:ascii="宋体" w:hAnsi="宋体" w:eastAsia="宋体" w:cs="宋体"/>
                <w:sz w:val="24"/>
                <w:highlight w:val="none"/>
              </w:rPr>
              <w:t>售后服务部门及维修网点</w:t>
            </w:r>
            <w:r>
              <w:rPr>
                <w:rFonts w:hint="eastAsia" w:ascii="宋体" w:hAnsi="宋体" w:cs="宋体"/>
                <w:sz w:val="24"/>
                <w:highlight w:val="none"/>
                <w:lang w:eastAsia="zh-CN"/>
              </w:rPr>
              <w:t>联系电话</w:t>
            </w:r>
            <w:r>
              <w:rPr>
                <w:rFonts w:hint="default"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、服务响应及时情况；</w:t>
            </w:r>
            <w:r>
              <w:rPr>
                <w:rFonts w:hint="default"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、故障处理服务针对性程度。每符合一项得</w:t>
            </w:r>
            <w:r>
              <w:rPr>
                <w:rFonts w:hint="default"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en-US" w:eastAsia="zh-CN"/>
              </w:rPr>
              <w:t>分，最高得</w:t>
            </w:r>
            <w:r>
              <w:rPr>
                <w:rFonts w:hint="default"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分，未提供或不合理不得分。</w:t>
            </w:r>
          </w:p>
        </w:tc>
        <w:tc>
          <w:tcPr>
            <w:tcW w:w="57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4</w:t>
            </w:r>
          </w:p>
        </w:tc>
        <w:tc>
          <w:tcPr>
            <w:tcW w:w="1179" w:type="dxa"/>
            <w:vMerge w:val="restart"/>
            <w:vAlign w:val="center"/>
          </w:tcPr>
          <w:p>
            <w:pPr>
              <w:spacing w:line="360" w:lineRule="auto"/>
              <w:jc w:val="center"/>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七</w:t>
            </w:r>
            <w:r>
              <w:rPr>
                <w:rFonts w:hint="eastAsia" w:ascii="宋体" w:hAnsi="宋体" w:cs="宋体"/>
                <w:b/>
                <w:bCs/>
                <w:color w:val="auto"/>
                <w:sz w:val="24"/>
                <w:highlight w:val="none"/>
              </w:rPr>
              <w:t>）售后服务</w:t>
            </w:r>
            <w:r>
              <w:rPr>
                <w:rFonts w:hint="eastAsia" w:ascii="宋体" w:hAnsi="宋体" w:cs="宋体"/>
                <w:b/>
                <w:bCs/>
                <w:color w:val="auto"/>
                <w:sz w:val="24"/>
                <w:highlight w:val="none"/>
                <w:lang w:eastAsia="zh-CN"/>
              </w:rPr>
              <w:t>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vAlign w:val="center"/>
          </w:tcPr>
          <w:p>
            <w:pPr>
              <w:spacing w:line="360" w:lineRule="auto"/>
              <w:jc w:val="center"/>
              <w:outlineLvl w:val="0"/>
              <w:rPr>
                <w:rFonts w:hint="eastAsia" w:ascii="宋体" w:hAnsi="宋体" w:cs="宋体"/>
                <w:color w:val="auto"/>
                <w:sz w:val="24"/>
                <w:highlight w:val="none"/>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i w:val="0"/>
                <w:iCs w:val="0"/>
                <w:color w:val="auto"/>
                <w:kern w:val="2"/>
                <w:sz w:val="24"/>
                <w:szCs w:val="24"/>
                <w:highlight w:val="none"/>
                <w:lang w:val="en-US" w:eastAsia="zh-CN" w:bidi="ar-SA"/>
              </w:rPr>
              <w:t>投标人是否承诺</w:t>
            </w:r>
            <w:r>
              <w:rPr>
                <w:rFonts w:hint="eastAsia" w:ascii="宋体" w:hAnsi="宋体" w:eastAsia="宋体" w:cs="宋体"/>
                <w:i w:val="0"/>
                <w:iCs w:val="0"/>
                <w:color w:val="auto"/>
                <w:kern w:val="2"/>
                <w:sz w:val="24"/>
                <w:szCs w:val="24"/>
                <w:highlight w:val="none"/>
                <w:lang w:val="en-US" w:eastAsia="zh-CN" w:bidi="ar-SA"/>
              </w:rPr>
              <w:t>提供不少于3年的</w:t>
            </w:r>
            <w:r>
              <w:rPr>
                <w:rFonts w:hint="eastAsia" w:ascii="宋体" w:hAnsi="宋体" w:cs="宋体"/>
                <w:i w:val="0"/>
                <w:iCs w:val="0"/>
                <w:color w:val="auto"/>
                <w:kern w:val="2"/>
                <w:sz w:val="24"/>
                <w:szCs w:val="24"/>
                <w:highlight w:val="none"/>
                <w:lang w:val="en-US" w:eastAsia="zh-CN" w:bidi="ar-SA"/>
              </w:rPr>
              <w:t>项目</w:t>
            </w:r>
            <w:r>
              <w:rPr>
                <w:rFonts w:hint="eastAsia" w:ascii="宋体" w:hAnsi="宋体" w:eastAsia="宋体" w:cs="宋体"/>
                <w:i w:val="0"/>
                <w:iCs w:val="0"/>
                <w:color w:val="auto"/>
                <w:kern w:val="2"/>
                <w:sz w:val="24"/>
                <w:szCs w:val="24"/>
                <w:highlight w:val="none"/>
                <w:lang w:val="en-US" w:eastAsia="zh-CN" w:bidi="ar-SA"/>
              </w:rPr>
              <w:t>质保期</w:t>
            </w:r>
            <w:r>
              <w:rPr>
                <w:rFonts w:hint="eastAsia" w:ascii="宋体" w:hAnsi="宋体" w:cs="宋体"/>
                <w:i w:val="0"/>
                <w:iCs w:val="0"/>
                <w:color w:val="auto"/>
                <w:kern w:val="2"/>
                <w:sz w:val="24"/>
                <w:szCs w:val="24"/>
                <w:highlight w:val="none"/>
                <w:lang w:val="en-US" w:eastAsia="zh-CN" w:bidi="ar-SA"/>
              </w:rPr>
              <w:t>，承诺得1</w:t>
            </w:r>
            <w:r>
              <w:rPr>
                <w:rFonts w:hint="default" w:ascii="宋体" w:hAnsi="宋体" w:cs="宋体"/>
                <w:i w:val="0"/>
                <w:iCs w:val="0"/>
                <w:color w:val="auto"/>
                <w:kern w:val="2"/>
                <w:sz w:val="24"/>
                <w:szCs w:val="24"/>
                <w:highlight w:val="none"/>
                <w:lang w:val="en-US" w:eastAsia="zh-CN" w:bidi="ar-SA"/>
              </w:rPr>
              <w:t>.5</w:t>
            </w:r>
            <w:r>
              <w:rPr>
                <w:rFonts w:hint="eastAsia" w:ascii="宋体" w:hAnsi="宋体" w:cs="宋体"/>
                <w:i w:val="0"/>
                <w:iCs w:val="0"/>
                <w:color w:val="auto"/>
                <w:kern w:val="2"/>
                <w:sz w:val="24"/>
                <w:szCs w:val="24"/>
                <w:highlight w:val="none"/>
                <w:lang w:val="en-US" w:eastAsia="zh-CN" w:bidi="ar-SA"/>
              </w:rPr>
              <w:t>分，不承诺不得分</w:t>
            </w:r>
          </w:p>
        </w:tc>
        <w:tc>
          <w:tcPr>
            <w:tcW w:w="576"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w:t>
            </w:r>
            <w:r>
              <w:rPr>
                <w:rFonts w:hint="default" w:ascii="宋体" w:hAnsi="宋体" w:cs="宋体"/>
                <w:color w:val="auto"/>
                <w:sz w:val="24"/>
                <w:highlight w:val="none"/>
                <w:lang w:val="en-US" w:eastAsia="zh-CN"/>
              </w:rPr>
              <w:t>.5</w:t>
            </w:r>
          </w:p>
        </w:tc>
        <w:tc>
          <w:tcPr>
            <w:tcW w:w="1179" w:type="dxa"/>
            <w:vMerge w:val="continue"/>
            <w:vAlign w:val="center"/>
          </w:tcPr>
          <w:p>
            <w:pPr>
              <w:spacing w:line="360" w:lineRule="auto"/>
              <w:jc w:val="center"/>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0" w:type="auto"/>
            <w:vMerge w:val="continue"/>
            <w:vAlign w:val="center"/>
          </w:tcPr>
          <w:p>
            <w:pPr>
              <w:spacing w:line="360" w:lineRule="auto"/>
              <w:jc w:val="center"/>
              <w:outlineLvl w:val="0"/>
              <w:rPr>
                <w:rFonts w:hint="eastAsia" w:ascii="宋体" w:hAnsi="宋体" w:cs="宋体"/>
                <w:color w:val="auto"/>
                <w:sz w:val="24"/>
                <w:highlight w:val="none"/>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投标主要设备（</w:t>
            </w:r>
            <w:r>
              <w:rPr>
                <w:rFonts w:hint="default" w:ascii="宋体" w:hAnsi="宋体" w:cs="宋体"/>
                <w:color w:val="auto"/>
                <w:sz w:val="24"/>
                <w:highlight w:val="none"/>
                <w:lang w:val="en-US" w:eastAsia="zh-CN"/>
              </w:rPr>
              <w:t>200万枪型网络摄像机、离岗检测摄像机、</w:t>
            </w:r>
            <w:r>
              <w:rPr>
                <w:rFonts w:hint="eastAsia" w:ascii="宋体" w:hAnsi="宋体" w:cs="宋体"/>
                <w:color w:val="auto"/>
                <w:sz w:val="24"/>
                <w:highlight w:val="none"/>
                <w:lang w:val="en-US" w:eastAsia="zh-CN"/>
              </w:rPr>
              <w:t>雷达联动摄像机</w:t>
            </w:r>
            <w:r>
              <w:rPr>
                <w:rFonts w:hint="default" w:ascii="宋体" w:hAnsi="宋体" w:cs="宋体"/>
                <w:color w:val="auto"/>
                <w:sz w:val="24"/>
                <w:highlight w:val="none"/>
                <w:lang w:val="en-US" w:eastAsia="zh-CN"/>
              </w:rPr>
              <w:t>、48盘位磁盘阵列、24口POE交换机</w:t>
            </w:r>
            <w:r>
              <w:rPr>
                <w:rFonts w:hint="eastAsia" w:ascii="宋体" w:hAnsi="宋体" w:cs="宋体"/>
                <w:color w:val="auto"/>
                <w:sz w:val="24"/>
                <w:highlight w:val="none"/>
                <w:lang w:val="en-US" w:eastAsia="zh-CN"/>
              </w:rPr>
              <w:t>）质保服务承诺情况，是否提供原厂质保或承诺在中标后</w:t>
            </w:r>
            <w:r>
              <w:rPr>
                <w:rFonts w:hint="default" w:ascii="宋体" w:hAnsi="宋体" w:cs="宋体"/>
                <w:color w:val="auto"/>
                <w:sz w:val="24"/>
                <w:highlight w:val="none"/>
                <w:lang w:val="en-US" w:eastAsia="zh-CN"/>
              </w:rPr>
              <w:t>7</w:t>
            </w:r>
            <w:r>
              <w:rPr>
                <w:rFonts w:hint="eastAsia" w:ascii="宋体" w:hAnsi="宋体" w:cs="宋体"/>
                <w:color w:val="auto"/>
                <w:sz w:val="24"/>
                <w:highlight w:val="none"/>
                <w:lang w:val="en-US" w:eastAsia="zh-CN"/>
              </w:rPr>
              <w:t>个工作日内提供原厂质保的承诺函，每符合一项得</w:t>
            </w:r>
            <w:r>
              <w:rPr>
                <w:rFonts w:hint="default" w:ascii="宋体" w:hAnsi="宋体" w:cs="宋体"/>
                <w:color w:val="auto"/>
                <w:sz w:val="24"/>
                <w:highlight w:val="none"/>
                <w:lang w:val="en-US" w:eastAsia="zh-CN"/>
              </w:rPr>
              <w:t>0.5</w:t>
            </w:r>
            <w:r>
              <w:rPr>
                <w:rFonts w:hint="eastAsia" w:ascii="宋体" w:hAnsi="宋体" w:cs="宋体"/>
                <w:color w:val="auto"/>
                <w:sz w:val="24"/>
                <w:highlight w:val="none"/>
                <w:lang w:val="en-US" w:eastAsia="zh-CN"/>
              </w:rPr>
              <w:t>分，最高得</w:t>
            </w:r>
            <w:r>
              <w:rPr>
                <w:rFonts w:hint="default" w:ascii="宋体" w:hAnsi="宋体" w:cs="宋体"/>
                <w:color w:val="auto"/>
                <w:sz w:val="24"/>
                <w:highlight w:val="none"/>
                <w:lang w:val="en-US" w:eastAsia="zh-CN"/>
              </w:rPr>
              <w:t>2.5</w:t>
            </w:r>
            <w:r>
              <w:rPr>
                <w:rFonts w:hint="eastAsia" w:ascii="宋体" w:hAnsi="宋体" w:cs="宋体"/>
                <w:color w:val="auto"/>
                <w:sz w:val="24"/>
                <w:highlight w:val="none"/>
                <w:lang w:val="en-US" w:eastAsia="zh-CN"/>
              </w:rPr>
              <w:t>分，未提供或不符合要求的不得分。</w:t>
            </w:r>
          </w:p>
        </w:tc>
        <w:tc>
          <w:tcPr>
            <w:tcW w:w="57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2.5</w:t>
            </w:r>
          </w:p>
        </w:tc>
        <w:tc>
          <w:tcPr>
            <w:tcW w:w="1179" w:type="dxa"/>
            <w:vMerge w:val="continue"/>
            <w:vAlign w:val="center"/>
          </w:tcPr>
          <w:p>
            <w:pPr>
              <w:spacing w:line="360" w:lineRule="auto"/>
              <w:jc w:val="center"/>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0" w:type="auto"/>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i w:val="0"/>
                <w:iCs w:val="0"/>
                <w:color w:val="auto"/>
                <w:kern w:val="2"/>
                <w:sz w:val="24"/>
                <w:szCs w:val="24"/>
                <w:highlight w:val="none"/>
                <w:lang w:val="en-US" w:eastAsia="zh-CN" w:bidi="ar-SA"/>
              </w:rPr>
            </w:pPr>
            <w:r>
              <w:rPr>
                <w:rFonts w:hint="eastAsia" w:ascii="宋体" w:hAnsi="宋体" w:cs="宋体"/>
                <w:i w:val="0"/>
                <w:iCs w:val="0"/>
                <w:color w:val="auto"/>
                <w:kern w:val="2"/>
                <w:sz w:val="24"/>
                <w:szCs w:val="24"/>
                <w:highlight w:val="none"/>
                <w:lang w:val="en-US" w:eastAsia="zh-CN" w:bidi="ar-SA"/>
              </w:rPr>
              <w:t>投标人对以下两种培训方案</w:t>
            </w:r>
            <w:r>
              <w:rPr>
                <w:rFonts w:hint="eastAsia" w:ascii="宋体" w:hAnsi="宋体" w:cs="宋体"/>
                <w:sz w:val="24"/>
                <w:szCs w:val="24"/>
                <w:highlight w:val="none"/>
                <w:lang w:eastAsia="zh-CN"/>
              </w:rPr>
              <w:t>①向培训人员提供</w:t>
            </w:r>
            <w:r>
              <w:rPr>
                <w:rFonts w:hint="eastAsia" w:ascii="宋体" w:hAnsi="宋体" w:cs="宋体"/>
                <w:i w:val="0"/>
                <w:iCs w:val="0"/>
                <w:color w:val="auto"/>
                <w:kern w:val="2"/>
                <w:sz w:val="24"/>
                <w:szCs w:val="24"/>
                <w:highlight w:val="none"/>
                <w:lang w:val="en-US" w:eastAsia="zh-CN" w:bidi="ar-SA"/>
              </w:rPr>
              <w:t>设备日常的维护保养及能对一般故障维修的培训方案（提供详细的技术维修及调试参数资料等）</w:t>
            </w:r>
            <w:r>
              <w:rPr>
                <w:rFonts w:hint="eastAsia" w:ascii="宋体" w:hAnsi="宋体" w:cs="宋体"/>
                <w:sz w:val="24"/>
                <w:szCs w:val="24"/>
                <w:highlight w:val="none"/>
                <w:lang w:eastAsia="zh-CN"/>
              </w:rPr>
              <w:t>②</w:t>
            </w:r>
            <w:r>
              <w:rPr>
                <w:rFonts w:hint="eastAsia" w:ascii="宋体" w:hAnsi="宋体" w:cs="宋体"/>
                <w:i w:val="0"/>
                <w:iCs w:val="0"/>
                <w:color w:val="auto"/>
                <w:kern w:val="2"/>
                <w:sz w:val="24"/>
                <w:szCs w:val="24"/>
                <w:highlight w:val="none"/>
                <w:lang w:val="en-US" w:eastAsia="zh-CN" w:bidi="ar-SA"/>
              </w:rPr>
              <w:t>对实际操作人员进行技术操作培训并提供详细的操作手册，方案是否合理，培训方式、地点、人数、时间是否详细说明。</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分，未提供或不合理的不得分。</w:t>
            </w:r>
          </w:p>
        </w:tc>
        <w:tc>
          <w:tcPr>
            <w:tcW w:w="57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179" w:type="dxa"/>
            <w:vAlign w:val="center"/>
          </w:tcPr>
          <w:p>
            <w:pPr>
              <w:spacing w:line="360" w:lineRule="auto"/>
              <w:jc w:val="center"/>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（八）项目培训方案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0" w:type="auto"/>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10</w:t>
            </w:r>
          </w:p>
        </w:tc>
        <w:tc>
          <w:tcPr>
            <w:tcW w:w="0" w:type="auto"/>
          </w:tcPr>
          <w:p>
            <w:pPr>
              <w:spacing w:line="360" w:lineRule="auto"/>
              <w:ind w:firstLine="480" w:firstLineChars="200"/>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有效投标报价的最低价作为评标基准价，其最低报价为满分；按［投标报价得分</w:t>
            </w:r>
            <w:r>
              <w:rPr>
                <w:rFonts w:cs="仿宋_GB2312" w:asciiTheme="minorEastAsia" w:hAnsiTheme="minorEastAsia" w:eastAsiaTheme="minorEastAsia"/>
                <w:sz w:val="24"/>
                <w:highlight w:val="none"/>
              </w:rPr>
              <w:t>=（评标基准价/投标报价）*</w:t>
            </w:r>
            <w:r>
              <w:rPr>
                <w:rFonts w:hint="default" w:cs="仿宋_GB2312" w:asciiTheme="minorEastAsia" w:hAnsiTheme="minorEastAsia" w:eastAsiaTheme="minorEastAsia"/>
                <w:sz w:val="24"/>
                <w:highlight w:val="none"/>
                <w:lang w:val="en-US"/>
              </w:rPr>
              <w:t>3</w:t>
            </w:r>
            <w:r>
              <w:rPr>
                <w:rFonts w:cs="仿宋_GB2312" w:asciiTheme="minorEastAsia" w:hAnsiTheme="minorEastAsia" w:eastAsiaTheme="minorEastAsia"/>
                <w:sz w:val="24"/>
                <w:highlight w:val="none"/>
              </w:rPr>
              <w:t>0］的计算公式计算。</w:t>
            </w:r>
          </w:p>
          <w:p>
            <w:pPr>
              <w:spacing w:line="360" w:lineRule="auto"/>
              <w:ind w:firstLine="480" w:firstLineChars="200"/>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评标过程中，不得去掉报价中的最高报价和最低报价。</w:t>
            </w:r>
          </w:p>
          <w:p>
            <w:pPr>
              <w:widowControl/>
              <w:shd w:val="clear" w:color="auto" w:fill="FFFFFF"/>
              <w:adjustRightInd/>
              <w:spacing w:after="225" w:line="360" w:lineRule="auto"/>
              <w:ind w:firstLine="420"/>
              <w:jc w:val="left"/>
              <w:rPr>
                <w:rFonts w:ascii="宋体" w:hAnsi="宋体" w:cs="宋体"/>
                <w:color w:val="auto"/>
                <w:sz w:val="24"/>
                <w:highlight w:val="none"/>
              </w:rPr>
            </w:pPr>
            <w:r>
              <w:rPr>
                <w:rFonts w:hint="eastAsia" w:cs="仿宋_GB2312" w:asciiTheme="minorEastAsia" w:hAnsiTheme="minorEastAsia" w:eastAsiaTheme="minorEastAsia"/>
                <w:sz w:val="24"/>
                <w:highlight w:val="none"/>
              </w:rPr>
              <w:t>对于未预留份额专门面向中小企业的政府采购服务项目，以及预留份额政府采购服务项目中的非预留部分标项，对小型和微型企业的投标报价给予</w:t>
            </w:r>
            <w:r>
              <w:rPr>
                <w:rFonts w:hint="default" w:cs="仿宋_GB2312" w:asciiTheme="minorEastAsia" w:hAnsiTheme="minorEastAsia" w:eastAsiaTheme="minorEastAsia"/>
                <w:b/>
                <w:sz w:val="24"/>
                <w:highlight w:val="none"/>
                <w:u w:val="single"/>
                <w:lang w:val="en-US"/>
              </w:rPr>
              <w:t>2</w:t>
            </w:r>
            <w:r>
              <w:rPr>
                <w:rFonts w:cs="仿宋_GB2312" w:asciiTheme="minorEastAsia" w:hAnsiTheme="minorEastAsia" w:eastAsiaTheme="minorEastAsia"/>
                <w:b/>
                <w:sz w:val="24"/>
                <w:highlight w:val="none"/>
                <w:u w:val="single"/>
              </w:rPr>
              <w:t>0%</w:t>
            </w:r>
            <w:r>
              <w:rPr>
                <w:rFonts w:hint="eastAsia" w:cs="仿宋_GB2312"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cs="仿宋_GB2312" w:asciiTheme="minorEastAsia" w:hAnsiTheme="minorEastAsia" w:eastAsiaTheme="minorEastAsia"/>
                <w:b/>
                <w:sz w:val="24"/>
                <w:highlight w:val="none"/>
                <w:u w:val="single"/>
                <w:lang w:val="en-US"/>
              </w:rPr>
              <w:t>6</w:t>
            </w:r>
            <w:r>
              <w:rPr>
                <w:rFonts w:cs="仿宋_GB2312" w:asciiTheme="minorEastAsia" w:hAnsiTheme="minorEastAsia" w:eastAsiaTheme="minorEastAsia"/>
                <w:b/>
                <w:sz w:val="24"/>
                <w:highlight w:val="none"/>
                <w:u w:val="single"/>
              </w:rPr>
              <w:t>%</w:t>
            </w:r>
            <w:r>
              <w:rPr>
                <w:rFonts w:hint="eastAsia" w:cs="仿宋_GB2312" w:asciiTheme="minorEastAsia" w:hAnsiTheme="minorEastAsia" w:eastAsiaTheme="minorEastAsia"/>
                <w:sz w:val="24"/>
                <w:highlight w:val="none"/>
              </w:rPr>
              <w:t>的扣除，用扣除后的价格参加评审</w:t>
            </w:r>
            <w:r>
              <w:rPr>
                <w:rFonts w:cs="仿宋_GB2312" w:asciiTheme="minorEastAsia" w:hAnsiTheme="minorEastAsia" w:eastAsiaTheme="minorEastAsia"/>
                <w:sz w:val="24"/>
                <w:highlight w:val="none"/>
              </w:rPr>
              <w:t>。</w:t>
            </w:r>
          </w:p>
        </w:tc>
        <w:tc>
          <w:tcPr>
            <w:tcW w:w="576"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30</w:t>
            </w:r>
          </w:p>
        </w:tc>
        <w:tc>
          <w:tcPr>
            <w:tcW w:w="1179" w:type="dxa"/>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w:t>
            </w:r>
          </w:p>
        </w:tc>
      </w:tr>
    </w:tbl>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29"/>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3.4.5对于未预留份额专门面向中小企业的政府采购货物项目，以及预留份额政府采购货物项目中的非预留部分标项，对小型和微型企业的投标报价给予</w:t>
      </w:r>
      <w:r>
        <w:rPr>
          <w:rFonts w:hint="eastAsia" w:ascii="宋体" w:hAnsi="宋体" w:cs="宋体"/>
          <w:kern w:val="0"/>
          <w:szCs w:val="24"/>
          <w:highlight w:val="none"/>
          <w:lang w:val="en-US" w:eastAsia="zh-CN"/>
        </w:rPr>
        <w:t>2</w:t>
      </w:r>
      <w:r>
        <w:rPr>
          <w:rFonts w:hint="eastAsia" w:ascii="宋体" w:hAnsi="宋体" w:cs="宋体"/>
          <w:kern w:val="0"/>
          <w:szCs w:val="24"/>
          <w:highlight w:val="none"/>
        </w:rPr>
        <w:t>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cs="宋体"/>
          <w:kern w:val="0"/>
          <w:szCs w:val="24"/>
          <w:highlight w:val="none"/>
          <w:lang w:val="en-US" w:eastAsia="zh-CN"/>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129"/>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highlight w:val="none"/>
          <w:lang w:eastAsia="zh-CN"/>
        </w:rPr>
      </w:pPr>
      <w:r>
        <w:rPr>
          <w:rFonts w:hint="eastAsia" w:ascii="宋体" w:hAnsi="宋体" w:cs="宋体"/>
          <w:kern w:val="0"/>
          <w:sz w:val="24"/>
          <w:highlight w:val="none"/>
        </w:rPr>
        <w:t xml:space="preserve">   4.2.6投标文件出现不是唯一的、有选择性投标报价的</w:t>
      </w:r>
      <w:r>
        <w:rPr>
          <w:rFonts w:hint="eastAsia" w:ascii="宋体" w:hAnsi="宋体" w:cs="宋体"/>
          <w:kern w:val="0"/>
          <w:sz w:val="24"/>
          <w:highlight w:val="none"/>
          <w:lang w:eastAsia="zh-CN"/>
        </w:rPr>
        <w:t>；</w:t>
      </w:r>
    </w:p>
    <w:p>
      <w:pPr>
        <w:spacing w:line="360" w:lineRule="auto"/>
        <w:ind w:firstLine="480" w:firstLineChars="200"/>
        <w:rPr>
          <w:rFonts w:hint="eastAsia" w:ascii="宋体" w:hAnsi="宋体" w:eastAsia="宋体" w:cs="宋体"/>
          <w:kern w:val="0"/>
          <w:sz w:val="24"/>
          <w:highlight w:val="none"/>
          <w:lang w:eastAsia="zh-CN"/>
        </w:rPr>
      </w:pPr>
      <w:r>
        <w:rPr>
          <w:rFonts w:hint="eastAsia" w:ascii="宋体" w:hAnsi="宋体" w:cs="宋体"/>
          <w:kern w:val="0"/>
          <w:sz w:val="24"/>
          <w:highlight w:val="none"/>
        </w:rPr>
        <w:t>4.2.7投标报价超过招标文件中规定的预算金额或者最高限价的</w:t>
      </w:r>
      <w:r>
        <w:rPr>
          <w:rFonts w:hint="eastAsia" w:ascii="宋体" w:hAnsi="宋体" w:cs="宋体"/>
          <w:kern w:val="0"/>
          <w:sz w:val="24"/>
          <w:highlight w:val="none"/>
          <w:lang w:eastAsia="zh-CN"/>
        </w:rPr>
        <w:t>；</w:t>
      </w:r>
    </w:p>
    <w:p>
      <w:pPr>
        <w:spacing w:line="360" w:lineRule="auto"/>
        <w:ind w:firstLine="480" w:firstLineChars="200"/>
        <w:rPr>
          <w:rFonts w:hint="eastAsia" w:ascii="宋体" w:hAnsi="宋体" w:eastAsia="宋体" w:cs="宋体"/>
          <w:kern w:val="0"/>
          <w:sz w:val="24"/>
          <w:highlight w:val="none"/>
          <w:lang w:eastAsia="zh-CN"/>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highlight w:val="none"/>
          <w:lang w:eastAsia="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525"/>
        <w:spacing w:line="360" w:lineRule="auto"/>
        <w:ind w:firstLine="48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4.2.1</w:t>
      </w:r>
      <w:r>
        <w:rPr>
          <w:rFonts w:hint="default"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 xml:space="preserve"> 对未提供样品或提供样品不满足采购需求实质性条件的供应商，投标无效；</w:t>
      </w:r>
    </w:p>
    <w:p>
      <w:pPr>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4.2.1</w:t>
      </w:r>
      <w:r>
        <w:rPr>
          <w:rFonts w:hint="default" w:ascii="宋体" w:hAnsi="宋体" w:eastAsia="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 xml:space="preserve">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w:t>
      </w:r>
      <w:r>
        <w:rPr>
          <w:rFonts w:hint="default" w:ascii="宋体" w:hAnsi="宋体" w:cs="宋体"/>
          <w:kern w:val="0"/>
          <w:sz w:val="24"/>
          <w:highlight w:val="none"/>
          <w:lang w:val="en-US"/>
        </w:rPr>
        <w:t>5</w:t>
      </w:r>
      <w:r>
        <w:rPr>
          <w:rFonts w:hint="eastAsia" w:ascii="宋体" w:hAnsi="宋体" w:cs="宋体"/>
          <w:kern w:val="0"/>
          <w:sz w:val="24"/>
          <w:highlight w:val="none"/>
        </w:rPr>
        <w:t>法律、法规、规章（适用本市的）及省级以上规范性文件（适用本市的）规定的其他无效情形。</w:t>
      </w:r>
    </w:p>
    <w:p>
      <w:pPr>
        <w:pStyle w:val="25"/>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5"/>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5"/>
        <w:snapToGrid w:val="0"/>
        <w:spacing w:line="360" w:lineRule="auto"/>
        <w:rPr>
          <w:rFonts w:cs="宋体"/>
          <w:highlight w:val="none"/>
        </w:rPr>
      </w:pPr>
      <w:r>
        <w:rPr>
          <w:rFonts w:hint="eastAsia" w:cs="宋体"/>
          <w:highlight w:val="none"/>
        </w:rPr>
        <w:t>5.2出现影响采购公正的违法、违规行为的；</w:t>
      </w:r>
    </w:p>
    <w:p>
      <w:pPr>
        <w:pStyle w:val="25"/>
        <w:snapToGrid w:val="0"/>
        <w:spacing w:line="360" w:lineRule="auto"/>
        <w:rPr>
          <w:rFonts w:cs="宋体"/>
          <w:highlight w:val="none"/>
        </w:rPr>
      </w:pPr>
      <w:r>
        <w:rPr>
          <w:rFonts w:hint="eastAsia" w:cs="宋体"/>
          <w:highlight w:val="none"/>
        </w:rPr>
        <w:t>5.3投标人的报价均超过了采购预算，采购人不能支付的；</w:t>
      </w:r>
    </w:p>
    <w:p>
      <w:pPr>
        <w:pStyle w:val="25"/>
        <w:snapToGrid w:val="0"/>
        <w:spacing w:line="360" w:lineRule="auto"/>
        <w:rPr>
          <w:rFonts w:cs="宋体"/>
          <w:highlight w:val="none"/>
        </w:rPr>
      </w:pPr>
      <w:r>
        <w:rPr>
          <w:rFonts w:hint="eastAsia" w:cs="宋体"/>
          <w:highlight w:val="none"/>
        </w:rPr>
        <w:t>5.4因重大变故，采购任务取消的。</w:t>
      </w:r>
    </w:p>
    <w:p>
      <w:pPr>
        <w:pStyle w:val="25"/>
        <w:snapToGrid w:val="0"/>
        <w:spacing w:line="360" w:lineRule="auto"/>
        <w:rPr>
          <w:rFonts w:cs="宋体"/>
          <w:highlight w:val="none"/>
        </w:rPr>
      </w:pPr>
      <w:r>
        <w:rPr>
          <w:rFonts w:hint="eastAsia" w:cs="宋体"/>
          <w:highlight w:val="none"/>
        </w:rPr>
        <w:t>废标后，采购机构应当将废标理由通知所有投标人。</w:t>
      </w:r>
    </w:p>
    <w:p>
      <w:pPr>
        <w:pStyle w:val="25"/>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5"/>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5"/>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5"/>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highlight w:val="none"/>
        </w:rPr>
      </w:pPr>
    </w:p>
    <w:p>
      <w:pPr>
        <w:pStyle w:val="25"/>
        <w:snapToGrid w:val="0"/>
        <w:spacing w:line="360" w:lineRule="auto"/>
        <w:ind w:firstLine="0" w:firstLineChars="0"/>
        <w:rPr>
          <w:rFonts w:cs="宋体"/>
          <w:highlight w:val="none"/>
        </w:rPr>
      </w:pPr>
    </w:p>
    <w:p>
      <w:pPr>
        <w:pStyle w:val="25"/>
        <w:snapToGrid w:val="0"/>
        <w:spacing w:line="360" w:lineRule="auto"/>
        <w:ind w:firstLine="0" w:firstLineChars="0"/>
        <w:rPr>
          <w:rFonts w:cs="宋体"/>
          <w:highlight w:val="none"/>
        </w:rPr>
      </w:pPr>
    </w:p>
    <w:p>
      <w:pPr>
        <w:pStyle w:val="26"/>
        <w:rPr>
          <w:rFonts w:cs="宋体"/>
          <w:highlight w:val="none"/>
        </w:rPr>
      </w:pPr>
    </w:p>
    <w:bookmarkEnd w:id="18"/>
    <w:p>
      <w:pPr>
        <w:numPr>
          <w:ilvl w:val="0"/>
          <w:numId w:val="9"/>
        </w:numPr>
        <w:spacing w:line="360" w:lineRule="auto"/>
        <w:ind w:left="720" w:leftChars="343" w:firstLine="1084" w:firstLineChars="300"/>
        <w:outlineLvl w:val="0"/>
        <w:rPr>
          <w:rFonts w:hint="eastAsia" w:ascii="宋体" w:hAnsi="宋体" w:cs="宋体"/>
          <w:b/>
          <w:sz w:val="36"/>
          <w:szCs w:val="36"/>
          <w:highlight w:val="none"/>
        </w:rPr>
      </w:pPr>
      <w:bookmarkStart w:id="396" w:name="第五部分"/>
      <w:bookmarkStart w:id="397" w:name="_Toc86217003"/>
      <w:r>
        <w:rPr>
          <w:rFonts w:hint="eastAsia" w:ascii="宋体" w:hAnsi="宋体" w:cs="宋体"/>
          <w:b/>
          <w:sz w:val="36"/>
          <w:szCs w:val="36"/>
          <w:highlight w:val="none"/>
        </w:rPr>
        <w:t>拟签订的合同文本</w:t>
      </w:r>
    </w:p>
    <w:p>
      <w:pPr>
        <w:pStyle w:val="25"/>
        <w:spacing w:line="360" w:lineRule="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根据《中华人民共和国政府采购法》和《中华人民共和国民法典》、地方有关法律、法规和政策，在平等、自愿、协商一致的基础上，就甲方（</w:t>
      </w:r>
      <w:r>
        <w:rPr>
          <w:rFonts w:hint="eastAsia" w:asciiTheme="minorEastAsia" w:hAnsiTheme="minorEastAsia" w:eastAsiaTheme="minorEastAsia" w:cstheme="minorEastAsia"/>
          <w:color w:val="000000" w:themeColor="text1"/>
          <w:kern w:val="0"/>
          <w:sz w:val="24"/>
          <w:highlight w:val="none"/>
          <w:lang w:val="zh-CN" w:eastAsia="zh-CN"/>
          <w14:textFill>
            <w14:solidFill>
              <w14:schemeClr w14:val="tx1"/>
            </w14:solidFill>
          </w14:textFill>
        </w:rPr>
        <w:t>杭州市文理中学</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）委托乙方（</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经评审最终确定的</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成交供应商）对</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杭州市文理中学监控系统采购项目</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订立本合同。</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1．定义</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1.1“</w:t>
      </w:r>
      <w:r>
        <w:rPr>
          <w:rFonts w:hint="eastAsia" w:ascii="宋体" w:hAnsi="宋体" w:eastAsia="宋体" w:cs="宋体"/>
          <w:kern w:val="0"/>
          <w:sz w:val="24"/>
          <w:highlight w:val="none"/>
          <w:lang w:val="zh-CN"/>
        </w:rPr>
        <w:t>合同”</w:t>
      </w:r>
      <w:r>
        <w:rPr>
          <w:rFonts w:hint="eastAsia" w:ascii="宋体" w:hAnsi="宋体" w:eastAsia="宋体" w:cs="宋体"/>
          <w:sz w:val="24"/>
          <w:highlight w:val="none"/>
        </w:rPr>
        <w:t>即由</w:t>
      </w:r>
      <w:r>
        <w:rPr>
          <w:rFonts w:hint="eastAsia" w:ascii="宋体" w:hAnsi="宋体" w:eastAsia="宋体" w:cs="宋体"/>
          <w:kern w:val="0"/>
          <w:sz w:val="24"/>
          <w:highlight w:val="none"/>
          <w:lang w:val="zh-CN"/>
        </w:rPr>
        <w:t>甲乙方</w:t>
      </w:r>
      <w:r>
        <w:rPr>
          <w:rFonts w:hint="eastAsia" w:ascii="宋体" w:hAnsi="宋体" w:eastAsia="宋体" w:cs="宋体"/>
          <w:sz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合同将由</w:t>
      </w:r>
      <w:r>
        <w:rPr>
          <w:rFonts w:hint="eastAsia" w:ascii="宋体" w:hAnsi="宋体" w:cs="宋体"/>
          <w:sz w:val="24"/>
          <w:highlight w:val="none"/>
          <w:lang w:eastAsia="zh-CN"/>
        </w:rPr>
        <w:t>杭州市文理中学</w:t>
      </w:r>
      <w:r>
        <w:rPr>
          <w:rFonts w:hint="eastAsia" w:ascii="宋体" w:hAnsi="宋体" w:eastAsia="宋体" w:cs="宋体"/>
          <w:sz w:val="24"/>
          <w:highlight w:val="none"/>
        </w:rPr>
        <w:t>（以下简称甲方）与经评审最终确定的中标人（以下简称乙方）结合本项目具体情况协商后签订</w:t>
      </w:r>
      <w:r>
        <w:rPr>
          <w:rFonts w:hint="eastAsia" w:ascii="宋体" w:hAnsi="宋体" w:eastAsia="宋体" w:cs="宋体"/>
          <w:kern w:val="0"/>
          <w:sz w:val="24"/>
          <w:highlight w:val="none"/>
          <w:lang w:val="zh-CN"/>
        </w:rPr>
        <w:t>。以下为采购人提出涉及乙方的主要条款，投标人在投标文件中应对其进行确认或拒绝。如投标人在其投标文件中未做拒绝或提出修改要求的，采购人将视作认同</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1.2“合同价格”系指根据合同规定，在供应商全面正确地履行合同义务时，采购人应支付给供应商的款项。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1.3“服务”系指招标文件规定供应商须承担的安装、调试、技术协助、校准、培训以及其它类似的义务。</w:t>
      </w:r>
    </w:p>
    <w:p>
      <w:pPr>
        <w:spacing w:line="360" w:lineRule="auto"/>
        <w:ind w:firstLine="480" w:firstLineChars="200"/>
        <w:rPr>
          <w:rFonts w:hint="eastAsia" w:ascii="宋体" w:hAnsi="宋体"/>
          <w:color w:val="auto"/>
          <w:sz w:val="24"/>
          <w:highlight w:val="none"/>
        </w:rPr>
      </w:pPr>
      <w:r>
        <w:rPr>
          <w:rFonts w:hint="default" w:ascii="宋体" w:hAnsi="宋体"/>
          <w:color w:val="auto"/>
          <w:sz w:val="24"/>
          <w:highlight w:val="none"/>
          <w:lang w:val="en-US"/>
        </w:rPr>
        <w:t>1</w:t>
      </w:r>
      <w:r>
        <w:rPr>
          <w:rFonts w:ascii="宋体" w:hAnsi="宋体"/>
          <w:color w:val="auto"/>
          <w:sz w:val="24"/>
          <w:highlight w:val="none"/>
        </w:rPr>
        <w:t>.4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olor w:val="auto"/>
          <w:sz w:val="24"/>
          <w:highlight w:val="none"/>
        </w:rPr>
        <w:t>中标供应商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pStyle w:val="3"/>
        <w:rPr>
          <w:rFonts w:hint="eastAsia"/>
          <w:highlight w:val="none"/>
          <w:lang w:eastAsia="zh-CN"/>
        </w:rPr>
      </w:pPr>
      <w:r>
        <w:rPr>
          <w:rFonts w:hint="default" w:ascii="宋体" w:hAnsi="宋体"/>
          <w:color w:val="auto"/>
          <w:sz w:val="24"/>
          <w:highlight w:val="none"/>
          <w:lang w:val="en-US"/>
        </w:rPr>
        <w:t>1</w:t>
      </w:r>
      <w:r>
        <w:rPr>
          <w:rFonts w:ascii="宋体" w:hAnsi="宋体"/>
          <w:color w:val="auto"/>
          <w:sz w:val="24"/>
          <w:highlight w:val="none"/>
        </w:rPr>
        <w:t>.5 “乙方”系指根据合同约定提供服务的中标供应商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1.6“现场”系指将要进行系统安装和运转的地点。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1.7“验收”系指采购人依据技术规格规定接受合同所依据的程序和条件。</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2．适用范围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本合同条款适用与本次采购活动。项目实施范围详见附件——招标文件和投标文件及补充文件、采购设计图</w:t>
      </w:r>
      <w:r>
        <w:rPr>
          <w:rFonts w:hint="eastAsia" w:ascii="宋体" w:hAnsi="宋体" w:cs="宋体"/>
          <w:sz w:val="24"/>
          <w:highlight w:val="none"/>
          <w:lang w:eastAsia="zh-CN"/>
        </w:rPr>
        <w:t>（</w:t>
      </w:r>
      <w:r>
        <w:rPr>
          <w:rFonts w:hint="eastAsia" w:ascii="宋体" w:hAnsi="宋体" w:cs="宋体"/>
          <w:sz w:val="24"/>
          <w:highlight w:val="none"/>
          <w:lang w:val="en-US" w:eastAsia="zh-CN"/>
        </w:rPr>
        <w:t>若有</w:t>
      </w:r>
      <w:r>
        <w:rPr>
          <w:rFonts w:hint="eastAsia" w:ascii="宋体" w:hAnsi="宋体" w:cs="宋体"/>
          <w:sz w:val="24"/>
          <w:highlight w:val="none"/>
          <w:lang w:eastAsia="zh-CN"/>
        </w:rPr>
        <w:t>）</w:t>
      </w:r>
      <w:r>
        <w:rPr>
          <w:rFonts w:hint="eastAsia" w:ascii="宋体" w:hAnsi="宋体" w:eastAsia="宋体" w:cs="宋体"/>
          <w:sz w:val="24"/>
          <w:highlight w:val="none"/>
        </w:rPr>
        <w:t xml:space="preserve">、承诺书等。 </w:t>
      </w:r>
    </w:p>
    <w:p>
      <w:pPr>
        <w:numPr>
          <w:ilvl w:val="0"/>
          <w:numId w:val="10"/>
        </w:numPr>
        <w:spacing w:line="360" w:lineRule="auto"/>
        <w:rPr>
          <w:rFonts w:hint="eastAsia" w:ascii="宋体" w:hAnsi="宋体" w:eastAsia="宋体" w:cs="宋体"/>
          <w:b/>
          <w:sz w:val="24"/>
          <w:highlight w:val="none"/>
        </w:rPr>
      </w:pPr>
      <w:r>
        <w:rPr>
          <w:rFonts w:hint="eastAsia" w:ascii="宋体" w:hAnsi="宋体" w:eastAsia="宋体" w:cs="宋体"/>
          <w:b/>
          <w:sz w:val="24"/>
          <w:highlight w:val="none"/>
          <w:lang w:eastAsia="zh-CN"/>
        </w:rPr>
        <w:t>采购</w:t>
      </w:r>
      <w:r>
        <w:rPr>
          <w:rFonts w:hint="eastAsia" w:ascii="宋体" w:hAnsi="宋体" w:eastAsia="宋体" w:cs="宋体"/>
          <w:b/>
          <w:sz w:val="24"/>
          <w:highlight w:val="none"/>
        </w:rPr>
        <w:t>内容</w:t>
      </w:r>
    </w:p>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default" w:ascii="宋体" w:hAnsi="宋体" w:cs="宋体"/>
          <w:i w:val="0"/>
          <w:iCs w:val="0"/>
          <w:color w:val="auto"/>
          <w:sz w:val="24"/>
          <w:szCs w:val="24"/>
          <w:highlight w:val="none"/>
          <w:lang w:val="en-US" w:eastAsia="zh-CN"/>
        </w:rPr>
        <w:t>3</w:t>
      </w:r>
      <w:r>
        <w:rPr>
          <w:rFonts w:hint="eastAsia" w:ascii="宋体" w:hAnsi="宋体" w:eastAsia="宋体" w:cs="宋体"/>
          <w:i w:val="0"/>
          <w:iCs w:val="0"/>
          <w:color w:val="auto"/>
          <w:sz w:val="24"/>
          <w:szCs w:val="24"/>
          <w:highlight w:val="none"/>
          <w:lang w:val="en-US" w:eastAsia="zh-CN"/>
        </w:rPr>
        <w:t>.1 本次甲方向乙方采购合同货物的具体信息如下：</w:t>
      </w:r>
    </w:p>
    <w:tbl>
      <w:tblPr>
        <w:tblStyle w:val="6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198"/>
        <w:gridCol w:w="1486"/>
        <w:gridCol w:w="1486"/>
        <w:gridCol w:w="1142"/>
        <w:gridCol w:w="812"/>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序号</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产品名称</w:t>
            </w: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品牌</w:t>
            </w: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型号</w:t>
            </w: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单价</w:t>
            </w: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数量</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总价</w:t>
            </w:r>
            <w:r>
              <w:rPr>
                <w:rFonts w:hint="eastAsia" w:ascii="宋体" w:hAnsi="宋体" w:eastAsia="宋体" w:cs="宋体"/>
                <w:i w:val="0"/>
                <w:iCs w:val="0"/>
                <w:color w:val="auto"/>
                <w:sz w:val="24"/>
                <w:szCs w:val="24"/>
                <w:highlight w:val="none"/>
                <w:lang w:eastAsia="zh-CN"/>
              </w:rPr>
              <w:t>（元）</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2</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cs="宋体"/>
                <w:i w:val="0"/>
                <w:iCs w:val="0"/>
                <w:color w:val="auto"/>
                <w:sz w:val="24"/>
                <w:szCs w:val="24"/>
                <w:highlight w:val="none"/>
                <w:lang w:val="en-US" w:eastAsia="zh-CN"/>
              </w:rPr>
              <w:t>……</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合计：人民币</w:t>
            </w:r>
            <w:r>
              <w:rPr>
                <w:rFonts w:hint="default" w:ascii="宋体" w:hAnsi="宋体" w:cs="宋体"/>
                <w:i w:val="0"/>
                <w:iCs w:val="0"/>
                <w:color w:val="auto"/>
                <w:sz w:val="24"/>
                <w:szCs w:val="24"/>
                <w:highlight w:val="none"/>
                <w:u w:val="single"/>
                <w:lang w:val="en-US"/>
              </w:rPr>
              <w:t xml:space="preserve">     </w:t>
            </w:r>
            <w:r>
              <w:rPr>
                <w:rFonts w:hint="eastAsia" w:ascii="宋体" w:hAnsi="宋体" w:eastAsia="宋体" w:cs="宋体"/>
                <w:i w:val="0"/>
                <w:iCs w:val="0"/>
                <w:color w:val="auto"/>
                <w:sz w:val="24"/>
                <w:szCs w:val="24"/>
                <w:highlight w:val="none"/>
              </w:rPr>
              <w:t>元整（大写人民币</w:t>
            </w:r>
            <w:r>
              <w:rPr>
                <w:rFonts w:hint="default" w:ascii="宋体" w:hAnsi="宋体" w:cs="宋体"/>
                <w:i w:val="0"/>
                <w:iCs w:val="0"/>
                <w:color w:val="auto"/>
                <w:sz w:val="24"/>
                <w:szCs w:val="24"/>
                <w:highlight w:val="none"/>
                <w:u w:val="single"/>
                <w:lang w:val="en-US"/>
              </w:rPr>
              <w:t xml:space="preserve">      </w:t>
            </w:r>
            <w:r>
              <w:rPr>
                <w:rFonts w:hint="eastAsia" w:ascii="宋体" w:hAnsi="宋体" w:eastAsia="宋体" w:cs="宋体"/>
                <w:i w:val="0"/>
                <w:iCs w:val="0"/>
                <w:color w:val="auto"/>
                <w:sz w:val="24"/>
                <w:szCs w:val="24"/>
                <w:highlight w:val="none"/>
              </w:rPr>
              <w:t>元）</w:t>
            </w:r>
          </w:p>
        </w:tc>
      </w:tr>
    </w:tbl>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（注：1.如果合同货物有其余需要明确的信息，请在此一并约定；2.如果合同货物品目较多，可将其作为合同附件。）</w:t>
      </w:r>
    </w:p>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default" w:ascii="宋体" w:hAnsi="宋体" w:cs="宋体"/>
          <w:i w:val="0"/>
          <w:iCs w:val="0"/>
          <w:color w:val="auto"/>
          <w:sz w:val="24"/>
          <w:szCs w:val="24"/>
          <w:highlight w:val="none"/>
          <w:lang w:val="en-US" w:eastAsia="zh-CN"/>
        </w:rPr>
        <w:t>3</w:t>
      </w:r>
      <w:r>
        <w:rPr>
          <w:rFonts w:hint="eastAsia" w:ascii="宋体" w:hAnsi="宋体" w:eastAsia="宋体" w:cs="宋体"/>
          <w:i w:val="0"/>
          <w:iCs w:val="0"/>
          <w:color w:val="auto"/>
          <w:sz w:val="24"/>
          <w:szCs w:val="24"/>
          <w:highlight w:val="none"/>
          <w:lang w:val="en-US" w:eastAsia="zh-CN"/>
        </w:rPr>
        <w:t>.2 合同总价包括但不限于：设备购置费、辅助材料费、运杂费、安装调试费、保险费、培训费、税金等相关费税。</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4</w:t>
      </w:r>
      <w:r>
        <w:rPr>
          <w:rFonts w:hint="eastAsia" w:ascii="宋体" w:hAnsi="宋体" w:eastAsia="宋体" w:cs="宋体"/>
          <w:b/>
          <w:sz w:val="24"/>
          <w:highlight w:val="none"/>
        </w:rPr>
        <w:t>．供货</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.1 乙方提供的设备及有关产品部件等货物必须是</w:t>
      </w:r>
      <w:r>
        <w:rPr>
          <w:rFonts w:hint="eastAsia" w:ascii="宋体" w:hAnsi="宋体" w:eastAsia="宋体" w:cs="宋体"/>
          <w:sz w:val="24"/>
          <w:szCs w:val="28"/>
          <w:highlight w:val="none"/>
        </w:rPr>
        <w:t>符合国家技术规范和质量标准</w:t>
      </w:r>
      <w:r>
        <w:rPr>
          <w:rFonts w:hint="eastAsia" w:ascii="宋体" w:hAnsi="宋体" w:eastAsia="宋体" w:cs="宋体"/>
          <w:sz w:val="24"/>
          <w:highlight w:val="none"/>
        </w:rPr>
        <w:t>，经国家“3C”认证或通过国家有关部门检测的原产地合格产品。采购前需经甲方和监理单位的认可。</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.3</w:t>
      </w:r>
      <w:r>
        <w:rPr>
          <w:rFonts w:hint="eastAsia" w:ascii="宋体" w:hAnsi="宋体" w:eastAsia="宋体" w:cs="宋体"/>
          <w:kern w:val="0"/>
          <w:sz w:val="24"/>
          <w:highlight w:val="none"/>
          <w:lang w:val="zh-CN"/>
        </w:rPr>
        <w:t>乙方</w:t>
      </w:r>
      <w:r>
        <w:rPr>
          <w:rFonts w:hint="eastAsia" w:ascii="宋体" w:hAnsi="宋体" w:eastAsia="宋体" w:cs="宋体"/>
          <w:sz w:val="24"/>
          <w:szCs w:val="21"/>
          <w:highlight w:val="none"/>
        </w:rPr>
        <w:t>对所提供的产品、技术和服务等拥有</w:t>
      </w:r>
      <w:r>
        <w:rPr>
          <w:rFonts w:hint="eastAsia" w:ascii="宋体" w:hAnsi="宋体" w:eastAsia="宋体" w:cs="宋体"/>
          <w:sz w:val="24"/>
          <w:highlight w:val="none"/>
        </w:rPr>
        <w:t>合法的占有和处置权，并对涉及项目的</w:t>
      </w:r>
      <w:r>
        <w:rPr>
          <w:rFonts w:hint="eastAsia" w:ascii="宋体" w:hAnsi="宋体" w:eastAsia="宋体" w:cs="宋体"/>
          <w:sz w:val="24"/>
          <w:szCs w:val="21"/>
          <w:highlight w:val="none"/>
        </w:rPr>
        <w:t>所有内容可能侵权行为指控负责，保证不伤害</w:t>
      </w:r>
      <w:r>
        <w:rPr>
          <w:rFonts w:hint="eastAsia" w:ascii="宋体" w:hAnsi="宋体" w:eastAsia="宋体" w:cs="宋体"/>
          <w:sz w:val="24"/>
          <w:highlight w:val="none"/>
        </w:rPr>
        <w:t>甲方</w:t>
      </w:r>
      <w:r>
        <w:rPr>
          <w:rFonts w:hint="eastAsia" w:ascii="宋体" w:hAnsi="宋体" w:eastAsia="宋体" w:cs="宋体"/>
          <w:sz w:val="24"/>
          <w:szCs w:val="21"/>
          <w:highlight w:val="none"/>
        </w:rPr>
        <w:t>的利益。在法律范围内，如果出现文字、图片、商标和技术等侵权行为而造成的纠纷和产生的一切费用，</w:t>
      </w:r>
      <w:r>
        <w:rPr>
          <w:rFonts w:hint="eastAsia" w:ascii="宋体" w:hAnsi="宋体" w:eastAsia="宋体" w:cs="宋体"/>
          <w:sz w:val="24"/>
          <w:highlight w:val="none"/>
        </w:rPr>
        <w:t>甲方</w:t>
      </w:r>
      <w:r>
        <w:rPr>
          <w:rFonts w:hint="eastAsia" w:ascii="宋体" w:hAnsi="宋体" w:eastAsia="宋体" w:cs="宋体"/>
          <w:sz w:val="24"/>
          <w:szCs w:val="21"/>
          <w:highlight w:val="none"/>
        </w:rPr>
        <w:t>概不负责，由此给</w:t>
      </w:r>
      <w:r>
        <w:rPr>
          <w:rFonts w:hint="eastAsia" w:ascii="宋体" w:hAnsi="宋体" w:eastAsia="宋体" w:cs="宋体"/>
          <w:sz w:val="24"/>
          <w:highlight w:val="none"/>
        </w:rPr>
        <w:t>甲方</w:t>
      </w:r>
      <w:r>
        <w:rPr>
          <w:rFonts w:hint="eastAsia" w:ascii="宋体" w:hAnsi="宋体" w:eastAsia="宋体" w:cs="宋体"/>
          <w:sz w:val="24"/>
          <w:szCs w:val="21"/>
          <w:highlight w:val="none"/>
        </w:rPr>
        <w:t>造成损失的，</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要承担相应后果，</w:t>
      </w:r>
      <w:r>
        <w:rPr>
          <w:rFonts w:hint="eastAsia" w:ascii="宋体" w:hAnsi="宋体" w:eastAsia="宋体" w:cs="宋体"/>
          <w:kern w:val="0"/>
          <w:sz w:val="24"/>
          <w:highlight w:val="none"/>
          <w:lang w:val="zh-CN"/>
        </w:rPr>
        <w:t>并负责赔偿。乙方</w:t>
      </w:r>
      <w:r>
        <w:rPr>
          <w:rFonts w:hint="eastAsia" w:ascii="宋体" w:hAnsi="宋体" w:eastAsia="宋体" w:cs="宋体"/>
          <w:sz w:val="24"/>
          <w:highlight w:val="none"/>
        </w:rPr>
        <w:t>为执行本项目合同而提供的技术资料等归甲方所有。</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.4 乙方所提供的设备交货时间必须按照本项目的工程安装进度进场。</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5</w:t>
      </w:r>
      <w:r>
        <w:rPr>
          <w:rFonts w:hint="eastAsia" w:ascii="宋体" w:hAnsi="宋体" w:eastAsia="宋体" w:cs="宋体"/>
          <w:b/>
          <w:sz w:val="24"/>
          <w:highlight w:val="none"/>
        </w:rPr>
        <w:t>．安装调试和系统接入</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.1 甲方提供堆放材料和工具场地，设备和材料的堆放安全由乙方负责。</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.2 甲方提供工程所需的水源和电源，费用由乙方承担。</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.3 乙方项目实施人员须服从甲方、监理管理人员管理，项目质量纳入现场监理。乙方项目实施人员必须遵守现场的各项规章制度。</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.4 乙方应根据项目情况提供安装、到货计划，安装的实施进度计划，经甲、乙双方共同确定后作为双方共同执行的合同条款，乙方应按计划完工交付验收，若超过计划完工日15天以上的天数按超期处罚。</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6</w:t>
      </w:r>
      <w:r>
        <w:rPr>
          <w:rFonts w:hint="eastAsia" w:ascii="宋体" w:hAnsi="宋体" w:eastAsia="宋体" w:cs="宋体"/>
          <w:b/>
          <w:sz w:val="24"/>
          <w:highlight w:val="none"/>
        </w:rPr>
        <w:t>．培训保修</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6</w:t>
      </w:r>
      <w:r>
        <w:rPr>
          <w:rFonts w:hint="eastAsia" w:ascii="宋体" w:hAnsi="宋体" w:eastAsia="宋体" w:cs="宋体"/>
          <w:sz w:val="24"/>
          <w:highlight w:val="none"/>
        </w:rPr>
        <w:t>.1 乙方对甲方提供操作维护、管理等培训，至熟练操作为止。</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6</w:t>
      </w:r>
      <w:r>
        <w:rPr>
          <w:rFonts w:hint="eastAsia" w:ascii="宋体" w:hAnsi="宋体" w:eastAsia="宋体" w:cs="宋体"/>
          <w:sz w:val="24"/>
          <w:highlight w:val="none"/>
        </w:rPr>
        <w:t>.2 乙方提供免费维修（即质保期）：</w:t>
      </w:r>
      <w:r>
        <w:rPr>
          <w:rFonts w:hint="eastAsia" w:ascii="宋体" w:hAnsi="宋体" w:cs="宋体"/>
          <w:sz w:val="24"/>
          <w:highlight w:val="none"/>
          <w:lang w:eastAsia="zh-CN"/>
        </w:rPr>
        <w:t>按投标文件</w:t>
      </w:r>
      <w:r>
        <w:rPr>
          <w:rFonts w:hint="eastAsia" w:ascii="宋体" w:hAnsi="宋体" w:eastAsia="宋体" w:cs="宋体"/>
          <w:sz w:val="24"/>
          <w:highlight w:val="none"/>
        </w:rPr>
        <w:t>要求提供不少于</w:t>
      </w:r>
      <w:r>
        <w:rPr>
          <w:rFonts w:hint="default" w:ascii="宋体" w:hAnsi="宋体" w:cs="宋体"/>
          <w:sz w:val="24"/>
          <w:highlight w:val="none"/>
          <w:u w:val="single"/>
          <w:lang w:val="en-US"/>
        </w:rPr>
        <w:t xml:space="preserve">  </w:t>
      </w:r>
      <w:r>
        <w:rPr>
          <w:rFonts w:hint="eastAsia" w:ascii="宋体" w:hAnsi="宋体" w:eastAsia="宋体" w:cs="宋体"/>
          <w:sz w:val="24"/>
          <w:highlight w:val="none"/>
        </w:rPr>
        <w:t>年7×24免费设备保修和售后现场技术服务，</w:t>
      </w:r>
      <w:r>
        <w:rPr>
          <w:rFonts w:hint="eastAsia" w:ascii="宋体" w:hAnsi="宋体" w:cs="宋体"/>
          <w:sz w:val="24"/>
          <w:highlight w:val="none"/>
          <w:lang w:eastAsia="zh-CN"/>
        </w:rPr>
        <w:t>进行质保服务。</w:t>
      </w:r>
    </w:p>
    <w:p>
      <w:pPr>
        <w:spacing w:line="360" w:lineRule="auto"/>
        <w:rPr>
          <w:rFonts w:hint="eastAsia" w:ascii="宋体" w:hAnsi="宋体" w:eastAsia="宋体" w:cs="宋体"/>
          <w:sz w:val="24"/>
          <w:highlight w:val="none"/>
        </w:rPr>
      </w:pPr>
      <w:r>
        <w:rPr>
          <w:rFonts w:hint="default" w:ascii="宋体" w:hAnsi="宋体" w:cs="宋体"/>
          <w:b/>
          <w:sz w:val="24"/>
          <w:highlight w:val="none"/>
          <w:lang w:val="en-US"/>
        </w:rPr>
        <w:t>7</w:t>
      </w:r>
      <w:r>
        <w:rPr>
          <w:rFonts w:hint="eastAsia" w:ascii="宋体" w:hAnsi="宋体" w:eastAsia="宋体" w:cs="宋体"/>
          <w:b/>
          <w:sz w:val="24"/>
          <w:highlight w:val="none"/>
        </w:rPr>
        <w:t>．验收</w:t>
      </w:r>
    </w:p>
    <w:p>
      <w:pPr>
        <w:pStyle w:val="5"/>
        <w:keepNext/>
        <w:keepLines/>
        <w:pageBreakBefore w:val="0"/>
        <w:widowControl w:val="0"/>
        <w:kinsoku/>
        <w:wordWrap/>
        <w:overflowPunct/>
        <w:topLinePunct w:val="0"/>
        <w:autoSpaceDE/>
        <w:autoSpaceDN/>
        <w:bidi w:val="0"/>
        <w:adjustRightInd/>
        <w:snapToGrid/>
        <w:ind w:left="0"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7.1货物交付前，乙方应对货物的质量、数量等方面进行详细、全面的检验，并向甲方出具证明货物符合合同约定的文件；货物交付时，甲方在</w:t>
      </w:r>
      <w:r>
        <w:rPr>
          <w:rFonts w:hint="eastAsia" w:ascii="宋体" w:hAnsi="宋体" w:eastAsia="宋体" w:cs="宋体"/>
          <w:b/>
          <w:bCs/>
          <w:kern w:val="2"/>
          <w:sz w:val="24"/>
          <w:szCs w:val="24"/>
          <w:highlight w:val="none"/>
          <w:u w:val="single"/>
          <w:lang w:val="en-US" w:eastAsia="zh-CN" w:bidi="ar-SA"/>
        </w:rPr>
        <w:t xml:space="preserve">   </w:t>
      </w:r>
      <w:r>
        <w:rPr>
          <w:rFonts w:hint="eastAsia" w:ascii="宋体" w:hAnsi="宋体" w:eastAsia="宋体" w:cs="宋体"/>
          <w:b/>
          <w:bCs/>
          <w:kern w:val="2"/>
          <w:sz w:val="24"/>
          <w:szCs w:val="24"/>
          <w:highlight w:val="none"/>
          <w:lang w:val="en-US" w:eastAsia="zh-CN" w:bidi="ar-SA"/>
        </w:rPr>
        <w:t>日</w:t>
      </w:r>
      <w:r>
        <w:rPr>
          <w:rFonts w:hint="eastAsia" w:ascii="宋体" w:hAnsi="宋体" w:eastAsia="宋体" w:cs="宋体"/>
          <w:b w:val="0"/>
          <w:bCs w:val="0"/>
          <w:kern w:val="2"/>
          <w:sz w:val="24"/>
          <w:szCs w:val="24"/>
          <w:highlight w:val="none"/>
          <w:lang w:val="en-US" w:eastAsia="zh-CN" w:bidi="ar-SA"/>
        </w:rPr>
        <w:t>内组织验收，并可依法邀请相关方参加，验收应出具验收书。</w:t>
      </w:r>
    </w:p>
    <w:p>
      <w:pPr>
        <w:pStyle w:val="5"/>
        <w:keepNext/>
        <w:keepLines/>
        <w:pageBreakBefore w:val="0"/>
        <w:widowControl w:val="0"/>
        <w:kinsoku/>
        <w:wordWrap/>
        <w:overflowPunct/>
        <w:topLinePunct w:val="0"/>
        <w:autoSpaceDE/>
        <w:autoSpaceDN/>
        <w:bidi w:val="0"/>
        <w:adjustRightInd/>
        <w:snapToGrid/>
        <w:ind w:left="0"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numPr>
          <w:ilvl w:val="0"/>
          <w:numId w:val="11"/>
        </w:numPr>
        <w:spacing w:line="360" w:lineRule="auto"/>
        <w:rPr>
          <w:rFonts w:hint="eastAsia" w:ascii="宋体" w:hAnsi="宋体" w:eastAsia="宋体" w:cs="宋体"/>
          <w:b/>
          <w:sz w:val="24"/>
          <w:highlight w:val="none"/>
        </w:rPr>
      </w:pPr>
      <w:r>
        <w:rPr>
          <w:rFonts w:hint="eastAsia" w:ascii="宋体" w:hAnsi="宋体" w:cs="宋体"/>
          <w:b/>
          <w:sz w:val="24"/>
          <w:highlight w:val="none"/>
          <w:lang w:eastAsia="zh-CN"/>
        </w:rPr>
        <w:t>项目</w:t>
      </w:r>
      <w:r>
        <w:rPr>
          <w:rFonts w:hint="eastAsia" w:ascii="宋体" w:hAnsi="宋体" w:eastAsia="宋体" w:cs="宋体"/>
          <w:b/>
          <w:sz w:val="24"/>
          <w:highlight w:val="none"/>
        </w:rPr>
        <w:t>价款及调整</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本</w:t>
      </w:r>
      <w:r>
        <w:rPr>
          <w:rFonts w:hint="eastAsia" w:ascii="宋体" w:hAnsi="宋体" w:cs="宋体"/>
          <w:kern w:val="0"/>
          <w:sz w:val="24"/>
          <w:highlight w:val="none"/>
          <w:lang w:val="zh-CN"/>
        </w:rPr>
        <w:t>次项目</w:t>
      </w:r>
      <w:r>
        <w:rPr>
          <w:rFonts w:hint="eastAsia" w:ascii="宋体" w:hAnsi="宋体" w:eastAsia="宋体" w:cs="宋体"/>
          <w:kern w:val="0"/>
          <w:sz w:val="24"/>
          <w:highlight w:val="none"/>
          <w:lang w:val="zh-CN"/>
        </w:rPr>
        <w:t>招标采取固定总价承包，未经甲方认可，不得以任何理由予以变更，除以下列明的价款调整和计算方法之外，所有费用包干，不予调整。乙方应按甲方提供的要求报价，缺项、漏项和设备选型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hint="eastAsia" w:ascii="宋体" w:hAnsi="宋体" w:eastAsia="宋体" w:cs="宋体"/>
          <w:b/>
          <w:sz w:val="24"/>
          <w:highlight w:val="none"/>
          <w:lang w:eastAsia="zh-CN"/>
        </w:rPr>
      </w:pPr>
      <w:r>
        <w:rPr>
          <w:rFonts w:hint="default" w:ascii="宋体" w:hAnsi="宋体" w:cs="宋体"/>
          <w:b/>
          <w:sz w:val="24"/>
          <w:highlight w:val="none"/>
          <w:lang w:val="en-US"/>
        </w:rPr>
        <w:t>9</w:t>
      </w:r>
      <w:r>
        <w:rPr>
          <w:rFonts w:hint="eastAsia" w:ascii="宋体" w:hAnsi="宋体" w:eastAsia="宋体" w:cs="宋体"/>
          <w:b/>
          <w:sz w:val="24"/>
          <w:highlight w:val="none"/>
        </w:rPr>
        <w:t>．</w:t>
      </w:r>
      <w:r>
        <w:rPr>
          <w:rFonts w:hint="eastAsia" w:ascii="宋体" w:hAnsi="宋体" w:cs="宋体"/>
          <w:b/>
          <w:sz w:val="24"/>
          <w:highlight w:val="none"/>
          <w:lang w:eastAsia="zh-CN"/>
        </w:rPr>
        <w:t>付款方式、比例</w:t>
      </w:r>
    </w:p>
    <w:p>
      <w:pPr>
        <w:pStyle w:val="958"/>
        <w:spacing w:before="0" w:beforeAutospacing="0" w:after="0" w:afterAutospacing="0" w:line="360" w:lineRule="auto"/>
        <w:ind w:firstLine="480"/>
        <w:rPr>
          <w:rFonts w:cs="Times New Roman"/>
          <w:color w:val="auto"/>
          <w:highlight w:val="none"/>
        </w:rPr>
      </w:pPr>
      <w:r>
        <w:rPr>
          <w:rFonts w:hint="eastAsia" w:cs="Times New Roman"/>
          <w:color w:val="auto"/>
          <w:highlight w:val="none"/>
          <w:lang w:val="en-US" w:eastAsia="zh-CN"/>
        </w:rPr>
        <w:t>9.</w:t>
      </w:r>
      <w:r>
        <w:rPr>
          <w:rFonts w:cs="Times New Roman"/>
          <w:color w:val="auto"/>
          <w:highlight w:val="none"/>
        </w:rPr>
        <w:t>1</w:t>
      </w:r>
      <w:r>
        <w:rPr>
          <w:rFonts w:hint="eastAsia" w:cs="Times New Roman"/>
          <w:color w:val="auto"/>
          <w:highlight w:val="none"/>
          <w:lang w:val="en-US" w:eastAsia="zh-CN"/>
        </w:rPr>
        <w:t xml:space="preserve"> </w:t>
      </w:r>
      <w:r>
        <w:rPr>
          <w:rFonts w:hint="eastAsia" w:cs="Times New Roman"/>
          <w:color w:val="auto"/>
          <w:highlight w:val="none"/>
        </w:rPr>
        <w:t>甲方应严格履行合同，及时组织验收，验收合格后及时将合同款支付完毕。对于满足合同约定支付条件的，甲方自收到发票后5</w:t>
      </w:r>
      <w:r>
        <w:rPr>
          <w:rFonts w:cs="Times New Roman"/>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宋体" w:hAnsi="宋体"/>
          <w:b/>
          <w:bCs/>
          <w:color w:val="auto"/>
          <w:sz w:val="24"/>
          <w:highlight w:val="none"/>
        </w:rPr>
      </w:pPr>
      <w:r>
        <w:rPr>
          <w:rFonts w:hint="eastAsia" w:ascii="宋体" w:hAnsi="宋体"/>
          <w:color w:val="auto"/>
          <w:sz w:val="24"/>
          <w:highlight w:val="none"/>
          <w:lang w:val="en-US" w:eastAsia="zh-CN"/>
        </w:rPr>
        <w:t>9.</w:t>
      </w:r>
      <w:r>
        <w:rPr>
          <w:rFonts w:ascii="宋体" w:hAnsi="宋体"/>
          <w:color w:val="auto"/>
          <w:sz w:val="24"/>
          <w:highlight w:val="none"/>
        </w:rPr>
        <w:t>2</w:t>
      </w:r>
      <w:r>
        <w:rPr>
          <w:rFonts w:hint="eastAsia" w:ascii="宋体" w:hAnsi="宋体"/>
          <w:color w:val="auto"/>
          <w:sz w:val="24"/>
          <w:highlight w:val="none"/>
        </w:rPr>
        <w:t>合同预付款比例为合同金额的</w:t>
      </w:r>
      <w:r>
        <w:rPr>
          <w:rFonts w:ascii="宋体" w:hAnsi="宋体"/>
          <w:color w:val="auto"/>
          <w:sz w:val="24"/>
          <w:highlight w:val="none"/>
        </w:rPr>
        <w:t>40％；项目分年安排预算的，每年预付款比例为项目年度计划支付资金额的40％；采购项目实施以人工投入为主的，预付款比例为合同金额的2</w:t>
      </w:r>
      <w:r>
        <w:rPr>
          <w:rFonts w:hint="eastAsia" w:ascii="宋体" w:hAnsi="宋体"/>
          <w:color w:val="auto"/>
          <w:sz w:val="24"/>
          <w:highlight w:val="none"/>
        </w:rPr>
        <w:t>5</w:t>
      </w:r>
      <w:r>
        <w:rPr>
          <w:rFonts w:ascii="宋体" w:hAnsi="宋体"/>
          <w:color w:val="auto"/>
          <w:sz w:val="24"/>
          <w:highlight w:val="none"/>
        </w:rPr>
        <w:t>%。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w:t>
      </w:r>
      <w:r>
        <w:rPr>
          <w:rFonts w:ascii="宋体" w:hAnsi="宋体"/>
          <w:b/>
          <w:bCs/>
          <w:color w:val="auto"/>
          <w:sz w:val="24"/>
          <w:highlight w:val="none"/>
        </w:rPr>
        <w:t>甲方根据项目特点、供应商诚信等因素，可以要求乙方提交银行、保险公司等金融机构出具的预付款保函或其他担保措施。政府采购预付款应在合同生效以及具备实施条件后</w:t>
      </w:r>
      <w:r>
        <w:rPr>
          <w:rFonts w:hint="eastAsia" w:ascii="宋体" w:hAnsi="宋体"/>
          <w:b/>
          <w:bCs/>
          <w:color w:val="auto"/>
          <w:sz w:val="24"/>
          <w:highlight w:val="none"/>
        </w:rPr>
        <w:t>5</w:t>
      </w:r>
      <w:r>
        <w:rPr>
          <w:rFonts w:ascii="宋体" w:hAnsi="宋体"/>
          <w:b/>
          <w:bCs/>
          <w:color w:val="auto"/>
          <w:sz w:val="24"/>
          <w:highlight w:val="none"/>
        </w:rPr>
        <w:t>个工作日内支付。</w:t>
      </w:r>
      <w:r>
        <w:rPr>
          <w:rFonts w:hint="eastAsia" w:ascii="宋体" w:hAnsi="宋体"/>
          <w:b/>
          <w:bCs/>
          <w:color w:val="auto"/>
          <w:sz w:val="24"/>
          <w:highlight w:val="none"/>
        </w:rPr>
        <w:t>政府采购工程以及与工程建设有关的货物、服务，采用招标方式采购的，预付款从其相关规定。乙方可登录政采云前台大厅选择金融服务</w:t>
      </w:r>
      <w:r>
        <w:rPr>
          <w:rFonts w:ascii="宋体" w:hAnsi="宋体"/>
          <w:b/>
          <w:bCs/>
          <w:color w:val="auto"/>
          <w:sz w:val="24"/>
          <w:highlight w:val="none"/>
        </w:rPr>
        <w:t xml:space="preserve"> - </w:t>
      </w:r>
      <w:r>
        <w:rPr>
          <w:rFonts w:hint="eastAsia" w:ascii="宋体" w:hAnsi="宋体"/>
          <w:b/>
          <w:bCs/>
          <w:color w:val="auto"/>
          <w:sz w:val="24"/>
          <w:highlight w:val="none"/>
        </w:rPr>
        <w:t>【保函保险服务】出具预付款保函，具体步骤：选择产品—填写供应商信息—选择中标项目—确认信息—等待保险</w:t>
      </w:r>
      <w:r>
        <w:rPr>
          <w:rFonts w:ascii="宋体" w:hAnsi="宋体"/>
          <w:b/>
          <w:bCs/>
          <w:color w:val="auto"/>
          <w:sz w:val="24"/>
          <w:highlight w:val="none"/>
        </w:rPr>
        <w:t>/保函受理—确认保单—支付保费—成功出单。政</w:t>
      </w:r>
      <w:r>
        <w:rPr>
          <w:rFonts w:hint="eastAsia" w:ascii="宋体" w:hAnsi="宋体"/>
          <w:b/>
          <w:bCs/>
          <w:color w:val="auto"/>
          <w:sz w:val="24"/>
          <w:highlight w:val="none"/>
        </w:rPr>
        <w:t>采云金融专线</w:t>
      </w:r>
      <w:r>
        <w:rPr>
          <w:rFonts w:ascii="宋体" w:hAnsi="宋体"/>
          <w:b/>
          <w:bCs/>
          <w:color w:val="auto"/>
          <w:sz w:val="24"/>
          <w:highlight w:val="none"/>
        </w:rPr>
        <w:t>400-903-9583。</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9.3</w:t>
      </w:r>
      <w:r>
        <w:rPr>
          <w:rFonts w:hint="eastAsia" w:ascii="宋体" w:hAnsi="宋体"/>
          <w:color w:val="auto"/>
          <w:sz w:val="24"/>
          <w:highlight w:val="none"/>
        </w:rPr>
        <w:t>甲方迟延支付乙方款项的，向乙方支付逾期利息。双方可约定逾期利率，约定利率不得低于合同订立时</w:t>
      </w:r>
      <w:r>
        <w:rPr>
          <w:rFonts w:ascii="宋体" w:hAnsi="宋体"/>
          <w:color w:val="auto"/>
          <w:sz w:val="24"/>
          <w:highlight w:val="none"/>
        </w:rPr>
        <w:t>1年</w:t>
      </w:r>
      <w:r>
        <w:rPr>
          <w:rFonts w:hint="eastAsia" w:ascii="宋体" w:hAnsi="宋体"/>
          <w:color w:val="auto"/>
          <w:sz w:val="24"/>
          <w:highlight w:val="none"/>
        </w:rPr>
        <w:t>期贷款市场报价利率；未作约定的，按照每日利率万分之五支付逾期利息。</w:t>
      </w:r>
    </w:p>
    <w:p>
      <w:pPr>
        <w:pStyle w:val="129"/>
        <w:spacing w:before="0" w:line="360" w:lineRule="auto"/>
        <w:ind w:firstLine="482" w:firstLineChars="200"/>
        <w:rPr>
          <w:rFonts w:hint="default" w:ascii="宋体" w:hAnsi="宋体" w:eastAsia="宋体" w:cs="宋体"/>
          <w:b/>
          <w:color w:val="000000"/>
          <w:sz w:val="24"/>
          <w:szCs w:val="24"/>
          <w:highlight w:val="none"/>
          <w:lang w:val="en-US"/>
        </w:rPr>
      </w:pPr>
      <w:r>
        <w:rPr>
          <w:rFonts w:hint="eastAsia" w:ascii="宋体" w:hAnsi="宋体" w:cs="宋体"/>
          <w:b/>
          <w:color w:val="000000"/>
          <w:sz w:val="24"/>
          <w:szCs w:val="24"/>
          <w:highlight w:val="none"/>
          <w:lang w:val="en-US" w:eastAsia="zh-CN"/>
        </w:rPr>
        <w:t>9.4.付款比例、时间</w:t>
      </w:r>
    </w:p>
    <w:p>
      <w:pPr>
        <w:autoSpaceDE w:val="0"/>
        <w:autoSpaceDN w:val="0"/>
        <w:adjustRightInd w:val="0"/>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本次项目合同总价为人民币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元），采用(分期付款)方式</w:t>
      </w:r>
      <w:r>
        <w:rPr>
          <w:rFonts w:hint="eastAsia" w:ascii="宋体" w:hAnsi="宋体" w:eastAsia="宋体" w:cs="宋体"/>
          <w:kern w:val="0"/>
          <w:sz w:val="24"/>
          <w:highlight w:val="none"/>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382"/>
        <w:gridCol w:w="1785"/>
        <w:gridCol w:w="1785"/>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付款期数</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付款比例</w:t>
            </w:r>
            <w:r>
              <w:rPr>
                <w:rFonts w:hint="eastAsia" w:ascii="宋体" w:hAnsi="宋体" w:cs="宋体"/>
                <w:kern w:val="0"/>
                <w:sz w:val="24"/>
                <w:szCs w:val="24"/>
                <w:highlight w:val="none"/>
                <w:lang w:val="zh-CN"/>
              </w:rPr>
              <w:t>（</w:t>
            </w:r>
            <w:r>
              <w:rPr>
                <w:rFonts w:hint="default" w:ascii="宋体" w:hAnsi="宋体" w:cs="宋体"/>
                <w:kern w:val="0"/>
                <w:sz w:val="24"/>
                <w:szCs w:val="24"/>
                <w:highlight w:val="none"/>
                <w:lang w:val="en-US"/>
              </w:rPr>
              <w:t>%</w:t>
            </w:r>
            <w:r>
              <w:rPr>
                <w:rFonts w:hint="eastAsia" w:ascii="宋体" w:hAnsi="宋体" w:cs="宋体"/>
                <w:kern w:val="0"/>
                <w:sz w:val="24"/>
                <w:szCs w:val="24"/>
                <w:highlight w:val="none"/>
                <w:lang w:val="zh-CN"/>
              </w:rPr>
              <w:t>）</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付款大写金额（元）</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付款小写金额（元）</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第一期</w:t>
            </w:r>
          </w:p>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预付款</w:t>
            </w:r>
            <w:r>
              <w:rPr>
                <w:rFonts w:hint="eastAsia" w:ascii="宋体" w:hAnsi="宋体" w:cs="宋体"/>
                <w:kern w:val="0"/>
                <w:sz w:val="24"/>
                <w:szCs w:val="24"/>
                <w:highlight w:val="none"/>
                <w:lang w:val="zh-CN"/>
              </w:rPr>
              <w:t>）</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eastAsia="宋体" w:cs="宋体"/>
                <w:kern w:val="0"/>
                <w:sz w:val="24"/>
                <w:szCs w:val="24"/>
                <w:highlight w:val="none"/>
                <w:lang w:val="en-US"/>
              </w:rPr>
              <w:t>40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eastAsia="宋体" w:cs="宋体"/>
                <w:b w:val="0"/>
                <w:bCs w:val="0"/>
                <w:i w:val="0"/>
                <w:iCs w:val="0"/>
                <w:color w:val="auto"/>
                <w:kern w:val="2"/>
                <w:sz w:val="24"/>
                <w:szCs w:val="24"/>
                <w:highlight w:val="none"/>
                <w:lang w:val="en-US" w:eastAsia="zh-CN" w:bidi="ar"/>
              </w:rPr>
              <w:t>合同生效以及具备实施条件后</w:t>
            </w:r>
            <w:r>
              <w:rPr>
                <w:rFonts w:hint="eastAsia" w:ascii="宋体" w:hAnsi="宋体" w:cs="宋体"/>
                <w:b w:val="0"/>
                <w:bCs w:val="0"/>
                <w:i w:val="0"/>
                <w:iCs w:val="0"/>
                <w:color w:val="auto"/>
                <w:kern w:val="2"/>
                <w:sz w:val="24"/>
                <w:szCs w:val="24"/>
                <w:highlight w:val="none"/>
                <w:lang w:val="en-US" w:eastAsia="zh-CN" w:bidi="ar"/>
              </w:rPr>
              <w:t>7</w:t>
            </w:r>
            <w:r>
              <w:rPr>
                <w:rFonts w:hint="eastAsia" w:ascii="宋体" w:hAnsi="宋体" w:eastAsia="宋体" w:cs="宋体"/>
                <w:b w:val="0"/>
                <w:bCs w:val="0"/>
                <w:i w:val="0"/>
                <w:iCs w:val="0"/>
                <w:color w:val="auto"/>
                <w:kern w:val="2"/>
                <w:sz w:val="24"/>
                <w:szCs w:val="24"/>
                <w:highlight w:val="none"/>
                <w:lang w:val="en-US" w:eastAsia="zh-CN" w:bidi="ar"/>
              </w:rPr>
              <w:t>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en-US" w:eastAsia="zh-CN"/>
              </w:rPr>
              <w:t>第二期</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cs="宋体"/>
                <w:kern w:val="0"/>
                <w:sz w:val="24"/>
                <w:szCs w:val="24"/>
                <w:highlight w:val="none"/>
                <w:lang w:val="en-US" w:eastAsia="zh-CN"/>
              </w:rPr>
              <w:t>40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en-US" w:eastAsia="zh-CN"/>
              </w:rPr>
              <w:t>到货初验合格后15个工作日内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w:t>
            </w:r>
            <w:r>
              <w:rPr>
                <w:rFonts w:hint="eastAsia" w:ascii="宋体" w:hAnsi="宋体" w:cs="宋体"/>
                <w:kern w:val="0"/>
                <w:sz w:val="24"/>
                <w:szCs w:val="24"/>
                <w:highlight w:val="none"/>
                <w:lang w:val="en-US" w:eastAsia="zh-CN"/>
              </w:rPr>
              <w:t>三</w:t>
            </w:r>
            <w:r>
              <w:rPr>
                <w:rFonts w:hint="eastAsia" w:ascii="宋体" w:hAnsi="宋体" w:eastAsia="宋体" w:cs="宋体"/>
                <w:kern w:val="0"/>
                <w:sz w:val="24"/>
                <w:szCs w:val="24"/>
                <w:highlight w:val="none"/>
                <w:lang w:val="zh-CN"/>
              </w:rPr>
              <w:t>期</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cs="宋体"/>
                <w:kern w:val="0"/>
                <w:sz w:val="24"/>
                <w:szCs w:val="24"/>
                <w:highlight w:val="none"/>
                <w:lang w:val="en-US" w:eastAsia="zh-CN"/>
              </w:rPr>
              <w:t>20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b w:val="0"/>
                <w:bCs w:val="0"/>
                <w:i w:val="0"/>
                <w:iCs w:val="0"/>
                <w:color w:val="auto"/>
                <w:kern w:val="2"/>
                <w:sz w:val="24"/>
                <w:szCs w:val="24"/>
                <w:highlight w:val="none"/>
                <w:lang w:val="en-US" w:eastAsia="zh-CN" w:bidi="ar"/>
              </w:rPr>
            </w:pPr>
            <w:r>
              <w:rPr>
                <w:rFonts w:hint="eastAsia" w:ascii="宋体" w:hAnsi="宋体" w:cs="宋体"/>
                <w:kern w:val="0"/>
                <w:sz w:val="24"/>
                <w:szCs w:val="24"/>
                <w:highlight w:val="none"/>
                <w:lang w:val="en-US" w:eastAsia="zh-CN"/>
              </w:rPr>
              <w:t>终验合格后15个工作日内</w:t>
            </w:r>
          </w:p>
        </w:tc>
      </w:tr>
    </w:tbl>
    <w:p>
      <w:pPr>
        <w:pStyle w:val="34"/>
        <w:spacing w:line="360" w:lineRule="auto"/>
        <w:rPr>
          <w:rFonts w:hint="eastAsia" w:ascii="宋体" w:hAnsi="宋体" w:eastAsia="宋体" w:cs="宋体"/>
          <w:b/>
          <w:sz w:val="24"/>
          <w:highlight w:val="none"/>
          <w:lang w:val="zh-CN"/>
        </w:rPr>
      </w:pPr>
      <w:r>
        <w:rPr>
          <w:rFonts w:hint="default" w:hAnsi="宋体" w:cs="宋体"/>
          <w:b/>
          <w:sz w:val="24"/>
          <w:highlight w:val="none"/>
          <w:lang w:val="en-US"/>
        </w:rPr>
        <w:t>10</w:t>
      </w:r>
      <w:r>
        <w:rPr>
          <w:rFonts w:hint="eastAsia" w:ascii="宋体" w:hAnsi="宋体" w:eastAsia="宋体" w:cs="宋体"/>
          <w:sz w:val="24"/>
          <w:highlight w:val="none"/>
        </w:rPr>
        <w:t xml:space="preserve">. </w:t>
      </w:r>
      <w:r>
        <w:rPr>
          <w:rFonts w:hint="eastAsia" w:ascii="宋体" w:hAnsi="宋体" w:eastAsia="宋体" w:cs="宋体"/>
          <w:b/>
          <w:sz w:val="24"/>
          <w:highlight w:val="none"/>
          <w:lang w:val="zh-CN"/>
        </w:rPr>
        <w:t>履约保证金缴纳及退付</w:t>
      </w:r>
    </w:p>
    <w:p>
      <w:pPr>
        <w:pStyle w:val="129"/>
        <w:adjustRightInd w:val="0"/>
        <w:snapToGrid w:val="0"/>
        <w:spacing w:before="0" w:line="360" w:lineRule="auto"/>
        <w:ind w:firstLine="480"/>
        <w:rPr>
          <w:rFonts w:hint="eastAsia" w:ascii="宋体" w:hAnsi="宋体" w:eastAsia="宋体" w:cs="宋体"/>
          <w:highlight w:val="none"/>
        </w:rPr>
      </w:pPr>
      <w:r>
        <w:rPr>
          <w:rFonts w:hint="default" w:ascii="宋体" w:hAnsi="宋体" w:cs="宋体"/>
          <w:kern w:val="0"/>
          <w:highlight w:val="none"/>
          <w:lang w:val="en-US"/>
        </w:rPr>
        <w:t>10</w:t>
      </w:r>
      <w:r>
        <w:rPr>
          <w:rFonts w:hint="eastAsia" w:ascii="宋体" w:hAnsi="宋体" w:eastAsia="宋体" w:cs="宋体"/>
          <w:kern w:val="0"/>
          <w:highlight w:val="none"/>
          <w:lang w:val="zh-CN"/>
        </w:rPr>
        <w:t>.1 签订合同后</w:t>
      </w:r>
      <w:r>
        <w:rPr>
          <w:rFonts w:hint="default" w:ascii="宋体" w:hAnsi="宋体" w:cs="宋体"/>
          <w:kern w:val="0"/>
          <w:highlight w:val="none"/>
          <w:lang w:val="en-US"/>
        </w:rPr>
        <w:t>5</w:t>
      </w:r>
      <w:r>
        <w:rPr>
          <w:rFonts w:hint="eastAsia" w:ascii="宋体" w:hAnsi="宋体" w:eastAsia="宋体" w:cs="宋体"/>
          <w:kern w:val="0"/>
          <w:highlight w:val="none"/>
          <w:lang w:val="zh-CN"/>
        </w:rPr>
        <w:t>个工作日内，中标人</w:t>
      </w:r>
      <w:r>
        <w:rPr>
          <w:rFonts w:hint="eastAsia" w:ascii="宋体" w:hAnsi="宋体" w:cs="宋体"/>
          <w:kern w:val="0"/>
          <w:highlight w:val="none"/>
          <w:lang w:val="zh-CN"/>
        </w:rPr>
        <w:t>（乙方）</w:t>
      </w:r>
      <w:r>
        <w:rPr>
          <w:rFonts w:hint="eastAsia" w:ascii="宋体" w:hAnsi="宋体" w:eastAsia="宋体" w:cs="宋体"/>
          <w:kern w:val="0"/>
          <w:highlight w:val="none"/>
          <w:lang w:val="zh-CN"/>
        </w:rPr>
        <w:t>须向采购人</w:t>
      </w:r>
      <w:r>
        <w:rPr>
          <w:rFonts w:hint="eastAsia" w:ascii="宋体" w:hAnsi="宋体" w:cs="宋体"/>
          <w:kern w:val="0"/>
          <w:highlight w:val="none"/>
          <w:lang w:val="zh-CN"/>
        </w:rPr>
        <w:t>（甲方）</w:t>
      </w:r>
      <w:r>
        <w:rPr>
          <w:rFonts w:hint="eastAsia" w:ascii="宋体" w:hAnsi="宋体" w:eastAsia="宋体" w:cs="宋体"/>
          <w:kern w:val="0"/>
          <w:highlight w:val="none"/>
          <w:lang w:val="zh-CN"/>
        </w:rPr>
        <w:t>缴纳政府采购合同总额</w:t>
      </w:r>
      <w:r>
        <w:rPr>
          <w:rFonts w:hint="eastAsia" w:ascii="宋体" w:hAnsi="宋体" w:cs="宋体"/>
          <w:kern w:val="0"/>
          <w:highlight w:val="none"/>
          <w:lang w:val="en-US" w:eastAsia="zh-CN"/>
        </w:rPr>
        <w:t>1</w:t>
      </w:r>
      <w:r>
        <w:rPr>
          <w:rFonts w:hint="eastAsia" w:ascii="宋体" w:hAnsi="宋体" w:eastAsia="宋体" w:cs="宋体"/>
          <w:kern w:val="0"/>
          <w:highlight w:val="none"/>
          <w:lang w:val="zh-CN"/>
        </w:rPr>
        <w:t>％的履约保证金，缴纳金额:</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元）。</w:t>
      </w:r>
      <w:r>
        <w:rPr>
          <w:rFonts w:hint="eastAsia" w:ascii="宋体" w:hAnsi="宋体" w:eastAsia="宋体" w:cs="宋体"/>
          <w:highlight w:val="none"/>
        </w:rPr>
        <w:t>履约保证金在项目验收</w:t>
      </w:r>
      <w:r>
        <w:rPr>
          <w:rFonts w:hint="eastAsia" w:ascii="宋体" w:hAnsi="宋体" w:cs="宋体"/>
          <w:highlight w:val="none"/>
          <w:lang w:eastAsia="zh-CN"/>
        </w:rPr>
        <w:t>（终验）</w:t>
      </w:r>
      <w:r>
        <w:rPr>
          <w:rFonts w:hint="eastAsia" w:ascii="宋体" w:hAnsi="宋体" w:eastAsia="宋体" w:cs="宋体"/>
          <w:highlight w:val="none"/>
        </w:rPr>
        <w:t>合格后，若无质量和服务等问题，在5个工作日内采购人应将履约保证金原额（无息）归还中标人；</w:t>
      </w:r>
    </w:p>
    <w:p>
      <w:pPr>
        <w:pStyle w:val="129"/>
        <w:adjustRightInd w:val="0"/>
        <w:snapToGrid w:val="0"/>
        <w:spacing w:before="0" w:line="360" w:lineRule="auto"/>
        <w:ind w:firstLine="480"/>
        <w:rPr>
          <w:rFonts w:hint="eastAsia" w:ascii="宋体" w:hAnsi="宋体" w:eastAsia="宋体" w:cs="宋体"/>
          <w:kern w:val="0"/>
          <w:highlight w:val="none"/>
          <w:lang w:val="zh-CN"/>
        </w:rPr>
      </w:pPr>
      <w:r>
        <w:rPr>
          <w:rFonts w:hint="default" w:ascii="宋体" w:hAnsi="宋体" w:cs="宋体"/>
          <w:kern w:val="0"/>
          <w:highlight w:val="none"/>
          <w:lang w:val="en-US"/>
        </w:rPr>
        <w:t>10</w:t>
      </w:r>
      <w:r>
        <w:rPr>
          <w:rFonts w:hint="eastAsia" w:ascii="宋体" w:hAnsi="宋体" w:eastAsia="宋体" w:cs="宋体"/>
          <w:kern w:val="0"/>
          <w:highlight w:val="none"/>
          <w:lang w:val="zh-CN"/>
        </w:rPr>
        <w:t>.</w:t>
      </w:r>
      <w:r>
        <w:rPr>
          <w:rFonts w:hint="default" w:ascii="宋体" w:hAnsi="宋体" w:cs="宋体"/>
          <w:kern w:val="0"/>
          <w:highlight w:val="none"/>
          <w:lang w:val="en-US" w:eastAsia="zh-CN"/>
        </w:rPr>
        <w:t>2</w:t>
      </w:r>
      <w:r>
        <w:rPr>
          <w:rFonts w:hint="eastAsia" w:ascii="宋体" w:hAnsi="宋体" w:eastAsia="宋体" w:cs="宋体"/>
          <w:kern w:val="0"/>
          <w:highlight w:val="none"/>
          <w:lang w:val="zh-CN"/>
        </w:rPr>
        <w:t>履约保证金可以用支票、汇票、本票或者银行、保险公司出具的保函等非现金形式交纳。</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w:t>
      </w:r>
      <w:r>
        <w:rPr>
          <w:rFonts w:hint="default" w:ascii="宋体" w:hAnsi="宋体" w:cs="宋体"/>
          <w:b/>
          <w:sz w:val="24"/>
          <w:highlight w:val="none"/>
          <w:lang w:val="en-US"/>
        </w:rPr>
        <w:t>1</w:t>
      </w:r>
      <w:r>
        <w:rPr>
          <w:rFonts w:hint="eastAsia" w:ascii="宋体" w:hAnsi="宋体" w:eastAsia="宋体" w:cs="宋体"/>
          <w:b/>
          <w:sz w:val="24"/>
          <w:highlight w:val="none"/>
        </w:rPr>
        <w:t>．延期交付与核定损失额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在正常情况下未能按合同规定的时间按期交付使用或未能按合同规定履行其义务，</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将承担相应后果，甲方有权从履约</w:t>
      </w:r>
      <w:r>
        <w:rPr>
          <w:rFonts w:hint="eastAsia" w:ascii="宋体" w:hAnsi="宋体" w:eastAsia="宋体" w:cs="宋体"/>
          <w:kern w:val="0"/>
          <w:sz w:val="24"/>
          <w:highlight w:val="none"/>
          <w:lang w:val="zh-CN"/>
        </w:rPr>
        <w:t>保证金中取得补偿。</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w:t>
      </w:r>
      <w:r>
        <w:rPr>
          <w:rFonts w:hint="default" w:ascii="宋体" w:hAnsi="宋体" w:cs="宋体"/>
          <w:b/>
          <w:sz w:val="24"/>
          <w:highlight w:val="none"/>
          <w:lang w:val="en-US"/>
        </w:rPr>
        <w:t>2</w:t>
      </w:r>
      <w:r>
        <w:rPr>
          <w:rFonts w:hint="eastAsia" w:ascii="宋体" w:hAnsi="宋体" w:eastAsia="宋体" w:cs="宋体"/>
          <w:b/>
          <w:sz w:val="24"/>
          <w:highlight w:val="none"/>
        </w:rPr>
        <w:t>．不可抗力</w:t>
      </w:r>
    </w:p>
    <w:p>
      <w:pPr>
        <w:autoSpaceDE w:val="0"/>
        <w:autoSpaceDN w:val="0"/>
        <w:adjustRightInd w:val="0"/>
        <w:spacing w:line="360" w:lineRule="auto"/>
        <w:ind w:firstLine="480" w:firstLineChars="200"/>
        <w:jc w:val="left"/>
        <w:rPr>
          <w:rFonts w:hint="eastAsia" w:ascii="宋体" w:hAnsi="宋体" w:eastAsia="宋体" w:cs="宋体"/>
          <w:b/>
          <w:bCs/>
          <w:kern w:val="0"/>
          <w:sz w:val="24"/>
          <w:highlight w:val="none"/>
          <w:lang w:val="zh-CN"/>
        </w:rPr>
      </w:pPr>
      <w:r>
        <w:rPr>
          <w:rFonts w:hint="eastAsia" w:ascii="宋体" w:hAnsi="宋体" w:eastAsia="宋体" w:cs="宋体"/>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3</w:t>
      </w:r>
      <w:r>
        <w:rPr>
          <w:rFonts w:hint="eastAsia" w:ascii="宋体" w:hAnsi="宋体" w:eastAsia="宋体" w:cs="宋体"/>
          <w:b/>
          <w:kern w:val="0"/>
          <w:sz w:val="24"/>
          <w:highlight w:val="none"/>
          <w:lang w:val="zh-CN"/>
        </w:rPr>
        <w:t>. 乙方的责任与义务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.1 根据投标文件的承诺向甲方委派</w:t>
      </w:r>
      <w:r>
        <w:rPr>
          <w:rFonts w:hint="eastAsia" w:ascii="宋体" w:hAnsi="宋体" w:eastAsia="宋体" w:cs="宋体"/>
          <w:sz w:val="24"/>
          <w:highlight w:val="none"/>
        </w:rPr>
        <w:t>项目负责人、技术负责人</w:t>
      </w:r>
      <w:r>
        <w:rPr>
          <w:rFonts w:hint="eastAsia" w:ascii="宋体" w:hAnsi="宋体" w:eastAsia="宋体" w:cs="宋体"/>
          <w:kern w:val="0"/>
          <w:sz w:val="24"/>
          <w:highlight w:val="none"/>
          <w:lang w:val="zh-CN"/>
        </w:rPr>
        <w:t>和专业技术人员。</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.2 在履行本合同义务的期间，应运用合理的技能，认真、勤奋的工作。</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.3 在本合同期内或合同终止后，未征得有关方同意，不得泄漏与本项目、本合同有关的技术、资料等，不得以任何形式侵害甲方的知识产权。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 xml:space="preserve">.4 </w:t>
      </w:r>
      <w:r>
        <w:rPr>
          <w:rFonts w:hint="eastAsia" w:ascii="宋体" w:hAnsi="宋体" w:eastAsia="宋体" w:cs="宋体"/>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.7 项目实施组织设计和技术方案，按照保质量、保工期和降低成本的原则，向甲方提出书面报告。如果由于拟提出的建议会提高项目造价，或延长工期，应当事先取得甲方的同意。</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4</w:t>
      </w:r>
      <w:r>
        <w:rPr>
          <w:rFonts w:hint="eastAsia" w:ascii="宋体" w:hAnsi="宋体" w:eastAsia="宋体" w:cs="宋体"/>
          <w:b/>
          <w:kern w:val="0"/>
          <w:sz w:val="24"/>
          <w:highlight w:val="none"/>
          <w:lang w:val="zh-CN"/>
        </w:rPr>
        <w:t>. 甲方的责任与义务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.1甲方应当主要负责项目建设的所有外部关系的联系与协调，为乙方工作提供良好的外部条件。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.2 甲方应当按合同条款双方约定的内容和时间，向乙方提供与项目建设有关的项目等资料。</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.7 甲方有权要求乙方提交工作月度报告及专项报告等。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5</w:t>
      </w:r>
      <w:r>
        <w:rPr>
          <w:rFonts w:hint="eastAsia" w:ascii="宋体" w:hAnsi="宋体" w:eastAsia="宋体" w:cs="宋体"/>
          <w:b/>
          <w:kern w:val="0"/>
          <w:sz w:val="24"/>
          <w:highlight w:val="none"/>
          <w:lang w:val="zh-CN"/>
        </w:rPr>
        <w:t xml:space="preserve">.安全施工 </w:t>
      </w:r>
    </w:p>
    <w:p>
      <w:pPr>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遵</w:t>
      </w:r>
      <w:r>
        <w:rPr>
          <w:rFonts w:hint="eastAsia" w:ascii="宋体" w:hAnsi="宋体" w:eastAsia="宋体" w:cs="宋体"/>
          <w:kern w:val="0"/>
          <w:sz w:val="24"/>
          <w:highlight w:val="none"/>
          <w:lang w:val="zh-CN"/>
        </w:rPr>
        <w:t>守国家《安全生产法》及《建筑工程安全管理条例》，执行JGJ59-99标准，并参照通用条款第20、21、22条，安全生产措施费专款专用并已包含在报价中，在施工过程中由于乙方原因而发生的人员伤亡、财产损</w:t>
      </w:r>
      <w:r>
        <w:rPr>
          <w:rFonts w:hint="eastAsia" w:ascii="宋体" w:hAnsi="宋体" w:eastAsia="宋体" w:cs="宋体"/>
          <w:sz w:val="24"/>
          <w:szCs w:val="24"/>
          <w:highlight w:val="none"/>
        </w:rPr>
        <w:t xml:space="preserve">失以及其他一切事故，其责任、费用全部由乙方承担。          </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6</w:t>
      </w:r>
      <w:r>
        <w:rPr>
          <w:rFonts w:hint="eastAsia" w:ascii="宋体" w:hAnsi="宋体" w:eastAsia="宋体" w:cs="宋体"/>
          <w:b/>
          <w:kern w:val="0"/>
          <w:sz w:val="24"/>
          <w:highlight w:val="none"/>
          <w:lang w:val="zh-CN"/>
        </w:rPr>
        <w:t>. 合同生效、变更和终止</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 xml:space="preserve">.1 </w:t>
      </w:r>
      <w:r>
        <w:rPr>
          <w:rFonts w:hint="eastAsia" w:ascii="宋体" w:hAnsi="宋体" w:eastAsia="宋体" w:cs="宋体"/>
          <w:sz w:val="24"/>
          <w:highlight w:val="none"/>
        </w:rPr>
        <w:t>本合同经甲乙双方法定代表人或其委托人签字盖章，并且乙方向甲方缴纳合同约定金额的履约保证金，</w:t>
      </w:r>
      <w:r>
        <w:rPr>
          <w:rFonts w:hint="eastAsia" w:ascii="宋体" w:hAnsi="宋体" w:eastAsia="宋体" w:cs="宋体"/>
          <w:sz w:val="24"/>
          <w:highlight w:val="none"/>
          <w:lang w:val="zh-CN"/>
        </w:rPr>
        <w:t>合同由甲方自行在政采云平台备案生效</w:t>
      </w:r>
      <w:r>
        <w:rPr>
          <w:rFonts w:hint="eastAsia" w:ascii="宋体" w:hAnsi="宋体" w:eastAsia="宋体" w:cs="宋体"/>
          <w:sz w:val="24"/>
          <w:highlight w:val="none"/>
        </w:rPr>
        <w:t>。</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.2 在乙方的责任期即合同的有效期内，如因</w:t>
      </w:r>
      <w:r>
        <w:rPr>
          <w:rFonts w:hint="eastAsia" w:ascii="宋体" w:hAnsi="宋体" w:eastAsia="宋体" w:cs="宋体"/>
          <w:sz w:val="24"/>
          <w:highlight w:val="none"/>
        </w:rPr>
        <w:t>甲方</w:t>
      </w:r>
      <w:r>
        <w:rPr>
          <w:rFonts w:hint="eastAsia" w:ascii="宋体" w:hAnsi="宋体" w:eastAsia="宋体" w:cs="宋体"/>
          <w:kern w:val="0"/>
          <w:sz w:val="24"/>
          <w:highlight w:val="none"/>
          <w:lang w:val="zh-CN"/>
        </w:rPr>
        <w:t>的原因，导致项目建设进度的推迟或延误而超过约定的日期，</w:t>
      </w:r>
      <w:r>
        <w:rPr>
          <w:rFonts w:hint="eastAsia" w:ascii="宋体" w:hAnsi="宋体" w:eastAsia="宋体" w:cs="宋体"/>
          <w:sz w:val="24"/>
          <w:highlight w:val="none"/>
        </w:rPr>
        <w:t>甲乙</w:t>
      </w:r>
      <w:r>
        <w:rPr>
          <w:rFonts w:hint="eastAsia" w:ascii="宋体" w:hAnsi="宋体" w:eastAsia="宋体" w:cs="宋体"/>
          <w:kern w:val="0"/>
          <w:sz w:val="24"/>
          <w:highlight w:val="none"/>
          <w:lang w:val="zh-CN"/>
        </w:rPr>
        <w:t>双方应协商，重新约定相应延长的合同期。因乙方的责任，导致项目建设进度的推迟或延误而超过约定的日期</w:t>
      </w:r>
      <w:r>
        <w:rPr>
          <w:rFonts w:hint="eastAsia" w:ascii="宋体" w:hAnsi="宋体" w:eastAsia="宋体" w:cs="宋体"/>
          <w:sz w:val="24"/>
          <w:highlight w:val="none"/>
          <w:lang w:val="zh-CN"/>
        </w:rPr>
        <w:t>按</w:t>
      </w:r>
      <w:r>
        <w:rPr>
          <w:rFonts w:hint="eastAsia" w:ascii="宋体" w:hAnsi="宋体" w:eastAsia="宋体" w:cs="宋体"/>
          <w:bCs/>
          <w:kern w:val="0"/>
          <w:sz w:val="24"/>
          <w:highlight w:val="none"/>
          <w:lang w:val="zh-CN"/>
        </w:rPr>
        <w:t>违约责任处罚。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80" w:firstLineChars="200"/>
        <w:rPr>
          <w:rFonts w:hint="eastAsia" w:ascii="宋体" w:hAnsi="宋体" w:eastAsia="宋体" w:cs="宋体"/>
          <w:b w:val="0"/>
          <w:bCs w:val="0"/>
          <w:snapToGrid w:val="0"/>
          <w:color w:val="000000"/>
          <w:kern w:val="0"/>
          <w:sz w:val="24"/>
          <w:szCs w:val="24"/>
          <w:highlight w:val="none"/>
          <w:lang w:eastAsia="zh-CN"/>
        </w:rPr>
      </w:pPr>
      <w:r>
        <w:rPr>
          <w:rFonts w:hint="default" w:ascii="宋体" w:hAnsi="宋体" w:eastAsia="宋体" w:cs="宋体"/>
          <w:b w:val="0"/>
          <w:bCs w:val="0"/>
          <w:snapToGrid w:val="0"/>
          <w:color w:val="000000"/>
          <w:kern w:val="0"/>
          <w:sz w:val="24"/>
          <w:szCs w:val="24"/>
          <w:highlight w:val="none"/>
          <w:lang w:val="en-US"/>
        </w:rPr>
        <w:t>16.5</w:t>
      </w:r>
      <w:r>
        <w:rPr>
          <w:rFonts w:hint="eastAsia" w:ascii="宋体" w:hAnsi="宋体" w:eastAsia="宋体" w:cs="宋体"/>
          <w:b w:val="0"/>
          <w:bCs w:val="0"/>
          <w:snapToGrid w:val="0"/>
          <w:color w:val="000000"/>
          <w:kern w:val="0"/>
          <w:sz w:val="24"/>
          <w:szCs w:val="24"/>
          <w:highlight w:val="none"/>
        </w:rPr>
        <w:t xml:space="preserve">. </w:t>
      </w:r>
      <w:r>
        <w:rPr>
          <w:rFonts w:hint="eastAsia" w:ascii="宋体" w:hAnsi="宋体" w:eastAsia="宋体" w:cs="宋体"/>
          <w:b w:val="0"/>
          <w:bCs w:val="0"/>
          <w:snapToGrid w:val="0"/>
          <w:color w:val="000000"/>
          <w:kern w:val="0"/>
          <w:sz w:val="24"/>
          <w:szCs w:val="24"/>
          <w:highlight w:val="none"/>
          <w:lang w:eastAsia="zh-CN"/>
        </w:rPr>
        <w:t>合同转让和分包</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合同的权利义务依法不得转让，但经甲方同意，乙方可以依法采取分包方式履行合同，即：依法可以将合同项下的部分非主体、非关键性</w:t>
      </w:r>
      <w:r>
        <w:rPr>
          <w:rFonts w:hint="eastAsia" w:ascii="宋体" w:hAnsi="宋体" w:eastAsia="宋体" w:cs="宋体"/>
          <w:snapToGrid w:val="0"/>
          <w:color w:val="000000"/>
          <w:kern w:val="0"/>
          <w:sz w:val="24"/>
          <w:szCs w:val="24"/>
          <w:highlight w:val="none"/>
          <w:lang w:eastAsia="zh-CN"/>
        </w:rPr>
        <w:t>的</w:t>
      </w:r>
      <w:r>
        <w:rPr>
          <w:rFonts w:hint="eastAsia" w:ascii="宋体" w:hAnsi="宋体" w:cs="宋体"/>
          <w:sz w:val="24"/>
          <w:highlight w:val="none"/>
          <w:u w:val="single"/>
          <w:lang w:eastAsia="zh-CN"/>
        </w:rPr>
        <w:t>布线施工</w:t>
      </w:r>
      <w:r>
        <w:rPr>
          <w:rFonts w:hint="eastAsia" w:ascii="宋体" w:hAnsi="宋体" w:eastAsia="宋体" w:cs="宋体"/>
          <w:snapToGrid w:val="0"/>
          <w:color w:val="000000"/>
          <w:kern w:val="0"/>
          <w:sz w:val="24"/>
          <w:szCs w:val="24"/>
          <w:highlight w:val="none"/>
        </w:rPr>
        <w:t>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分包内容：</w:t>
      </w:r>
      <w:r>
        <w:rPr>
          <w:rFonts w:hint="eastAsia" w:ascii="宋体" w:hAnsi="宋体" w:eastAsia="宋体" w:cs="宋体"/>
          <w:snapToGrid w:val="0"/>
          <w:color w:val="000000"/>
          <w:kern w:val="0"/>
          <w:sz w:val="24"/>
          <w:szCs w:val="24"/>
          <w:highlight w:val="none"/>
          <w:u w:val="single"/>
        </w:rPr>
        <w:t xml:space="preserve">                 </w:t>
      </w:r>
      <w:r>
        <w:rPr>
          <w:rFonts w:hint="eastAsia" w:ascii="宋体" w:hAnsi="宋体" w:eastAsia="宋体" w:cs="宋体"/>
          <w:snapToGrid w:val="0"/>
          <w:color w:val="000000"/>
          <w:kern w:val="0"/>
          <w:sz w:val="24"/>
          <w:szCs w:val="24"/>
          <w:highlight w:val="none"/>
        </w:rPr>
        <w:t>，分包合同（如有）</w:t>
      </w:r>
      <w:r>
        <w:rPr>
          <w:rFonts w:hint="eastAsia" w:ascii="宋体" w:hAnsi="宋体" w:eastAsia="宋体" w:cs="宋体"/>
          <w:snapToGrid w:val="0"/>
          <w:color w:val="000000"/>
          <w:kern w:val="0"/>
          <w:sz w:val="24"/>
          <w:szCs w:val="24"/>
          <w:highlight w:val="none"/>
          <w:lang w:eastAsia="zh-CN"/>
        </w:rPr>
        <w:t>附页</w:t>
      </w:r>
      <w:r>
        <w:rPr>
          <w:rFonts w:hint="eastAsia" w:ascii="宋体" w:hAnsi="宋体" w:eastAsia="宋体" w:cs="宋体"/>
          <w:snapToGrid w:val="0"/>
          <w:color w:val="000000"/>
          <w:kern w:val="0"/>
          <w:sz w:val="24"/>
          <w:szCs w:val="24"/>
          <w:highlight w:val="none"/>
        </w:rPr>
        <w:t>。</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7</w:t>
      </w:r>
      <w:r>
        <w:rPr>
          <w:rFonts w:hint="eastAsia" w:ascii="宋体" w:hAnsi="宋体" w:eastAsia="宋体" w:cs="宋体"/>
          <w:b/>
          <w:kern w:val="0"/>
          <w:sz w:val="24"/>
          <w:highlight w:val="none"/>
          <w:lang w:val="zh-CN"/>
        </w:rPr>
        <w:t>. 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.1</w:t>
      </w:r>
      <w:r>
        <w:rPr>
          <w:rFonts w:hint="eastAsia" w:ascii="宋体" w:hAnsi="宋体" w:eastAsia="宋体" w:cs="宋体"/>
          <w:sz w:val="24"/>
          <w:highlight w:val="none"/>
        </w:rPr>
        <w:t>乙方必须在整个项目安装调试开通全部完成后半个月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.2 如</w:t>
      </w:r>
      <w:r>
        <w:rPr>
          <w:rFonts w:hint="eastAsia" w:ascii="宋体" w:hAnsi="宋体" w:eastAsia="宋体" w:cs="宋体"/>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w:t>
      </w:r>
      <w:r>
        <w:rPr>
          <w:rFonts w:hint="default" w:ascii="宋体" w:hAnsi="宋体" w:cs="宋体"/>
          <w:sz w:val="24"/>
          <w:highlight w:val="none"/>
          <w:lang w:val="en-US"/>
        </w:rPr>
        <w:t>7</w:t>
      </w:r>
      <w:r>
        <w:rPr>
          <w:rFonts w:hint="eastAsia" w:ascii="宋体" w:hAnsi="宋体" w:eastAsia="宋体" w:cs="宋体"/>
          <w:sz w:val="24"/>
          <w:highlight w:val="none"/>
          <w:lang w:val="zh-CN"/>
        </w:rPr>
        <w:t>.3 如因乙方原因达不到合格等级的，则必须无条件返工至合格，并全额没收履约保证金。</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.4 乙方承诺的项目</w:t>
      </w:r>
      <w:r>
        <w:rPr>
          <w:rFonts w:hint="eastAsia" w:ascii="宋体" w:hAnsi="宋体" w:cs="宋体"/>
          <w:sz w:val="24"/>
          <w:highlight w:val="none"/>
          <w:lang w:eastAsia="zh-CN"/>
        </w:rPr>
        <w:t>经理、项目负责人、项目技术人员</w:t>
      </w:r>
      <w:r>
        <w:rPr>
          <w:rFonts w:hint="eastAsia" w:ascii="宋体" w:hAnsi="宋体" w:eastAsia="宋体" w:cs="宋体"/>
          <w:sz w:val="24"/>
          <w:highlight w:val="none"/>
        </w:rPr>
        <w:t>必须全部按投标承诺名单及时到位，项目负责人月到位率不足80%的，甲方有权中止合同，没收履约保证金，同时乙方赔偿甲方由此造成的损失；项目经理月到位率达不到90%的，或者投标承诺的项目班子管理人员擅自更换的，每人次扣除人员履约保证金的1%；项目班子管理人员(除项目负责人外)月到位率达不到90%的，每人次扣除人员履约保证金的1%。乙方应严格依法经营，严禁将项目转包。发现私自转包或挂靠经营现象，所有履约保证金归甲方，同时赔偿甲方损失，并责令退出工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.5因乙方原因造成采购单位</w:t>
      </w:r>
      <w:r>
        <w:rPr>
          <w:rFonts w:hint="eastAsia" w:ascii="宋体" w:hAnsi="宋体" w:cs="宋体"/>
          <w:sz w:val="24"/>
          <w:highlight w:val="none"/>
          <w:lang w:eastAsia="zh-CN"/>
        </w:rPr>
        <w:t>平台系统</w:t>
      </w:r>
      <w:r>
        <w:rPr>
          <w:rFonts w:hint="eastAsia" w:ascii="宋体" w:hAnsi="宋体" w:eastAsia="宋体" w:cs="宋体"/>
          <w:sz w:val="24"/>
          <w:highlight w:val="none"/>
        </w:rPr>
        <w:t>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 xml:space="preserve">.6 </w:t>
      </w:r>
      <w:r>
        <w:rPr>
          <w:rFonts w:hint="eastAsia" w:ascii="宋体" w:hAnsi="宋体" w:eastAsia="宋体" w:cs="宋体"/>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 xml:space="preserve">.7 </w:t>
      </w:r>
      <w:r>
        <w:rPr>
          <w:rFonts w:hint="eastAsia" w:ascii="宋体" w:hAnsi="宋体" w:eastAsia="宋体" w:cs="宋体"/>
          <w:kern w:val="0"/>
          <w:sz w:val="24"/>
          <w:highlight w:val="none"/>
          <w:lang w:val="zh-CN"/>
        </w:rPr>
        <w:t>因不可抗力导致合同不能全部或部分履行，</w:t>
      </w:r>
      <w:r>
        <w:rPr>
          <w:rFonts w:hint="eastAsia" w:ascii="宋体" w:hAnsi="宋体" w:eastAsia="宋体" w:cs="宋体"/>
          <w:sz w:val="24"/>
          <w:highlight w:val="none"/>
        </w:rPr>
        <w:t>甲、</w:t>
      </w:r>
      <w:r>
        <w:rPr>
          <w:rFonts w:hint="eastAsia" w:ascii="宋体" w:hAnsi="宋体" w:eastAsia="宋体" w:cs="宋体"/>
          <w:kern w:val="0"/>
          <w:sz w:val="24"/>
          <w:highlight w:val="none"/>
          <w:lang w:val="zh-CN"/>
        </w:rPr>
        <w:t>乙双方协商解决。</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8</w:t>
      </w:r>
      <w:r>
        <w:rPr>
          <w:rFonts w:hint="eastAsia" w:ascii="宋体" w:hAnsi="宋体" w:eastAsia="宋体" w:cs="宋体"/>
          <w:b/>
          <w:kern w:val="0"/>
          <w:sz w:val="24"/>
          <w:highlight w:val="none"/>
          <w:lang w:val="zh-CN"/>
        </w:rPr>
        <w:t>.项目质量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.1 乙方保证按ISO9001系列标准或相应的质量管理和质量保证体系，对项目安装、调试、检验等各个环节进行严格的质量和质量控制。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.2 乙方须严格按设计方案和国家现行项目实施验收规范有关规定，精心组织施工、记录、检验。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9</w:t>
      </w:r>
      <w:r>
        <w:rPr>
          <w:rFonts w:hint="eastAsia" w:ascii="宋体" w:hAnsi="宋体" w:eastAsia="宋体" w:cs="宋体"/>
          <w:b/>
          <w:kern w:val="0"/>
          <w:sz w:val="24"/>
          <w:highlight w:val="none"/>
          <w:lang w:val="zh-CN"/>
        </w:rPr>
        <w:t>. 争议处理</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.1 合同在履行过程中发生争议时，甲方与乙方及时协商解决。协商不成时，</w:t>
      </w:r>
      <w:r>
        <w:rPr>
          <w:rFonts w:hint="eastAsia" w:ascii="宋体" w:hAnsi="宋体" w:eastAsia="宋体" w:cs="宋体"/>
          <w:sz w:val="24"/>
          <w:szCs w:val="24"/>
          <w:highlight w:val="none"/>
        </w:rPr>
        <w:t>依法向人民法院起诉。</w:t>
      </w:r>
    </w:p>
    <w:p>
      <w:pPr>
        <w:spacing w:line="360" w:lineRule="auto"/>
        <w:ind w:firstLine="480" w:firstLineChars="200"/>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.2 对于因违反或终止合同而引起的损失、损害的赔偿，由甲方与乙方友好协商</w:t>
      </w:r>
    </w:p>
    <w:p>
      <w:pPr>
        <w:spacing w:line="360" w:lineRule="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解决，经协商仍未能达成一致的，</w:t>
      </w:r>
      <w:r>
        <w:rPr>
          <w:rFonts w:hint="eastAsia" w:ascii="宋体" w:hAnsi="宋体" w:eastAsia="宋体" w:cs="宋体"/>
          <w:sz w:val="24"/>
          <w:szCs w:val="24"/>
          <w:highlight w:val="none"/>
        </w:rPr>
        <w:t>依法向人民法院起诉。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default" w:ascii="宋体" w:hAnsi="宋体" w:cs="宋体"/>
          <w:b/>
          <w:kern w:val="0"/>
          <w:sz w:val="24"/>
          <w:highlight w:val="none"/>
          <w:lang w:val="en-US"/>
        </w:rPr>
        <w:t>20</w:t>
      </w:r>
      <w:r>
        <w:rPr>
          <w:rFonts w:hint="eastAsia" w:ascii="宋体" w:hAnsi="宋体" w:eastAsia="宋体" w:cs="宋体"/>
          <w:b/>
          <w:kern w:val="0"/>
          <w:sz w:val="24"/>
          <w:highlight w:val="none"/>
          <w:lang w:val="zh-CN"/>
        </w:rPr>
        <w:t>. 其他</w:t>
      </w:r>
    </w:p>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b/>
          <w:kern w:val="0"/>
          <w:sz w:val="24"/>
          <w:highlight w:val="none"/>
          <w:lang w:val="zh-CN"/>
        </w:rPr>
        <w:t xml:space="preserve">    </w:t>
      </w:r>
      <w:r>
        <w:rPr>
          <w:rFonts w:hint="default" w:ascii="宋体" w:hAnsi="宋体" w:cs="宋体"/>
          <w:b w:val="0"/>
          <w:bCs/>
          <w:kern w:val="0"/>
          <w:sz w:val="24"/>
          <w:highlight w:val="none"/>
          <w:lang w:val="en-US"/>
        </w:rPr>
        <w:t>20</w:t>
      </w:r>
      <w:r>
        <w:rPr>
          <w:rFonts w:hint="eastAsia" w:ascii="宋体" w:hAnsi="宋体" w:eastAsia="宋体" w:cs="宋体"/>
          <w:kern w:val="0"/>
          <w:sz w:val="24"/>
          <w:highlight w:val="none"/>
          <w:lang w:val="zh-CN"/>
        </w:rPr>
        <w:t>.1 本合同（□是  □否）为可融资合同（若为可融资合同，则甲方必须将采购资金支付到合同中指定的融资银行及收款账号，开户银行：</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账号：</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）。关于中小企业信用融资事项可在“政采云”平台申请政采贷。</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.2 </w:t>
      </w:r>
      <w:r>
        <w:rPr>
          <w:rFonts w:hint="eastAsia" w:ascii="宋体" w:hAnsi="宋体" w:eastAsia="宋体" w:cs="宋体"/>
          <w:kern w:val="0"/>
          <w:sz w:val="24"/>
          <w:szCs w:val="24"/>
          <w:highlight w:val="none"/>
          <w:lang w:val="zh-CN"/>
        </w:rPr>
        <w:t>未经过甲方的书面同意，乙方不得</w:t>
      </w:r>
      <w:r>
        <w:rPr>
          <w:rFonts w:hint="eastAsia" w:ascii="宋体" w:hAnsi="宋体" w:cs="宋体"/>
          <w:kern w:val="0"/>
          <w:sz w:val="24"/>
          <w:szCs w:val="24"/>
          <w:highlight w:val="none"/>
          <w:lang w:val="zh-CN"/>
        </w:rPr>
        <w:t>将招标文件允许分包内容之外的</w:t>
      </w:r>
      <w:r>
        <w:rPr>
          <w:rFonts w:hint="eastAsia" w:ascii="宋体" w:hAnsi="宋体" w:eastAsia="宋体" w:cs="宋体"/>
          <w:kern w:val="0"/>
          <w:sz w:val="24"/>
          <w:szCs w:val="24"/>
          <w:highlight w:val="none"/>
          <w:lang w:val="zh-CN"/>
        </w:rPr>
        <w:t>转让</w:t>
      </w:r>
      <w:r>
        <w:rPr>
          <w:rFonts w:hint="eastAsia" w:ascii="宋体" w:hAnsi="宋体" w:cs="宋体"/>
          <w:kern w:val="0"/>
          <w:sz w:val="24"/>
          <w:szCs w:val="24"/>
          <w:highlight w:val="none"/>
          <w:lang w:val="zh-CN"/>
        </w:rPr>
        <w:t>、分包给</w:t>
      </w:r>
      <w:r>
        <w:rPr>
          <w:rFonts w:hint="eastAsia" w:ascii="宋体" w:hAnsi="宋体" w:eastAsia="宋体" w:cs="宋体"/>
          <w:kern w:val="0"/>
          <w:sz w:val="24"/>
          <w:szCs w:val="24"/>
          <w:highlight w:val="none"/>
          <w:lang w:val="zh-CN"/>
        </w:rPr>
        <w:t>其他单位完成。</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.5 </w:t>
      </w:r>
      <w:r>
        <w:rPr>
          <w:rFonts w:hint="eastAsia" w:ascii="宋体" w:hAnsi="宋体" w:eastAsia="宋体" w:cs="宋体"/>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.6 </w:t>
      </w:r>
      <w:r>
        <w:rPr>
          <w:rFonts w:hint="eastAsia" w:ascii="宋体" w:hAnsi="宋体" w:eastAsia="宋体" w:cs="宋体"/>
          <w:sz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.7 </w:t>
      </w:r>
      <w:r>
        <w:rPr>
          <w:rFonts w:hint="eastAsia" w:ascii="宋体" w:hAnsi="宋体" w:eastAsia="宋体" w:cs="宋体"/>
          <w:sz w:val="24"/>
          <w:highlight w:val="none"/>
        </w:rPr>
        <w:t>招标文件[编号：</w:t>
      </w:r>
      <w:r>
        <w:rPr>
          <w:rFonts w:hint="eastAsia" w:ascii="宋体" w:hAnsi="宋体" w:cs="宋体"/>
          <w:sz w:val="24"/>
          <w:highlight w:val="none"/>
          <w:lang w:eastAsia="zh-CN"/>
        </w:rPr>
        <w:t>XHZFCG-2023-G-22</w:t>
      </w:r>
      <w:r>
        <w:rPr>
          <w:rFonts w:hint="eastAsia" w:ascii="宋体" w:hAnsi="宋体" w:eastAsia="宋体" w:cs="宋体"/>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.8 </w:t>
      </w:r>
      <w:r>
        <w:rPr>
          <w:rFonts w:hint="eastAsia" w:ascii="宋体" w:hAnsi="宋体" w:eastAsia="宋体" w:cs="宋体"/>
          <w:sz w:val="24"/>
          <w:highlight w:val="none"/>
        </w:rPr>
        <w:t>本合同经甲乙双方法定代表人或其委托人签字盖章，并且乙方向甲方缴纳合同约定金额的履约保证金，</w:t>
      </w:r>
      <w:r>
        <w:rPr>
          <w:rFonts w:hint="eastAsia" w:ascii="宋体" w:hAnsi="宋体" w:eastAsia="宋体" w:cs="宋体"/>
          <w:sz w:val="24"/>
          <w:highlight w:val="none"/>
          <w:lang w:val="zh-CN"/>
        </w:rPr>
        <w:t>合同由甲方自行在政采云平台备案生效。</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.9 </w:t>
      </w:r>
      <w:r>
        <w:rPr>
          <w:rFonts w:hint="eastAsia" w:ascii="宋体" w:hAnsi="宋体" w:eastAsia="宋体" w:cs="宋体"/>
          <w:sz w:val="24"/>
          <w:highlight w:val="none"/>
        </w:rPr>
        <w:t>本合同一式</w:t>
      </w:r>
      <w:r>
        <w:rPr>
          <w:rFonts w:hint="eastAsia" w:ascii="宋体" w:hAnsi="宋体" w:cs="宋体"/>
          <w:sz w:val="24"/>
          <w:highlight w:val="none"/>
          <w:lang w:eastAsia="zh-CN"/>
        </w:rPr>
        <w:t>柒</w:t>
      </w:r>
      <w:r>
        <w:rPr>
          <w:rFonts w:hint="eastAsia" w:ascii="宋体" w:hAnsi="宋体" w:eastAsia="宋体" w:cs="宋体"/>
          <w:sz w:val="24"/>
          <w:highlight w:val="none"/>
        </w:rPr>
        <w:t>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sz w:val="24"/>
          <w:highlight w:val="none"/>
          <w:lang w:val="en-US"/>
        </w:rPr>
        <w:t>20</w:t>
      </w:r>
      <w:r>
        <w:rPr>
          <w:rFonts w:hint="eastAsia" w:ascii="宋体" w:hAnsi="宋体" w:eastAsia="宋体" w:cs="宋体"/>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default" w:ascii="宋体" w:hAnsi="宋体" w:cs="宋体"/>
          <w:sz w:val="24"/>
          <w:highlight w:val="none"/>
          <w:lang w:val="en-US"/>
        </w:rPr>
        <w:t>20</w:t>
      </w:r>
      <w:r>
        <w:rPr>
          <w:rFonts w:hint="eastAsia" w:ascii="宋体" w:hAnsi="宋体" w:eastAsia="宋体" w:cs="宋体"/>
          <w:sz w:val="24"/>
          <w:highlight w:val="none"/>
        </w:rPr>
        <w:t xml:space="preserve">.11 以上是合同的主要条款，合同条款包括但不止于以上条款（如安全生产责任状以及廉政合同等）。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甲方（盖章）：                             乙方（盖章）：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法定代表人：                              法定代表人：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或受委托人（签字）：                      或受委托人（签字）：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                                  联系人：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地址：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电话：                                    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传真：                                    传真：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帐号：                                    帐号：</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签 约 地：</w:t>
      </w:r>
    </w:p>
    <w:p>
      <w:pPr>
        <w:adjustRightInd w:val="0"/>
        <w:snapToGrid w:val="0"/>
        <w:spacing w:line="360" w:lineRule="auto"/>
        <w:rPr>
          <w:rFonts w:hint="eastAsia" w:ascii="宋体" w:hAnsi="宋体" w:cs="宋体"/>
          <w:sz w:val="24"/>
          <w:highlight w:val="none"/>
          <w:lang w:val="en-US" w:eastAsia="zh-CN"/>
        </w:rPr>
      </w:pPr>
      <w:r>
        <w:rPr>
          <w:rFonts w:hint="eastAsia" w:ascii="宋体" w:hAnsi="宋体" w:eastAsia="宋体" w:cs="宋体"/>
          <w:sz w:val="24"/>
          <w:highlight w:val="none"/>
        </w:rPr>
        <w:t xml:space="preserve">                                            签约日期：   年   月</w:t>
      </w:r>
      <w:r>
        <w:rPr>
          <w:rFonts w:hint="default" w:ascii="宋体" w:hAnsi="宋体" w:cs="宋体"/>
          <w:sz w:val="24"/>
          <w:highlight w:val="none"/>
          <w:lang w:val="en-US"/>
        </w:rPr>
        <w:t xml:space="preserve">   </w:t>
      </w:r>
      <w:r>
        <w:rPr>
          <w:rFonts w:hint="eastAsia" w:ascii="宋体" w:hAnsi="宋体" w:cs="宋体"/>
          <w:sz w:val="24"/>
          <w:highlight w:val="none"/>
          <w:lang w:val="en-US" w:eastAsia="zh-CN"/>
        </w:rPr>
        <w:t>日</w:t>
      </w:r>
    </w:p>
    <w:p>
      <w:pPr>
        <w:pStyle w:val="5"/>
        <w:ind w:left="0" w:leftChars="0" w:firstLine="0" w:firstLineChars="0"/>
        <w:rPr>
          <w:rFonts w:hint="eastAsia"/>
          <w:highlight w:val="none"/>
          <w:lang w:val="en-US" w:eastAsia="zh-CN"/>
        </w:rPr>
        <w:sectPr>
          <w:headerReference r:id="rId8" w:type="default"/>
          <w:footerReference r:id="rId9" w:type="default"/>
          <w:footerReference r:id="rId10" w:type="even"/>
          <w:pgSz w:w="11906" w:h="16838"/>
          <w:pgMar w:top="1418" w:right="1418" w:bottom="1418" w:left="1418" w:header="851" w:footer="992" w:gutter="0"/>
          <w:cols w:space="720" w:num="1"/>
        </w:sect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6"/>
      <w:r>
        <w:rPr>
          <w:rFonts w:hint="eastAsia" w:ascii="宋体" w:hAnsi="宋体" w:cs="宋体"/>
          <w:b/>
          <w:sz w:val="36"/>
          <w:szCs w:val="20"/>
          <w:highlight w:val="none"/>
        </w:rPr>
        <w:t xml:space="preserve"> </w:t>
      </w:r>
      <w:bookmarkEnd w:id="397"/>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numPr>
          <w:ilvl w:val="0"/>
          <w:numId w:val="12"/>
        </w:numPr>
        <w:snapToGrid w:val="0"/>
        <w:spacing w:line="360" w:lineRule="auto"/>
        <w:rPr>
          <w:rFonts w:hint="eastAsia" w:ascii="宋体" w:hAnsi="宋体" w:cs="宋体"/>
          <w:sz w:val="24"/>
          <w:highlight w:val="none"/>
        </w:rPr>
      </w:pPr>
      <w:r>
        <w:rPr>
          <w:rFonts w:hint="eastAsia" w:ascii="宋体" w:hAnsi="宋体" w:cs="宋体"/>
          <w:sz w:val="24"/>
          <w:highlight w:val="none"/>
        </w:rPr>
        <w:t>符合参加政府采购活动应当具备的一般条件的承诺函……………（页码）</w:t>
      </w:r>
    </w:p>
    <w:p>
      <w:pPr>
        <w:numPr>
          <w:ilvl w:val="0"/>
          <w:numId w:val="12"/>
        </w:numPr>
        <w:snapToGrid w:val="0"/>
        <w:spacing w:line="360" w:lineRule="auto"/>
        <w:rPr>
          <w:rFonts w:hint="eastAsia" w:ascii="宋体" w:hAnsi="宋体" w:cs="宋体"/>
          <w:sz w:val="24"/>
          <w:highlight w:val="none"/>
        </w:rPr>
      </w:pPr>
      <w:r>
        <w:rPr>
          <w:rFonts w:hint="eastAsia" w:ascii="宋体" w:hAnsi="宋体" w:cs="宋体"/>
          <w:sz w:val="24"/>
          <w:highlight w:val="none"/>
          <w:lang w:eastAsia="zh-CN"/>
        </w:rPr>
        <w:t>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hint="default" w:ascii="宋体" w:hAnsi="宋体" w:cs="宋体"/>
          <w:sz w:val="24"/>
          <w:highlight w:val="none"/>
          <w:lang w:val="en-US"/>
        </w:rPr>
        <w:t>2</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hint="default" w:ascii="宋体" w:hAnsi="宋体" w:cs="宋体"/>
          <w:sz w:val="24"/>
          <w:highlight w:val="none"/>
          <w:lang w:val="en-US"/>
        </w:rPr>
        <w:t>3</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杭州市文理中学</w:t>
      </w:r>
      <w:r>
        <w:rPr>
          <w:rFonts w:hint="eastAsia" w:ascii="宋体" w:hAnsi="宋体" w:cs="宋体"/>
          <w:sz w:val="24"/>
          <w:highlight w:val="none"/>
        </w:rPr>
        <w:t>、杭州市西湖区政府采购中心：</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杭州市文理中学监控系统采购项目</w:t>
      </w:r>
      <w:r>
        <w:rPr>
          <w:rFonts w:hint="eastAsia" w:ascii="宋体" w:hAnsi="宋体" w:cs="宋体"/>
          <w:sz w:val="24"/>
          <w:highlight w:val="none"/>
        </w:rPr>
        <w:t>【招标编号：</w:t>
      </w:r>
      <w:r>
        <w:rPr>
          <w:rFonts w:hint="eastAsia" w:ascii="宋体" w:hAnsi="宋体" w:cs="宋体"/>
          <w:sz w:val="24"/>
          <w:highlight w:val="none"/>
          <w:lang w:eastAsia="zh-CN"/>
        </w:rPr>
        <w:t>XHZFCG-2023-G-22</w:t>
      </w:r>
      <w:r>
        <w:rPr>
          <w:rFonts w:hint="eastAsia" w:ascii="宋体" w:hAnsi="宋体" w:cs="宋体"/>
          <w:sz w:val="24"/>
          <w:highlight w:val="none"/>
        </w:rPr>
        <w:t>】政府采购活动，郑重承诺：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left"/>
        <w:rPr>
          <w:rFonts w:ascii="宋体" w:hAnsi="宋体" w:cs="宋体"/>
          <w:b/>
          <w:kern w:val="0"/>
          <w:sz w:val="32"/>
          <w:szCs w:val="32"/>
          <w:highlight w:val="none"/>
        </w:rPr>
      </w:pPr>
      <w:r>
        <w:rPr>
          <w:rFonts w:hint="eastAsia" w:ascii="宋体" w:hAnsi="宋体" w:cs="仿宋_GB2312"/>
          <w:sz w:val="24"/>
          <w:highlight w:val="none"/>
        </w:rPr>
        <w:t>注：根据《</w:t>
      </w:r>
      <w:r>
        <w:rPr>
          <w:rFonts w:ascii="宋体" w:hAnsi="宋体" w:cs="仿宋_GB2312"/>
          <w:sz w:val="24"/>
          <w:highlight w:val="none"/>
        </w:rPr>
        <w:t>关于规范政府采购供应商资格设定及资格审查的通知</w:t>
      </w:r>
      <w:r>
        <w:rPr>
          <w:rFonts w:hint="eastAsia" w:ascii="宋体" w:hAnsi="宋体" w:cs="仿宋_GB2312"/>
          <w:sz w:val="24"/>
          <w:highlight w:val="none"/>
        </w:rPr>
        <w:t>》（</w:t>
      </w:r>
      <w:r>
        <w:rPr>
          <w:rFonts w:ascii="宋体" w:hAnsi="宋体" w:cs="仿宋_GB2312"/>
          <w:sz w:val="24"/>
          <w:highlight w:val="none"/>
        </w:rPr>
        <w:t>浙财采监[2013]24号</w:t>
      </w:r>
      <w:r>
        <w:rPr>
          <w:rFonts w:hint="eastAsia" w:ascii="宋体" w:hAnsi="宋体" w:cs="仿宋_GB2312"/>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jc w:val="both"/>
        <w:rPr>
          <w:rFonts w:hint="eastAsia" w:ascii="宋体" w:hAnsi="宋体" w:cs="宋体"/>
          <w:b/>
          <w:kern w:val="0"/>
          <w:sz w:val="32"/>
          <w:szCs w:val="32"/>
          <w:highlight w:val="none"/>
        </w:rPr>
      </w:pPr>
    </w:p>
    <w:p>
      <w:pPr>
        <w:pStyle w:val="5"/>
        <w:rPr>
          <w:rFonts w:hint="eastAsia"/>
          <w:highlight w:val="none"/>
        </w:rPr>
      </w:pPr>
    </w:p>
    <w:p>
      <w:pPr>
        <w:widowControl/>
        <w:spacing w:line="360" w:lineRule="auto"/>
        <w:ind w:firstLine="643"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pStyle w:val="5"/>
        <w:rPr>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三</w:t>
      </w:r>
      <w:r>
        <w:rPr>
          <w:rFonts w:hint="eastAsia" w:ascii="宋体" w:hAnsi="宋体" w:cs="宋体"/>
          <w:b/>
          <w:kern w:val="0"/>
          <w:sz w:val="32"/>
          <w:szCs w:val="32"/>
          <w:highlight w:val="none"/>
        </w:rPr>
        <w:t>、落实政府采购政策需满足的资格要求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widowControl/>
        <w:spacing w:line="360" w:lineRule="auto"/>
        <w:ind w:left="150"/>
        <w:jc w:val="center"/>
        <w:rPr>
          <w:rFonts w:ascii="宋体" w:hAnsi="宋体" w:cs="宋体"/>
          <w:b/>
          <w:kern w:val="0"/>
          <w:sz w:val="32"/>
          <w:szCs w:val="32"/>
          <w:highlight w:val="none"/>
        </w:rPr>
      </w:pPr>
      <w:r>
        <w:rPr>
          <w:rFonts w:hint="eastAsia" w:ascii="宋体" w:hAnsi="宋体" w:cs="宋体"/>
          <w:b/>
          <w:bCs/>
          <w:color w:val="auto"/>
          <w:sz w:val="24"/>
          <w:highlight w:val="none"/>
          <w:lang w:val="en-US" w:eastAsia="zh-CN"/>
        </w:rPr>
        <w:t>本项目面向所有企业</w:t>
      </w:r>
    </w:p>
    <w:p>
      <w:pPr>
        <w:widowControl/>
        <w:spacing w:line="360" w:lineRule="auto"/>
        <w:ind w:left="150"/>
        <w:jc w:val="center"/>
        <w:rPr>
          <w:rFonts w:hint="eastAsia" w:ascii="宋体" w:hAnsi="宋体" w:cs="宋体"/>
          <w:b/>
          <w:kern w:val="0"/>
          <w:sz w:val="32"/>
          <w:szCs w:val="32"/>
          <w:highlight w:val="none"/>
          <w:lang w:eastAsia="zh-CN"/>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四</w:t>
      </w:r>
      <w:r>
        <w:rPr>
          <w:rFonts w:hint="eastAsia" w:ascii="宋体" w:hAnsi="宋体" w:cs="宋体"/>
          <w:b/>
          <w:kern w:val="0"/>
          <w:sz w:val="32"/>
          <w:szCs w:val="32"/>
          <w:highlight w:val="none"/>
        </w:rPr>
        <w:t>、本项目的特定资格要求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rPr>
          <w:highlight w:val="none"/>
        </w:r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numPr>
          <w:ilvl w:val="0"/>
          <w:numId w:val="13"/>
        </w:numPr>
        <w:snapToGrid w:val="0"/>
        <w:spacing w:line="360" w:lineRule="auto"/>
        <w:ind w:left="479" w:leftChars="228"/>
        <w:rPr>
          <w:rFonts w:hint="eastAsia" w:ascii="宋体" w:hAnsi="宋体" w:cs="宋体"/>
          <w:highlight w:val="none"/>
        </w:rPr>
      </w:pPr>
      <w:r>
        <w:rPr>
          <w:rFonts w:hint="eastAsia" w:ascii="宋体" w:hAnsi="宋体" w:cs="宋体"/>
          <w:sz w:val="24"/>
          <w:highlight w:val="none"/>
        </w:rPr>
        <w:t>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pStyle w:val="5"/>
        <w:numPr>
          <w:ilvl w:val="0"/>
          <w:numId w:val="0"/>
        </w:numPr>
        <w:ind w:leftChars="0" w:firstLine="480" w:firstLineChars="20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（3）分包意向协议………………………………………………………………</w:t>
      </w:r>
      <w:r>
        <w:rPr>
          <w:rFonts w:hint="eastAsia" w:ascii="宋体" w:hAnsi="宋体" w:eastAsia="宋体" w:cs="宋体"/>
          <w:b w:val="0"/>
          <w:bCs w:val="0"/>
          <w:kern w:val="2"/>
          <w:sz w:val="21"/>
          <w:szCs w:val="24"/>
          <w:highlight w:val="none"/>
          <w:lang w:val="en-US" w:eastAsia="zh-CN" w:bidi="ar-SA"/>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hint="eastAsia" w:ascii="宋体" w:hAnsi="宋体" w:cs="宋体"/>
          <w:color w:val="FF0000"/>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highlight w:val="none"/>
          <w:lang w:val="en-US" w:eastAsia="zh-CN"/>
        </w:rPr>
        <w:t xml:space="preserve"> </w:t>
      </w:r>
      <w:r>
        <w:rPr>
          <w:rFonts w:hint="eastAsia" w:ascii="宋体" w:hAnsi="宋体" w:cs="宋体"/>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）投标标的清单</w:t>
      </w:r>
      <w:r>
        <w:rPr>
          <w:rFonts w:hint="eastAsia" w:ascii="宋体" w:hAnsi="宋体" w:cs="宋体"/>
          <w:color w:val="auto"/>
          <w:highlight w:val="none"/>
        </w:rPr>
        <w:t>…………………………………………………………………………（页码）</w:t>
      </w:r>
    </w:p>
    <w:p>
      <w:pPr>
        <w:snapToGrid w:val="0"/>
        <w:spacing w:line="360" w:lineRule="auto"/>
        <w:ind w:left="479" w:leftChars="228"/>
        <w:rPr>
          <w:rFonts w:hint="eastAsia"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default" w:ascii="宋体" w:hAnsi="宋体" w:cs="宋体"/>
          <w:sz w:val="24"/>
          <w:highlight w:val="none"/>
          <w:lang w:val="en-US" w:eastAsia="zh-CN"/>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ind w:firstLine="3855" w:firstLineChars="1200"/>
        <w:jc w:val="both"/>
        <w:outlineLvl w:val="0"/>
        <w:rPr>
          <w:rFonts w:hint="eastAsia" w:ascii="宋体" w:hAnsi="宋体" w:cs="宋体"/>
          <w:b/>
          <w:kern w:val="0"/>
          <w:sz w:val="32"/>
          <w:szCs w:val="32"/>
          <w:highlight w:val="none"/>
        </w:rPr>
      </w:pPr>
    </w:p>
    <w:p>
      <w:pPr>
        <w:snapToGrid w:val="0"/>
        <w:spacing w:line="360" w:lineRule="auto"/>
        <w:ind w:firstLine="3855" w:firstLineChars="1200"/>
        <w:jc w:val="both"/>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杭州市文理中学</w:t>
      </w:r>
      <w:r>
        <w:rPr>
          <w:rFonts w:hint="eastAsia" w:ascii="宋体" w:hAnsi="宋体" w:cs="宋体"/>
          <w:sz w:val="24"/>
          <w:highlight w:val="none"/>
        </w:rPr>
        <w:t>、杭州市西湖区政府采购中心：</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杭州市文理中学监控系统采购项目</w:t>
      </w:r>
      <w:r>
        <w:rPr>
          <w:rFonts w:hint="eastAsia" w:ascii="宋体" w:hAnsi="宋体" w:cs="宋体"/>
          <w:sz w:val="24"/>
          <w:highlight w:val="none"/>
        </w:rPr>
        <w:t>【招标编号：</w:t>
      </w:r>
      <w:r>
        <w:rPr>
          <w:rFonts w:hint="eastAsia" w:ascii="宋体" w:hAnsi="宋体" w:cs="宋体"/>
          <w:sz w:val="24"/>
          <w:highlight w:val="none"/>
          <w:lang w:eastAsia="zh-CN"/>
        </w:rPr>
        <w:t>XHZFCG-2023-G-22</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2" w:firstLineChars="200"/>
        <w:rPr>
          <w:rFonts w:ascii="宋体" w:hAnsi="宋体" w:cs="宋体"/>
          <w:b/>
          <w:bCs/>
          <w:sz w:val="24"/>
          <w:highlight w:val="none"/>
        </w:rPr>
      </w:pPr>
      <w:r>
        <w:rPr>
          <w:rFonts w:hint="eastAsia" w:ascii="宋体" w:hAnsi="宋体" w:cs="宋体"/>
          <w:b/>
          <w:bCs/>
          <w:sz w:val="24"/>
          <w:highlight w:val="none"/>
        </w:rPr>
        <w:t>2.1资格文件：</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2.1.</w:t>
      </w:r>
      <w:r>
        <w:rPr>
          <w:rFonts w:hint="default" w:ascii="宋体" w:hAnsi="宋体" w:cs="宋体"/>
          <w:sz w:val="24"/>
          <w:highlight w:val="none"/>
          <w:lang w:val="en-US"/>
        </w:rPr>
        <w:t>2</w:t>
      </w:r>
      <w:r>
        <w:rPr>
          <w:rFonts w:hint="eastAsia" w:ascii="宋体" w:hAnsi="宋体" w:cs="宋体"/>
          <w:sz w:val="24"/>
          <w:highlight w:val="none"/>
          <w:lang w:val="en-US" w:eastAsia="zh-CN"/>
        </w:rPr>
        <w:t>联合协议（如果有）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w:t>
      </w:r>
      <w:r>
        <w:rPr>
          <w:rFonts w:hint="default" w:ascii="宋体" w:hAnsi="宋体" w:cs="宋体"/>
          <w:sz w:val="24"/>
          <w:highlight w:val="none"/>
          <w:lang w:val="en-US"/>
        </w:rPr>
        <w:t>3</w:t>
      </w:r>
      <w:r>
        <w:rPr>
          <w:rFonts w:hint="eastAsia" w:ascii="宋体" w:hAnsi="宋体" w:cs="宋体"/>
          <w:sz w:val="24"/>
          <w:highlight w:val="none"/>
        </w:rPr>
        <w:t>落实政府采购政策需满足的资格要求</w:t>
      </w:r>
      <w:r>
        <w:rPr>
          <w:rFonts w:hint="eastAsia" w:ascii="宋体" w:hAnsi="宋体" w:cs="宋体"/>
          <w:strike w:val="0"/>
          <w:dstrike w:val="0"/>
          <w:sz w:val="24"/>
          <w:highlight w:val="none"/>
        </w:rPr>
        <w:t>（如果有）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hint="default" w:ascii="宋体" w:hAnsi="宋体" w:cs="宋体"/>
          <w:sz w:val="24"/>
          <w:highlight w:val="none"/>
          <w:lang w:val="en-US"/>
        </w:rPr>
        <w:t>4</w:t>
      </w:r>
      <w:r>
        <w:rPr>
          <w:rFonts w:hint="eastAsia" w:ascii="宋体" w:hAnsi="宋体" w:cs="宋体"/>
          <w:sz w:val="24"/>
          <w:highlight w:val="none"/>
        </w:rPr>
        <w:t>本项目的特定资格要求（如果有）。</w:t>
      </w:r>
    </w:p>
    <w:p>
      <w:pPr>
        <w:snapToGrid w:val="0"/>
        <w:spacing w:line="360" w:lineRule="auto"/>
        <w:ind w:left="210" w:leftChars="100" w:firstLine="482" w:firstLineChars="200"/>
        <w:rPr>
          <w:rFonts w:ascii="宋体" w:hAnsi="宋体" w:cs="宋体"/>
          <w:b/>
          <w:bCs/>
          <w:sz w:val="24"/>
          <w:highlight w:val="none"/>
          <w:lang w:val="zh-CN"/>
        </w:rPr>
      </w:pPr>
      <w:r>
        <w:rPr>
          <w:rFonts w:hint="eastAsia" w:ascii="宋体" w:hAnsi="宋体" w:cs="宋体"/>
          <w:b/>
          <w:bCs/>
          <w:sz w:val="24"/>
          <w:highlight w:val="none"/>
        </w:rPr>
        <w:t>2</w:t>
      </w:r>
      <w:r>
        <w:rPr>
          <w:rFonts w:hint="eastAsia" w:ascii="宋体" w:hAnsi="宋体" w:cs="宋体"/>
          <w:b/>
          <w:bCs/>
          <w:sz w:val="24"/>
          <w:highlight w:val="none"/>
          <w:lang w:val="zh-CN"/>
        </w:rPr>
        <w:t>.</w:t>
      </w:r>
      <w:r>
        <w:rPr>
          <w:rFonts w:hint="eastAsia" w:ascii="宋体" w:hAnsi="宋体" w:cs="宋体"/>
          <w:b/>
          <w:bCs/>
          <w:sz w:val="24"/>
          <w:highlight w:val="none"/>
        </w:rPr>
        <w:t>2</w:t>
      </w:r>
      <w:r>
        <w:rPr>
          <w:rFonts w:hint="eastAsia" w:ascii="宋体" w:hAnsi="宋体" w:cs="宋体"/>
          <w:b/>
          <w:bCs/>
          <w:sz w:val="24"/>
          <w:highlight w:val="none"/>
          <w:lang w:val="zh-CN"/>
        </w:rPr>
        <w:t xml:space="preserve"> </w:t>
      </w:r>
      <w:r>
        <w:rPr>
          <w:rFonts w:hint="eastAsia" w:ascii="宋体" w:hAnsi="宋体" w:cs="宋体"/>
          <w:b/>
          <w:bCs/>
          <w:sz w:val="24"/>
          <w:highlight w:val="none"/>
        </w:rPr>
        <w:t>商务技术</w:t>
      </w:r>
      <w:r>
        <w:rPr>
          <w:rFonts w:hint="eastAsia" w:ascii="宋体" w:hAnsi="宋体" w:cs="宋体"/>
          <w:b/>
          <w:bCs/>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3</w:t>
      </w:r>
      <w:r>
        <w:rPr>
          <w:rFonts w:hint="eastAsia" w:ascii="宋体" w:hAnsi="宋体" w:cs="宋体"/>
          <w:sz w:val="24"/>
          <w:highlight w:val="none"/>
          <w:lang w:eastAsia="zh-CN"/>
        </w:rPr>
        <w:t>分包意向协议</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hint="default" w:ascii="宋体" w:hAnsi="宋体" w:cs="宋体"/>
          <w:color w:val="auto"/>
          <w:sz w:val="24"/>
          <w:highlight w:val="none"/>
          <w:lang w:val="en-US"/>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7</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default" w:ascii="宋体" w:hAnsi="宋体" w:cs="宋体"/>
          <w:sz w:val="24"/>
          <w:highlight w:val="none"/>
          <w:lang w:val="en-US"/>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2" w:firstLineChars="200"/>
        <w:rPr>
          <w:rFonts w:ascii="宋体" w:hAnsi="宋体" w:cs="宋体"/>
          <w:b/>
          <w:bCs/>
          <w:sz w:val="24"/>
          <w:highlight w:val="none"/>
        </w:rPr>
      </w:pPr>
      <w:r>
        <w:rPr>
          <w:rFonts w:hint="eastAsia" w:ascii="宋体" w:hAnsi="宋体" w:cs="宋体"/>
          <w:b/>
          <w:bCs/>
          <w:sz w:val="24"/>
          <w:highlight w:val="none"/>
        </w:rPr>
        <w:t>2</w:t>
      </w:r>
      <w:r>
        <w:rPr>
          <w:rFonts w:hint="eastAsia" w:ascii="宋体" w:hAnsi="宋体" w:cs="宋体"/>
          <w:b/>
          <w:bCs/>
          <w:sz w:val="24"/>
          <w:highlight w:val="none"/>
          <w:lang w:val="zh-CN"/>
        </w:rPr>
        <w:t>.</w:t>
      </w:r>
      <w:r>
        <w:rPr>
          <w:rFonts w:hint="eastAsia" w:ascii="宋体" w:hAnsi="宋体" w:cs="宋体"/>
          <w:b/>
          <w:bCs/>
          <w:sz w:val="24"/>
          <w:highlight w:val="none"/>
        </w:rPr>
        <w:t>3报价文件</w:t>
      </w:r>
    </w:p>
    <w:p>
      <w:pPr>
        <w:snapToGrid w:val="0"/>
        <w:spacing w:line="360" w:lineRule="auto"/>
        <w:ind w:left="420" w:leftChars="200" w:firstLine="480" w:firstLineChars="200"/>
        <w:rPr>
          <w:rFonts w:hint="eastAsia" w:ascii="宋体" w:hAnsi="宋体" w:cs="宋体"/>
          <w:sz w:val="24"/>
          <w:highlight w:val="none"/>
          <w:lang w:eastAsia="zh-CN"/>
        </w:rPr>
      </w:pPr>
      <w:r>
        <w:rPr>
          <w:rFonts w:hint="eastAsia" w:ascii="宋体" w:hAnsi="宋体" w:cs="宋体"/>
          <w:sz w:val="24"/>
          <w:highlight w:val="none"/>
        </w:rPr>
        <w:t>2.3.1开标一览表（报价表）</w:t>
      </w:r>
      <w:r>
        <w:rPr>
          <w:rFonts w:hint="eastAsia" w:ascii="宋体" w:hAnsi="宋体" w:cs="宋体"/>
          <w:sz w:val="24"/>
          <w:highlight w:val="none"/>
          <w:lang w:eastAsia="zh-CN"/>
        </w:rPr>
        <w:t>；</w:t>
      </w:r>
    </w:p>
    <w:p>
      <w:pPr>
        <w:snapToGrid w:val="0"/>
        <w:spacing w:line="360" w:lineRule="auto"/>
        <w:ind w:left="420" w:leftChars="200" w:firstLine="480" w:firstLineChars="200"/>
        <w:rPr>
          <w:rFonts w:hint="eastAsia" w:ascii="宋体" w:hAnsi="宋体" w:eastAsia="宋体" w:cs="宋体"/>
          <w:sz w:val="24"/>
          <w:highlight w:val="none"/>
          <w:lang w:eastAsia="zh-CN"/>
        </w:rPr>
      </w:pPr>
      <w:r>
        <w:rPr>
          <w:rFonts w:hint="eastAsia" w:ascii="宋体" w:hAnsi="宋体" w:cs="宋体"/>
          <w:sz w:val="24"/>
          <w:highlight w:val="none"/>
        </w:rPr>
        <w:t>2.3.1</w:t>
      </w:r>
      <w:r>
        <w:rPr>
          <w:rFonts w:hint="eastAsia" w:ascii="宋体" w:hAnsi="宋体" w:cs="宋体"/>
          <w:sz w:val="24"/>
          <w:highlight w:val="none"/>
          <w:lang w:eastAsia="zh-CN"/>
        </w:rPr>
        <w:t>中小企业声明函。</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杭州市文理中学</w:t>
      </w:r>
      <w:r>
        <w:rPr>
          <w:rFonts w:hint="eastAsia" w:ascii="宋体" w:hAnsi="宋体" w:cs="宋体"/>
          <w:sz w:val="24"/>
          <w:highlight w:val="none"/>
        </w:rPr>
        <w:t>、杭州市西湖区政府采购中心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杭州市文理中学监控系统采购项目</w:t>
      </w:r>
      <w:r>
        <w:rPr>
          <w:rFonts w:hint="eastAsia" w:ascii="宋体" w:hAnsi="宋体" w:cs="宋体"/>
          <w:sz w:val="24"/>
          <w:highlight w:val="none"/>
        </w:rPr>
        <w:t>【招标编号：</w:t>
      </w:r>
      <w:r>
        <w:rPr>
          <w:rFonts w:hint="eastAsia" w:ascii="宋体" w:hAnsi="宋体" w:cs="宋体"/>
          <w:sz w:val="24"/>
          <w:highlight w:val="none"/>
          <w:lang w:eastAsia="zh-CN"/>
        </w:rPr>
        <w:t>XHZFCG-2023-G-22</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jc w:val="center"/>
        <w:rPr>
          <w:rFonts w:hint="eastAsia"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ascii="宋体" w:hAnsi="宋体" w:cs="宋体"/>
          <w:sz w:val="24"/>
          <w:highlight w:val="none"/>
          <w:lang w:eastAsia="zh-CN"/>
        </w:rPr>
        <w:t>杭州市文理中学</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ascii="宋体" w:hAnsi="宋体" w:cs="宋体"/>
          <w:sz w:val="24"/>
          <w:highlight w:val="none"/>
          <w:lang w:eastAsia="zh-CN"/>
        </w:rPr>
        <w:t>杭州市文理中学监控系统采购项目</w:t>
      </w:r>
      <w:r>
        <w:rPr>
          <w:rFonts w:hint="eastAsia" w:cs="宋体" w:asciiTheme="minorEastAsia" w:hAnsiTheme="minorEastAsia" w:eastAsiaTheme="minorEastAsia"/>
          <w:sz w:val="24"/>
          <w:highlight w:val="none"/>
        </w:rPr>
        <w:t>【招标编号：XHZFCG-2023-G-22】</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jc w:val="center"/>
        <w:rPr>
          <w:rFonts w:cs="宋体" w:asciiTheme="minorEastAsia" w:hAnsiTheme="minorEastAsia" w:eastAsiaTheme="minorEastAsia"/>
          <w:b/>
          <w:kern w:val="0"/>
          <w:sz w:val="32"/>
          <w:szCs w:val="32"/>
          <w:highlight w:val="none"/>
        </w:rPr>
      </w:pP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left"/>
        <w:rPr>
          <w:rFonts w:ascii="宋体" w:hAnsi="宋体" w:cs="宋体"/>
          <w:b/>
          <w:kern w:val="0"/>
          <w:sz w:val="32"/>
          <w:szCs w:val="32"/>
          <w:highlight w:val="none"/>
          <w:u w:val="single"/>
          <w:lang w:val="zh-CN"/>
        </w:rPr>
      </w:pPr>
      <w:r>
        <w:rPr>
          <w:rFonts w:hint="eastAsia" w:ascii="宋体" w:hAnsi="宋体" w:cs="宋体"/>
          <w:b/>
          <w:kern w:val="0"/>
          <w:sz w:val="24"/>
          <w:highlight w:val="none"/>
          <w:u w:val="singl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sz w:val="24"/>
          <w:highlight w:val="none"/>
        </w:rPr>
      </w:pPr>
    </w:p>
    <w:p>
      <w:pPr>
        <w:pStyle w:val="5"/>
        <w:rPr>
          <w:highlight w:val="none"/>
        </w:rPr>
      </w:pPr>
    </w:p>
    <w:p>
      <w:pPr>
        <w:snapToGrid w:val="0"/>
        <w:spacing w:line="360" w:lineRule="auto"/>
        <w:rPr>
          <w:rFonts w:ascii="宋体" w:hAnsi="宋体" w:cs="宋体"/>
          <w:sz w:val="24"/>
          <w:highlight w:val="none"/>
        </w:rPr>
      </w:pPr>
    </w:p>
    <w:p>
      <w:pPr>
        <w:snapToGrid w:val="0"/>
        <w:spacing w:line="360" w:lineRule="auto"/>
        <w:rPr>
          <w:rFonts w:ascii="宋体" w:hAnsi="宋体" w:cs="宋体"/>
          <w:b/>
          <w:sz w:val="24"/>
          <w:highlight w:val="none"/>
        </w:rPr>
      </w:pPr>
      <w:r>
        <w:rPr>
          <w:rFonts w:hint="eastAsia" w:ascii="宋体" w:hAnsi="宋体" w:cs="宋体"/>
          <w:b/>
          <w:kern w:val="0"/>
          <w:sz w:val="32"/>
          <w:szCs w:val="32"/>
          <w:highlight w:val="none"/>
          <w:lang w:val="zh-CN"/>
        </w:rPr>
        <w:t xml:space="preserve">  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147"/>
        <w:spacing w:line="360" w:lineRule="auto"/>
        <w:rPr>
          <w:rFonts w:hAnsi="宋体" w:cs="宋体"/>
          <w:bCs/>
          <w:sz w:val="24"/>
          <w:highlight w:val="none"/>
        </w:rPr>
      </w:pPr>
      <w:r>
        <w:rPr>
          <w:rFonts w:hint="eastAsia" w:hAnsi="宋体" w:cs="宋体"/>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highlight w:val="none"/>
              </w:rPr>
            </w:pPr>
            <w:r>
              <w:rPr>
                <w:rFonts w:hint="eastAsia" w:hAnsi="宋体" w:cs="宋体"/>
                <w:bCs/>
                <w:sz w:val="24"/>
                <w:highlight w:val="none"/>
              </w:rPr>
              <w:t>正面：                                 反面：</w:t>
            </w:r>
          </w:p>
          <w:p>
            <w:pPr>
              <w:pStyle w:val="147"/>
              <w:adjustRightInd w:val="0"/>
              <w:spacing w:line="360" w:lineRule="auto"/>
              <w:rPr>
                <w:rFonts w:hAnsi="宋体" w:cs="宋体"/>
                <w:bCs/>
                <w:sz w:val="24"/>
                <w:highlight w:val="none"/>
              </w:rPr>
            </w:pPr>
          </w:p>
        </w:tc>
      </w:tr>
    </w:tbl>
    <w:p>
      <w:pPr>
        <w:snapToGrid w:val="0"/>
        <w:spacing w:line="360" w:lineRule="auto"/>
        <w:jc w:val="both"/>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snapToGrid w:val="0"/>
        <w:spacing w:line="360" w:lineRule="auto"/>
        <w:ind w:firstLine="3534" w:firstLineChars="1100"/>
        <w:rPr>
          <w:rFonts w:ascii="宋体" w:hAnsi="宋体" w:cs="宋体"/>
          <w:b/>
          <w:kern w:val="0"/>
          <w:sz w:val="32"/>
          <w:szCs w:val="32"/>
          <w:highlight w:val="none"/>
        </w:rPr>
      </w:pPr>
      <w:r>
        <w:rPr>
          <w:rFonts w:hint="eastAsia" w:ascii="宋体" w:hAnsi="宋体" w:cs="宋体"/>
          <w:b/>
          <w:kern w:val="0"/>
          <w:sz w:val="32"/>
          <w:szCs w:val="32"/>
          <w:highlight w:val="none"/>
        </w:rPr>
        <w:t>三、分包意向协议</w:t>
      </w:r>
    </w:p>
    <w:p>
      <w:pPr>
        <w:widowControl/>
        <w:spacing w:line="360" w:lineRule="auto"/>
        <w:ind w:firstLine="120" w:firstLineChars="50"/>
        <w:jc w:val="left"/>
        <w:rPr>
          <w:rFonts w:ascii="宋体" w:hAnsi="宋体" w:cs="宋体"/>
          <w:sz w:val="24"/>
          <w:highlight w:val="none"/>
        </w:rPr>
      </w:pPr>
      <w:bookmarkStart w:id="398" w:name="_Hlk101169080"/>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bookmarkEnd w:id="398"/>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四</w:t>
      </w:r>
      <w:r>
        <w:rPr>
          <w:rFonts w:hint="eastAsia" w:ascii="宋体" w:hAnsi="宋体" w:cs="宋体"/>
          <w:b/>
          <w:kern w:val="0"/>
          <w:sz w:val="32"/>
          <w:szCs w:val="32"/>
          <w:highlight w:val="none"/>
        </w:rPr>
        <w:t>、符合性审查资料</w:t>
      </w:r>
    </w:p>
    <w:p>
      <w:pPr>
        <w:jc w:val="center"/>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1</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center"/>
          </w:tcPr>
          <w:p>
            <w:pPr>
              <w:jc w:val="left"/>
              <w:rPr>
                <w:rFonts w:ascii="宋体" w:hAnsi="宋体" w:cs="宋体"/>
                <w:sz w:val="24"/>
                <w:highlight w:val="none"/>
              </w:rPr>
            </w:pPr>
            <w:r>
              <w:rPr>
                <w:rFonts w:hint="eastAsia" w:ascii="宋体" w:hAnsi="宋体" w:cs="宋体"/>
                <w:sz w:val="24"/>
                <w:highlight w:val="none"/>
              </w:rPr>
              <w:t>见投标文件</w:t>
            </w:r>
          </w:p>
          <w:p>
            <w:pPr>
              <w:jc w:val="left"/>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w:t>
            </w:r>
            <w:r>
              <w:rPr>
                <w:rFonts w:hint="eastAsia" w:ascii="宋体" w:hAnsi="宋体" w:cs="宋体"/>
                <w:b/>
                <w:bCs/>
                <w:sz w:val="24"/>
                <w:highlight w:val="none"/>
              </w:rPr>
              <w:t>（本项目拟采购的产品不属于政府强制采购的节能产品品目清单范围的，无需提供）</w:t>
            </w:r>
          </w:p>
        </w:tc>
        <w:tc>
          <w:tcPr>
            <w:tcW w:w="1418" w:type="dxa"/>
            <w:vAlign w:val="center"/>
          </w:tcPr>
          <w:p>
            <w:pPr>
              <w:jc w:val="left"/>
              <w:rPr>
                <w:rFonts w:ascii="宋体" w:hAnsi="宋体" w:cs="宋体"/>
                <w:sz w:val="24"/>
                <w:highlight w:val="none"/>
              </w:rPr>
            </w:pPr>
            <w:r>
              <w:rPr>
                <w:rFonts w:hint="eastAsia" w:ascii="宋体" w:hAnsi="宋体" w:cs="宋体"/>
                <w:sz w:val="24"/>
                <w:highlight w:val="none"/>
              </w:rPr>
              <w:t>见投标文件</w:t>
            </w:r>
          </w:p>
          <w:p>
            <w:pPr>
              <w:pStyle w:val="5"/>
              <w:jc w:val="left"/>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3</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center"/>
          </w:tcPr>
          <w:p>
            <w:pPr>
              <w:jc w:val="left"/>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4</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投标文件满足招标文件的其它</w:t>
            </w:r>
            <w:r>
              <w:rPr>
                <w:rFonts w:hint="eastAsia" w:ascii="宋体" w:hAnsi="宋体" w:cs="宋体"/>
                <w:kern w:val="0"/>
                <w:sz w:val="24"/>
                <w:highlight w:val="none"/>
              </w:rPr>
              <w:t>实质性</w:t>
            </w:r>
            <w:r>
              <w:rPr>
                <w:rFonts w:hint="eastAsia" w:ascii="宋体" w:hAnsi="宋体" w:cs="宋体"/>
                <w:sz w:val="24"/>
                <w:highlight w:val="none"/>
              </w:rPr>
              <w:t>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vAlign w:val="center"/>
          </w:tcPr>
          <w:p>
            <w:pPr>
              <w:jc w:val="left"/>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highlight w:val="none"/>
        </w:rPr>
      </w:pPr>
      <w:r>
        <w:rPr>
          <w:rFonts w:hint="eastAsia" w:ascii="宋体" w:hAnsi="宋体" w:cs="宋体"/>
          <w:b/>
          <w:kern w:val="0"/>
          <w:sz w:val="32"/>
          <w:szCs w:val="32"/>
          <w:highlight w:val="none"/>
          <w:lang w:eastAsia="zh-CN"/>
        </w:rPr>
        <w:t>五</w:t>
      </w:r>
      <w:r>
        <w:rPr>
          <w:rFonts w:hint="eastAsia" w:ascii="宋体" w:hAnsi="宋体" w:cs="宋体"/>
          <w:b/>
          <w:kern w:val="0"/>
          <w:sz w:val="32"/>
          <w:szCs w:val="32"/>
          <w:highlight w:val="none"/>
        </w:rPr>
        <w:t>、评标标准相应的商务技术资料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r>
        <w:rPr>
          <w:rFonts w:hint="eastAsia" w:ascii="宋体" w:hAnsi="宋体" w:eastAsia="宋体" w:cs="宋体"/>
          <w:b/>
          <w:sz w:val="24"/>
          <w:highlight w:val="none"/>
          <w:lang w:val="en-US" w:eastAsia="zh-CN"/>
        </w:rPr>
        <w:t>。</w:t>
      </w:r>
      <w:r>
        <w:rPr>
          <w:rFonts w:hint="eastAsia" w:ascii="宋体" w:hAnsi="宋体" w:cs="宋体"/>
          <w:b/>
          <w:sz w:val="24"/>
          <w:highlight w:val="none"/>
        </w:rPr>
        <w:t>）</w:t>
      </w:r>
    </w:p>
    <w:p>
      <w:pPr>
        <w:pStyle w:val="2"/>
        <w:rPr>
          <w:rFonts w:hint="default"/>
          <w:highlight w:val="none"/>
          <w:lang w:val="en-US" w:eastAsia="zh-CN"/>
        </w:rPr>
      </w:pPr>
    </w:p>
    <w:p>
      <w:pPr>
        <w:jc w:val="center"/>
        <w:rPr>
          <w:rFonts w:ascii="宋体" w:hAnsi="宋体" w:cs="宋体"/>
          <w:b/>
          <w:kern w:val="0"/>
          <w:sz w:val="32"/>
          <w:szCs w:val="32"/>
          <w:highlight w:val="none"/>
        </w:rPr>
      </w:pPr>
    </w:p>
    <w:p>
      <w:pPr>
        <w:pStyle w:val="5"/>
        <w:rPr>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eastAsia="zh-CN"/>
        </w:rPr>
        <w:t>六</w:t>
      </w:r>
      <w:r>
        <w:rPr>
          <w:rFonts w:hint="eastAsia" w:ascii="宋体" w:hAnsi="宋体" w:cs="宋体"/>
          <w:b/>
          <w:color w:val="auto"/>
          <w:kern w:val="0"/>
          <w:sz w:val="32"/>
          <w:szCs w:val="32"/>
          <w:highlight w:val="none"/>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型号</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七</w:t>
      </w:r>
      <w:r>
        <w:rPr>
          <w:rFonts w:hint="eastAsia" w:ascii="宋体" w:hAnsi="宋体" w:cs="宋体"/>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hint="eastAsia" w:ascii="宋体" w:hAnsi="宋体" w:cs="宋体"/>
          <w:b/>
          <w:bCs/>
          <w:sz w:val="32"/>
          <w:szCs w:val="32"/>
          <w:highlight w:val="none"/>
        </w:rPr>
      </w:pPr>
    </w:p>
    <w:p>
      <w:pPr>
        <w:ind w:firstLine="1911" w:firstLineChars="595"/>
        <w:rPr>
          <w:rFonts w:hint="eastAsia" w:ascii="宋体" w:hAnsi="宋体" w:cs="宋体"/>
          <w:b/>
          <w:bCs/>
          <w:sz w:val="32"/>
          <w:szCs w:val="32"/>
          <w:highlight w:val="none"/>
        </w:rPr>
      </w:pPr>
    </w:p>
    <w:p>
      <w:pPr>
        <w:spacing w:line="360" w:lineRule="auto"/>
        <w:ind w:firstLine="1911" w:firstLineChars="595"/>
        <w:rPr>
          <w:rFonts w:ascii="宋体" w:hAnsi="宋体" w:cs="宋体"/>
          <w:b/>
          <w:kern w:val="0"/>
          <w:sz w:val="32"/>
          <w:szCs w:val="32"/>
          <w:highlight w:val="none"/>
        </w:rPr>
      </w:pPr>
      <w:r>
        <w:rPr>
          <w:rFonts w:hint="eastAsia" w:ascii="宋体" w:hAnsi="宋体" w:cs="宋体"/>
          <w:b/>
          <w:bCs/>
          <w:sz w:val="32"/>
          <w:szCs w:val="32"/>
          <w:highlight w:val="none"/>
          <w:lang w:eastAsia="zh-CN"/>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杭州市文理中学</w:t>
      </w:r>
      <w:r>
        <w:rPr>
          <w:rFonts w:hint="eastAsia" w:ascii="宋体" w:hAnsi="宋体" w:cs="宋体"/>
          <w:sz w:val="24"/>
          <w:highlight w:val="none"/>
        </w:rPr>
        <w:t>、杭州市西湖区政府采购中心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numPr>
          <w:ilvl w:val="0"/>
          <w:numId w:val="14"/>
        </w:numPr>
        <w:snapToGrid w:val="0"/>
        <w:spacing w:line="360" w:lineRule="auto"/>
        <w:rPr>
          <w:rFonts w:hint="eastAsia" w:ascii="宋体" w:hAnsi="宋体" w:cs="宋体"/>
          <w:sz w:val="24"/>
          <w:highlight w:val="none"/>
        </w:rPr>
      </w:pPr>
      <w:r>
        <w:rPr>
          <w:rFonts w:hint="eastAsia" w:ascii="宋体" w:hAnsi="宋体" w:cs="宋体"/>
          <w:sz w:val="24"/>
          <w:highlight w:val="none"/>
        </w:rPr>
        <w:t>开标一览表（报价表）………………………………………………………（页码）</w:t>
      </w:r>
      <w:r>
        <w:rPr>
          <w:rFonts w:hint="eastAsia" w:ascii="宋体" w:hAnsi="宋体" w:cs="宋体"/>
          <w:sz w:val="24"/>
          <w:highlight w:val="none"/>
          <w:lang w:eastAsia="zh-CN"/>
        </w:rPr>
        <w:t>（</w:t>
      </w:r>
      <w:r>
        <w:rPr>
          <w:rFonts w:hint="default" w:ascii="宋体" w:hAnsi="宋体" w:cs="宋体"/>
          <w:sz w:val="24"/>
          <w:highlight w:val="none"/>
          <w:lang w:val="en-US" w:eastAsia="zh-CN"/>
        </w:rPr>
        <w:t>2</w:t>
      </w:r>
      <w:r>
        <w:rPr>
          <w:rFonts w:hint="eastAsia" w:ascii="宋体" w:hAnsi="宋体" w:cs="宋体"/>
          <w:sz w:val="24"/>
          <w:highlight w:val="none"/>
          <w:lang w:eastAsia="zh-CN"/>
        </w:rPr>
        <w:t>）中小企业声明函</w:t>
      </w:r>
      <w:r>
        <w:rPr>
          <w:rFonts w:hint="eastAsia" w:ascii="宋体" w:hAnsi="宋体" w:cs="宋体"/>
          <w:sz w:val="24"/>
          <w:highlight w:val="none"/>
        </w:rPr>
        <w:t>………………………………………………………………（页码）</w:t>
      </w:r>
    </w:p>
    <w:p>
      <w:pPr>
        <w:pStyle w:val="26"/>
        <w:numPr>
          <w:ilvl w:val="0"/>
          <w:numId w:val="0"/>
        </w:numPr>
        <w:rPr>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2"/>
        <w:rPr>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杭州市文理中学</w:t>
      </w:r>
      <w:r>
        <w:rPr>
          <w:rFonts w:hint="eastAsia" w:ascii="宋体" w:hAnsi="宋体" w:cs="宋体"/>
          <w:sz w:val="24"/>
          <w:highlight w:val="none"/>
        </w:rPr>
        <w:t>、杭州市西湖区政府采购中心</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杭州市文理中学监控系统采购项目</w:t>
      </w:r>
      <w:r>
        <w:rPr>
          <w:rFonts w:hint="eastAsia" w:ascii="宋体" w:hAnsi="宋体" w:cs="宋体"/>
          <w:kern w:val="0"/>
          <w:sz w:val="24"/>
          <w:highlight w:val="none"/>
          <w:lang w:val="zh-CN"/>
        </w:rPr>
        <w:t>【招标编号：</w:t>
      </w:r>
      <w:r>
        <w:rPr>
          <w:rFonts w:hint="eastAsia" w:ascii="宋体" w:hAnsi="宋体" w:cs="宋体"/>
          <w:sz w:val="24"/>
          <w:highlight w:val="none"/>
          <w:lang w:eastAsia="zh-CN"/>
        </w:rPr>
        <w:t>XHZFCG-2023-G-22</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4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843" w:type="dxa"/>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品牌</w:t>
            </w:r>
          </w:p>
        </w:tc>
        <w:tc>
          <w:tcPr>
            <w:tcW w:w="3118"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规格型号</w:t>
            </w:r>
          </w:p>
        </w:tc>
        <w:tc>
          <w:tcPr>
            <w:tcW w:w="99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数量</w:t>
            </w:r>
          </w:p>
        </w:tc>
        <w:tc>
          <w:tcPr>
            <w:tcW w:w="1559"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单价</w:t>
            </w:r>
          </w:p>
        </w:tc>
        <w:tc>
          <w:tcPr>
            <w:tcW w:w="198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合计</w:t>
            </w:r>
          </w:p>
        </w:tc>
        <w:tc>
          <w:tcPr>
            <w:tcW w:w="3119"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投标报价（小写）</w:t>
            </w:r>
          </w:p>
        </w:tc>
        <w:tc>
          <w:tcPr>
            <w:tcW w:w="7655" w:type="dxa"/>
            <w:gridSpan w:val="4"/>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7655" w:type="dxa"/>
            <w:gridSpan w:val="4"/>
            <w:vAlign w:val="center"/>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default" w:ascii="宋体" w:hAnsi="宋体" w:cs="宋体"/>
          <w:kern w:val="0"/>
          <w:sz w:val="24"/>
          <w:highlight w:val="none"/>
          <w:lang w:val="en-US"/>
        </w:rPr>
        <w:t>1</w:t>
      </w:r>
      <w:r>
        <w:rPr>
          <w:rFonts w:hint="eastAsia" w:ascii="宋体" w:hAnsi="宋体" w:cs="宋体"/>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p>
    <w:p>
      <w:pPr>
        <w:spacing w:line="360" w:lineRule="auto"/>
        <w:ind w:firstLine="480" w:firstLineChars="200"/>
        <w:rPr>
          <w:rFonts w:hint="eastAsia" w:ascii="宋体" w:hAnsi="宋体" w:cs="宋体"/>
          <w:b/>
          <w:color w:val="auto"/>
          <w:kern w:val="0"/>
          <w:sz w:val="24"/>
          <w:highlight w:val="none"/>
          <w:lang w:val="zh-CN"/>
        </w:rPr>
      </w:pPr>
      <w:r>
        <w:rPr>
          <w:rFonts w:hint="default" w:ascii="宋体" w:hAnsi="宋体" w:cs="宋体"/>
          <w:color w:val="auto"/>
          <w:kern w:val="0"/>
          <w:sz w:val="24"/>
          <w:highlight w:val="none"/>
          <w:lang w:val="en-US"/>
        </w:rPr>
        <w:t>2</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有关本项目实施所涉及的一切费用均计入报价</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pStyle w:val="5"/>
        <w:rPr>
          <w:rFonts w:hint="eastAsia" w:ascii="宋体" w:hAnsi="宋体" w:eastAsia="宋体" w:cs="宋体"/>
          <w:b/>
          <w:bCs/>
          <w:kern w:val="0"/>
          <w:sz w:val="24"/>
          <w:szCs w:val="24"/>
          <w:highlight w:val="none"/>
          <w:lang w:val="en-US" w:eastAsia="zh-CN" w:bidi="ar-SA"/>
        </w:rPr>
      </w:pPr>
      <w:r>
        <w:rPr>
          <w:rFonts w:hint="default" w:ascii="宋体" w:hAnsi="宋体" w:cs="宋体"/>
          <w:b/>
          <w:color w:val="auto"/>
          <w:sz w:val="24"/>
          <w:highlight w:val="none"/>
          <w:lang w:val="en-US"/>
        </w:rPr>
        <w:t xml:space="preserve">    3</w:t>
      </w:r>
      <w:r>
        <w:rPr>
          <w:rFonts w:hint="eastAsia" w:ascii="宋体" w:hAnsi="宋体" w:cs="宋体"/>
          <w:b/>
          <w:color w:val="auto"/>
          <w:sz w:val="24"/>
          <w:highlight w:val="none"/>
          <w:lang w:val="en-US" w:eastAsia="zh-CN"/>
        </w:rPr>
        <w:t>、</w:t>
      </w:r>
      <w:r>
        <w:rPr>
          <w:rFonts w:hint="eastAsia" w:ascii="宋体" w:hAnsi="宋体" w:eastAsia="宋体" w:cs="宋体"/>
          <w:b/>
          <w:bCs/>
          <w:kern w:val="0"/>
          <w:sz w:val="24"/>
          <w:szCs w:val="24"/>
          <w:highlight w:val="none"/>
          <w:lang w:val="en-US" w:eastAsia="zh-CN" w:bidi="ar-SA"/>
        </w:rPr>
        <w:t>特别说明</w:t>
      </w:r>
      <w:r>
        <w:rPr>
          <w:rFonts w:hint="eastAsia" w:ascii="宋体" w:hAnsi="宋体" w:cs="宋体"/>
          <w:b/>
          <w:color w:val="auto"/>
          <w:sz w:val="24"/>
          <w:highlight w:val="none"/>
          <w:lang w:val="en-US" w:eastAsia="zh-CN"/>
        </w:rPr>
        <w:t>：▲</w:t>
      </w:r>
      <w:r>
        <w:rPr>
          <w:rFonts w:hint="eastAsia" w:ascii="宋体" w:hAnsi="宋体" w:eastAsia="宋体" w:cs="宋体"/>
          <w:b/>
          <w:bCs/>
          <w:kern w:val="0"/>
          <w:sz w:val="24"/>
          <w:szCs w:val="24"/>
          <w:highlight w:val="none"/>
          <w:lang w:val="en-US" w:eastAsia="zh-CN" w:bidi="ar-SA"/>
        </w:rPr>
        <w:t>供应商报价低于项目预算50%的，应当在报价文件中详细阐述不影响产品质量或者诚信履约的具体原因。</w:t>
      </w:r>
    </w:p>
    <w:p>
      <w:pPr>
        <w:snapToGrid w:val="0"/>
        <w:spacing w:line="360" w:lineRule="auto"/>
        <w:ind w:firstLine="482" w:firstLineChars="200"/>
        <w:jc w:val="left"/>
        <w:rPr>
          <w:rFonts w:hint="default"/>
          <w:highlight w:val="none"/>
          <w:lang w:val="en-US"/>
        </w:rPr>
      </w:pPr>
      <w:r>
        <w:rPr>
          <w:rFonts w:hint="default" w:ascii="宋体" w:hAnsi="宋体" w:cs="宋体"/>
          <w:b/>
          <w:bCs/>
          <w:kern w:val="0"/>
          <w:sz w:val="24"/>
          <w:highlight w:val="none"/>
          <w:lang w:val="en-US"/>
        </w:rPr>
        <w:t>4</w:t>
      </w:r>
      <w:r>
        <w:rPr>
          <w:rFonts w:hint="eastAsia" w:ascii="宋体" w:hAnsi="宋体" w:cs="宋体"/>
          <w:b/>
          <w:bCs/>
          <w:kern w:val="0"/>
          <w:sz w:val="24"/>
          <w:highlight w:val="none"/>
          <w:lang w:val="zh-CN"/>
        </w:rPr>
        <w:t>、特别提示：采购机构将对项目名称和项目编号，中标供应商名称、地址和中标金额，主要中标标的名称、品牌、规格型号、数量、单价等予以公示。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szCs w:val="22"/>
          <w:highlight w:val="none"/>
          <w:lang w:val="en-US"/>
        </w:rPr>
        <w:t>5</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p>
    <w:p>
      <w:pPr>
        <w:autoSpaceDE w:val="0"/>
        <w:autoSpaceDN w:val="0"/>
        <w:spacing w:line="360" w:lineRule="auto"/>
        <w:ind w:left="4551" w:leftChars="2167" w:right="1120" w:firstLine="0" w:firstLineChars="0"/>
        <w:jc w:val="left"/>
        <w:rPr>
          <w:rFonts w:hint="eastAsia" w:ascii="宋体" w:hAnsi="宋体" w:cs="宋体"/>
          <w:kern w:val="0"/>
          <w:sz w:val="24"/>
          <w:highlight w:val="none"/>
          <w:lang w:val="zh-CN"/>
        </w:rPr>
        <w:sectPr>
          <w:headerReference r:id="rId20" w:type="first"/>
          <w:footerReference r:id="rId23" w:type="first"/>
          <w:headerReference r:id="rId19" w:type="default"/>
          <w:footerReference r:id="rId21" w:type="default"/>
          <w:footerReference r:id="rId22" w:type="even"/>
          <w:pgSz w:w="16838" w:h="11906" w:orient="landscape"/>
          <w:pgMar w:top="1418" w:right="1276" w:bottom="1418" w:left="1247" w:header="851" w:footer="992" w:gutter="0"/>
          <w:cols w:space="720" w:num="1"/>
          <w:titlePg/>
          <w:docGrid w:linePitch="312" w:charSpace="0"/>
        </w:sect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w:t>
      </w:r>
      <w:bookmarkStart w:id="399" w:name="_Toc465665161"/>
      <w:r>
        <w:rPr>
          <w:rFonts w:hint="eastAsia" w:ascii="宋体" w:hAnsi="宋体" w:cs="宋体"/>
          <w:kern w:val="0"/>
          <w:sz w:val="24"/>
          <w:highlight w:val="none"/>
          <w:lang w:val="zh-CN"/>
        </w:rPr>
        <w:t>日</w:t>
      </w: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400" w:name="_Hlk101259491"/>
      <w:r>
        <w:rPr>
          <w:rFonts w:hint="eastAsia" w:ascii="宋体" w:hAnsi="宋体" w:eastAsia="宋体" w:cs="宋体"/>
          <w:color w:val="auto"/>
          <w:sz w:val="32"/>
          <w:szCs w:val="32"/>
          <w:highlight w:val="none"/>
        </w:rPr>
        <w:t>（如果有）</w:t>
      </w:r>
      <w:bookmarkEnd w:id="400"/>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autoSpaceDE w:val="0"/>
        <w:autoSpaceDN w:val="0"/>
        <w:jc w:val="center"/>
        <w:rPr>
          <w:rFonts w:hint="eastAsia" w:ascii="宋体" w:hAnsi="宋体" w:cs="宋体"/>
          <w:b/>
          <w:spacing w:val="6"/>
          <w:sz w:val="32"/>
          <w:szCs w:val="32"/>
          <w:highlight w:val="none"/>
          <w:lang w:eastAsia="zh-CN"/>
        </w:rPr>
      </w:pPr>
    </w:p>
    <w:p>
      <w:pPr>
        <w:numPr>
          <w:ilvl w:val="0"/>
          <w:numId w:val="0"/>
        </w:numPr>
        <w:spacing w:line="360" w:lineRule="auto"/>
        <w:ind w:right="420" w:rightChars="0" w:firstLine="420" w:firstLineChars="200"/>
        <w:rPr>
          <w:rFonts w:hint="eastAsia" w:ascii="宋体" w:hAnsi="宋体" w:cs="宋体"/>
          <w:highlight w:val="none"/>
        </w:rPr>
      </w:pPr>
    </w:p>
    <w:p>
      <w:pPr>
        <w:pStyle w:val="4"/>
        <w:keepNext w:val="0"/>
        <w:keepLines w:val="0"/>
        <w:pageBreakBefore/>
        <w:widowControl/>
        <w:spacing w:before="100" w:beforeAutospacing="1" w:after="100" w:afterAutospacing="1" w:line="360" w:lineRule="auto"/>
        <w:ind w:left="1090" w:leftChars="519" w:firstLine="3066" w:firstLineChars="694"/>
        <w:rPr>
          <w:rFonts w:ascii="宋体" w:hAnsi="宋体" w:cs="宋体"/>
          <w:highlight w:val="none"/>
        </w:rPr>
      </w:pPr>
      <w:r>
        <w:rPr>
          <w:rFonts w:hint="eastAsia" w:ascii="宋体" w:hAnsi="宋体" w:cs="宋体"/>
          <w:highlight w:val="none"/>
        </w:rPr>
        <w:t>附件</w:t>
      </w:r>
      <w:bookmarkEnd w:id="399"/>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401" w:name="OLE_LINK14"/>
      <w:bookmarkStart w:id="402" w:name="OLE_LINK13"/>
      <w:r>
        <w:rPr>
          <w:rFonts w:hint="eastAsia" w:ascii="宋体" w:hAnsi="宋体" w:cs="宋体"/>
          <w:b/>
          <w:spacing w:val="6"/>
          <w:sz w:val="32"/>
          <w:szCs w:val="32"/>
          <w:highlight w:val="none"/>
        </w:rPr>
        <w:t>残疾人福利性单位声明函</w:t>
      </w:r>
    </w:p>
    <w:bookmarkEnd w:id="401"/>
    <w:bookmarkEnd w:id="402"/>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rPr>
      </w:pPr>
      <w:r>
        <w:rPr>
          <w:rFonts w:hint="eastAsia" w:ascii="宋体" w:hAnsi="宋体" w:cs="宋体"/>
          <w:sz w:val="24"/>
          <w:highlight w:val="none"/>
          <w:u w:val="single"/>
          <w:lang w:eastAsia="zh-CN"/>
        </w:rPr>
        <w:t>杭州市文理中学</w:t>
      </w:r>
      <w:r>
        <w:rPr>
          <w:rFonts w:hint="eastAsia" w:ascii="宋体" w:hAnsi="宋体" w:cs="宋体"/>
          <w:sz w:val="24"/>
          <w:highlight w:val="none"/>
          <w:u w:val="single"/>
        </w:rPr>
        <w:t>、杭州市西湖区政府采购中心</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杭州市文理中学监控系统采购项目</w:t>
      </w:r>
      <w:r>
        <w:rPr>
          <w:rFonts w:hint="eastAsia" w:ascii="宋体" w:hAnsi="宋体" w:cs="宋体"/>
          <w:sz w:val="24"/>
          <w:highlight w:val="none"/>
        </w:rPr>
        <w:t>【招标编号：</w:t>
      </w:r>
      <w:r>
        <w:rPr>
          <w:rFonts w:hint="eastAsia" w:ascii="宋体" w:hAnsi="宋体" w:cs="宋体"/>
          <w:sz w:val="24"/>
          <w:highlight w:val="none"/>
          <w:lang w:eastAsia="zh-CN"/>
        </w:rPr>
        <w:t>XHZFCG-2023-G-22</w:t>
      </w:r>
      <w:r>
        <w:rPr>
          <w:rFonts w:hint="eastAsia" w:ascii="宋体" w:hAnsi="宋体" w:cs="宋体"/>
          <w:sz w:val="24"/>
          <w:highlight w:val="none"/>
        </w:rPr>
        <w:t>】</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lang w:eastAsia="zh-CN"/>
        </w:rPr>
        <w:t>杭州市文理中学监控系统采购项目</w:t>
      </w:r>
      <w:r>
        <w:rPr>
          <w:rFonts w:hint="eastAsia" w:ascii="宋体" w:hAnsi="宋体" w:cs="宋体"/>
          <w:sz w:val="24"/>
          <w:highlight w:val="none"/>
        </w:rPr>
        <w:t>【招标编号：</w:t>
      </w:r>
      <w:r>
        <w:rPr>
          <w:rFonts w:hint="eastAsia" w:ascii="宋体" w:hAnsi="宋体" w:cs="宋体"/>
          <w:sz w:val="24"/>
          <w:highlight w:val="none"/>
          <w:lang w:eastAsia="zh-CN"/>
        </w:rPr>
        <w:t>XHZFCG-2023-G-22</w:t>
      </w:r>
      <w:r>
        <w:rPr>
          <w:rFonts w:hint="eastAsia" w:ascii="宋体" w:hAnsi="宋体" w:cs="宋体"/>
          <w:sz w:val="24"/>
          <w:highlight w:val="none"/>
        </w:rPr>
        <w:t>】</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hint="eastAsia"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ins w:id="0" w:author="Administrator" w:date="2022-04-18T00:30:00Z"/>
          <w:rFonts w:hint="eastAsia"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bookmarkStart w:id="403" w:name="_Hlk101134295"/>
      <w:r>
        <w:rPr>
          <w:rFonts w:hint="eastAsia" w:ascii="宋体" w:hAnsi="宋体" w:cs="宋体"/>
          <w:kern w:val="0"/>
          <w:sz w:val="24"/>
          <w:highlight w:val="none"/>
          <w:lang w:val="zh-CN"/>
        </w:rPr>
        <w:t>（联合体成员1）承担的工作和义务为：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bookmarkEnd w:id="403"/>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（联合体成员</w:t>
      </w:r>
      <w:r>
        <w:rPr>
          <w:rFonts w:ascii="宋体" w:hAnsi="宋体" w:cs="宋体"/>
          <w:kern w:val="0"/>
          <w:sz w:val="24"/>
          <w:highlight w:val="none"/>
          <w:u w:val="single"/>
        </w:rPr>
        <w:t>X,</w:t>
      </w:r>
      <w:r>
        <w:rPr>
          <w:rFonts w:hint="eastAsia" w:ascii="宋体" w:hAnsi="宋体" w:cs="宋体"/>
          <w:kern w:val="0"/>
          <w:sz w:val="24"/>
          <w:highlight w:val="none"/>
          <w:u w:val="single"/>
        </w:rPr>
        <w:t>……）</w:t>
      </w:r>
      <w:r>
        <w:rPr>
          <w:rFonts w:hint="eastAsia" w:ascii="宋体" w:hAnsi="宋体" w:cs="宋体"/>
          <w:kern w:val="0"/>
          <w:sz w:val="24"/>
          <w:highlight w:val="none"/>
        </w:rPr>
        <w:t>提供的全部货物由小微企业制造，其合同份额占到合同总金额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hint="eastAsia" w:ascii="宋体" w:hAnsi="宋体" w:cs="宋体"/>
          <w:sz w:val="24"/>
          <w:highlight w:val="none"/>
        </w:rPr>
      </w:pPr>
      <w:r>
        <w:rPr>
          <w:rFonts w:hint="eastAsia" w:ascii="宋体" w:hAnsi="宋体" w:cs="宋体"/>
          <w:sz w:val="24"/>
          <w:highlight w:val="none"/>
        </w:rPr>
        <w:t>注：按本格式和要求提供。</w:t>
      </w:r>
    </w:p>
    <w:p>
      <w:pPr>
        <w:pStyle w:val="5"/>
        <w:rPr>
          <w:rFonts w:hint="eastAsia" w:ascii="宋体" w:hAnsi="宋体" w:cs="宋体"/>
          <w:sz w:val="24"/>
          <w:highlight w:val="none"/>
        </w:rPr>
      </w:pPr>
    </w:p>
    <w:p>
      <w:pPr>
        <w:snapToGrid w:val="0"/>
        <w:spacing w:line="360" w:lineRule="auto"/>
        <w:jc w:val="center"/>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lang w:eastAsia="zh-CN"/>
        </w:rPr>
        <w:t>杭州市文理中学监控系统采购项目</w:t>
      </w:r>
      <w:r>
        <w:rPr>
          <w:rFonts w:hint="eastAsia" w:ascii="宋体" w:hAnsi="宋体" w:cs="宋体"/>
          <w:sz w:val="24"/>
          <w:highlight w:val="none"/>
        </w:rPr>
        <w:t>【招标编号：</w:t>
      </w:r>
      <w:r>
        <w:rPr>
          <w:rFonts w:hint="eastAsia" w:ascii="宋体" w:hAnsi="宋体" w:cs="宋体"/>
          <w:sz w:val="24"/>
          <w:highlight w:val="none"/>
          <w:lang w:eastAsia="zh-CN"/>
        </w:rPr>
        <w:t>XHZFCG-2023-G-22</w:t>
      </w:r>
      <w:r>
        <w:rPr>
          <w:rFonts w:hint="eastAsia" w:ascii="宋体" w:hAnsi="宋体" w:cs="宋体"/>
          <w:sz w:val="24"/>
          <w:highlight w:val="none"/>
        </w:rPr>
        <w:t>】</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5"/>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u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……）提供的货物全部由小微企业制造，</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404"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bookmarkEnd w:id="404"/>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both"/>
        <w:rPr>
          <w:rFonts w:ascii="宋体" w:hAnsi="宋体" w:cs="宋体"/>
          <w:b/>
          <w:bCs/>
          <w:sz w:val="32"/>
          <w:szCs w:val="32"/>
          <w:highlight w:val="none"/>
        </w:rPr>
      </w:pPr>
      <w:r>
        <w:rPr>
          <w:rFonts w:hint="eastAsia" w:ascii="宋体" w:hAnsi="宋体" w:cs="宋体"/>
          <w:b/>
          <w:spacing w:val="6"/>
          <w:sz w:val="32"/>
          <w:szCs w:val="32"/>
          <w:highlight w:val="none"/>
          <w:lang w:eastAsia="zh-CN"/>
        </w:rPr>
        <w:t>附件</w:t>
      </w:r>
      <w:r>
        <w:rPr>
          <w:rFonts w:hint="default" w:ascii="宋体" w:hAnsi="宋体" w:cs="宋体"/>
          <w:b/>
          <w:spacing w:val="6"/>
          <w:sz w:val="32"/>
          <w:szCs w:val="32"/>
          <w:highlight w:val="none"/>
          <w:lang w:val="en-US" w:eastAsia="zh-CN"/>
        </w:rPr>
        <w:t xml:space="preserve">7 </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lang w:eastAsia="zh-CN"/>
        </w:rPr>
        <w:t>杭州市文理中学</w:t>
      </w:r>
      <w:r>
        <w:rPr>
          <w:rFonts w:hint="eastAsia" w:ascii="宋体" w:hAnsi="宋体" w:cs="宋体"/>
          <w:sz w:val="24"/>
          <w:highlight w:val="none"/>
          <w:u w:val="single"/>
        </w:rPr>
        <w:t xml:space="preserve"> </w:t>
      </w:r>
      <w:r>
        <w:rPr>
          <w:rFonts w:hint="eastAsia" w:ascii="宋体" w:hAnsi="宋体" w:cs="宋体"/>
          <w:sz w:val="24"/>
          <w:highlight w:val="none"/>
        </w:rPr>
        <w:t xml:space="preserve">的 </w:t>
      </w:r>
      <w:r>
        <w:rPr>
          <w:rFonts w:hint="eastAsia" w:ascii="宋体" w:hAnsi="宋体" w:cs="宋体"/>
          <w:sz w:val="24"/>
          <w:highlight w:val="none"/>
          <w:u w:val="single"/>
          <w:lang w:eastAsia="zh-CN"/>
        </w:rPr>
        <w:t>杭州市文理中学监控系统采购项目</w:t>
      </w:r>
      <w:r>
        <w:rPr>
          <w:rFonts w:hint="eastAsia" w:ascii="宋体" w:hAnsi="宋体" w:cs="宋体"/>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 </w:t>
      </w:r>
      <w:r>
        <w:rPr>
          <w:rFonts w:hint="eastAsia" w:ascii="宋体" w:hAnsi="宋体" w:cs="宋体"/>
          <w:sz w:val="24"/>
          <w:highlight w:val="none"/>
          <w:u w:val="single"/>
        </w:rPr>
        <w:t>（采购文件中明确的所属行业）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 </w:t>
      </w:r>
      <w:r>
        <w:rPr>
          <w:rFonts w:hint="eastAsia" w:ascii="宋体" w:hAnsi="宋体" w:cs="宋体"/>
          <w:sz w:val="24"/>
          <w:highlight w:val="none"/>
          <w:u w:val="single"/>
        </w:rPr>
        <w:t>（采购文件中明确的所属行业）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pacing w:line="360" w:lineRule="auto"/>
        <w:jc w:val="left"/>
        <w:rPr>
          <w:rFonts w:ascii="宋体" w:hAnsi="宋体" w:cs="宋体"/>
          <w:b/>
          <w:bCs/>
          <w:sz w:val="21"/>
          <w:szCs w:val="21"/>
          <w:highlight w:val="none"/>
        </w:rPr>
      </w:pPr>
      <w:r>
        <w:rPr>
          <w:rFonts w:hint="eastAsia" w:ascii="宋体" w:hAnsi="宋体" w:cs="宋体"/>
          <w:b/>
          <w:bCs/>
          <w:sz w:val="21"/>
          <w:szCs w:val="21"/>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numPr>
          <w:ilvl w:val="0"/>
          <w:numId w:val="15"/>
        </w:numPr>
        <w:spacing w:line="360" w:lineRule="auto"/>
        <w:ind w:right="420" w:firstLine="480" w:firstLineChars="200"/>
        <w:rPr>
          <w:rFonts w:hint="eastAsia" w:ascii="宋体" w:hAnsi="宋体" w:cs="宋体"/>
          <w:color w:val="auto"/>
          <w:sz w:val="24"/>
          <w:highlight w:val="none"/>
        </w:rPr>
      </w:pPr>
      <w:r>
        <w:rPr>
          <w:rFonts w:hint="eastAsia" w:ascii="宋体" w:hAnsi="宋体" w:cs="宋体"/>
          <w:color w:val="auto"/>
          <w:sz w:val="24"/>
          <w:highlight w:val="none"/>
        </w:rPr>
        <w:t>填写要求：①“标的名称”、“采购文件中明确的所属行业”依据招标文件第二部分投标人须知前附表中“采购标的及其对应的中小企业划分标准所属行业”的指引，</w:t>
      </w:r>
      <w:r>
        <w:rPr>
          <w:rFonts w:hint="eastAsia" w:ascii="宋体" w:hAnsi="宋体" w:cs="宋体"/>
          <w:b/>
          <w:bCs/>
          <w:color w:val="auto"/>
          <w:sz w:val="24"/>
          <w:highlight w:val="none"/>
        </w:rPr>
        <w:t>逐一填写，不得缺漏</w:t>
      </w:r>
      <w:r>
        <w:rPr>
          <w:rFonts w:hint="eastAsia" w:ascii="宋体" w:hAnsi="宋体" w:cs="宋体"/>
          <w:color w:val="auto"/>
          <w:sz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2" w:firstLineChars="200"/>
        <w:jc w:val="both"/>
        <w:rPr>
          <w:rFonts w:ascii="宋体" w:hAnsi="宋体" w:cs="宋体"/>
          <w:b/>
          <w:bCs/>
          <w:sz w:val="32"/>
          <w:szCs w:val="32"/>
          <w:highlight w:val="none"/>
        </w:rPr>
      </w:pPr>
      <w:r>
        <w:rPr>
          <w:rFonts w:hint="eastAsia" w:ascii="宋体" w:hAnsi="宋体" w:cs="宋体"/>
          <w:b/>
          <w:bCs/>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both"/>
        <w:rPr>
          <w:rFonts w:ascii="宋体" w:hAnsi="宋体" w:cs="宋体"/>
          <w:b/>
          <w:sz w:val="32"/>
          <w:szCs w:val="32"/>
          <w:highlight w:val="none"/>
        </w:rPr>
      </w:pPr>
    </w:p>
    <w:p>
      <w:pPr>
        <w:spacing w:line="360" w:lineRule="auto"/>
        <w:rPr>
          <w:rFonts w:ascii="宋体" w:hAnsi="宋体" w:cs="宋体"/>
          <w:bCs/>
          <w:sz w:val="24"/>
          <w:highlight w:val="none"/>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05" w:name="_Toc131845147"/>
    <w:bookmarkStart w:id="406" w:name="_Toc91899912"/>
    <w:bookmarkStart w:id="407" w:name="_Toc36110187"/>
    <w:bookmarkStart w:id="408" w:name="_Toc164085800"/>
    <w:r>
      <w:rPr>
        <w:rFonts w:hint="eastAsia" w:ascii="仿宋_GB2312" w:eastAsia="仿宋_GB2312"/>
        <w:kern w:val="0"/>
        <w:szCs w:val="21"/>
      </w:rPr>
      <w:t xml:space="preserve"> 页</w:t>
    </w:r>
    <w:bookmarkEnd w:id="405"/>
    <w:bookmarkEnd w:id="406"/>
    <w:bookmarkEnd w:id="407"/>
    <w:bookmarkEnd w:id="40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91</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72"/>
      </w:rPr>
    </w:pPr>
    <w:r>
      <w:fldChar w:fldCharType="begin"/>
    </w:r>
    <w:r>
      <w:rPr>
        <w:rStyle w:val="72"/>
      </w:rPr>
      <w:instrText xml:space="preserve">PAGE  </w:instrText>
    </w:r>
    <w:r>
      <w:fldChar w:fldCharType="end"/>
    </w:r>
  </w:p>
  <w:p>
    <w:pPr>
      <w:pStyle w:val="4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rPr>
        <w:rFonts w:ascii="仿宋_GB2312" w:eastAsia="仿宋_GB2312"/>
        <w:b w:val="0"/>
        <w:i/>
        <w:sz w:val="18"/>
        <w:u w:val="single"/>
        <w:lang w:val="en-US"/>
      </w:rPr>
    </w:pPr>
    <w:r>
      <w:t></w:t>
    </w:r>
    <w:r>
      <w:rPr>
        <w:rFonts w:hint="eastAsia"/>
      </w:rPr>
      <w:t xml:space="preserve">             </w:t>
    </w:r>
    <w:r>
      <w:rPr>
        <w:rFonts w:hint="eastAsia" w:ascii="宋体" w:hAnsi="宋体" w:eastAsia="宋体" w:cs="宋体"/>
        <w:sz w:val="21"/>
        <w:szCs w:val="21"/>
        <w:lang w:val="en-US" w:eastAsia="zh-CN"/>
      </w:rPr>
      <w:t>西湖区</w:t>
    </w:r>
    <w:r>
      <w:rPr>
        <w:rFonts w:hint="eastAsia" w:ascii="宋体" w:hAnsi="宋体" w:eastAsia="宋体" w:cs="宋体"/>
        <w:sz w:val="21"/>
        <w:szCs w:val="21"/>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仿宋_GB2312"/>
        <w:sz w:val="24"/>
        <w:szCs w:val="24"/>
      </w:rPr>
    </w:pPr>
    <w:r>
      <w:rPr>
        <w:rFonts w:hint="eastAsia" w:ascii="仿宋_GB2312" w:eastAsia="仿宋_GB2312"/>
        <w:sz w:val="24"/>
        <w:szCs w:val="24"/>
      </w:rPr>
      <w:t>杭州市西湖区政府采购公开招标文件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t></w:t>
    </w:r>
    <w:r>
      <w:rPr>
        <w:rFonts w:hint="eastAsia"/>
      </w:rPr>
      <w:t xml:space="preserve">                                               </w:t>
    </w:r>
    <w:r>
      <w:rPr>
        <w:rFonts w:hint="eastAsia"/>
        <w:lang w:eastAsia="zh-CN"/>
      </w:rPr>
      <w:t>西湖区政府采购公开招标文件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rPr>
      <w:t xml:space="preserve">       </w:t>
    </w:r>
  </w:p>
  <w:p>
    <w:pPr>
      <w:pStyle w:val="42"/>
      <w:rPr>
        <w:rFonts w:hint="eastAsia" w:eastAsia="宋体"/>
        <w:lang w:eastAsia="zh-CN"/>
      </w:rPr>
    </w:pPr>
    <w:r>
      <w:rPr>
        <w:rFonts w:hint="eastAsia"/>
      </w:rPr>
      <w:t xml:space="preserve">                                                                  </w:t>
    </w:r>
    <w:r>
      <w:rPr>
        <w:rFonts w:hint="eastAsia"/>
        <w:lang w:eastAsia="zh-CN"/>
      </w:rPr>
      <w:t>西湖区政府采购公开招标文件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rPr>
        <w:rFonts w:hint="eastAsia"/>
        <w:lang w:eastAsia="zh-CN"/>
      </w:rPr>
      <w:t>西湖区政府采购公开招标文件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rFonts w:hint="eastAsia"/>
      </w:rPr>
      <w:t xml:space="preserve">                                                                                                        </w:t>
    </w:r>
    <w:r>
      <w:rPr>
        <w:rFonts w:hint="eastAsia"/>
        <w:lang w:eastAsia="zh-CN"/>
      </w:rPr>
      <w:t>西湖区政府采购公开招标文件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lang w:eastAsia="zh-CN"/>
      </w:rPr>
      <w:t>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eastAsia="宋体"/>
        <w:lang w:eastAsia="zh-CN"/>
      </w:rPr>
    </w:pPr>
    <w:r>
      <w:t></w:t>
    </w:r>
    <w:r>
      <w:rPr>
        <w:rFonts w:hint="eastAsia"/>
      </w:rPr>
      <w:t xml:space="preserve">                                             </w:t>
    </w:r>
    <w:r>
      <w:rPr>
        <w:rFonts w:hint="eastAsia"/>
        <w:lang w:eastAsia="zh-CN"/>
      </w:rPr>
      <w:t>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F8518"/>
    <w:multiLevelType w:val="singleLevel"/>
    <w:tmpl w:val="81DF8518"/>
    <w:lvl w:ilvl="0" w:tentative="0">
      <w:start w:val="5"/>
      <w:numFmt w:val="chineseCounting"/>
      <w:suff w:val="space"/>
      <w:lvlText w:val="第%1部分"/>
      <w:lvlJc w:val="left"/>
      <w:rPr>
        <w:rFonts w:hint="eastAsia"/>
      </w:rPr>
    </w:lvl>
  </w:abstractNum>
  <w:abstractNum w:abstractNumId="1">
    <w:nsid w:val="843A404B"/>
    <w:multiLevelType w:val="singleLevel"/>
    <w:tmpl w:val="843A404B"/>
    <w:lvl w:ilvl="0" w:tentative="0">
      <w:start w:val="1"/>
      <w:numFmt w:val="decimal"/>
      <w:suff w:val="nothing"/>
      <w:lvlText w:val="%1、"/>
      <w:lvlJc w:val="left"/>
    </w:lvl>
  </w:abstractNum>
  <w:abstractNum w:abstractNumId="2">
    <w:nsid w:val="8859AA2D"/>
    <w:multiLevelType w:val="singleLevel"/>
    <w:tmpl w:val="8859AA2D"/>
    <w:lvl w:ilvl="0" w:tentative="0">
      <w:start w:val="1"/>
      <w:numFmt w:val="decimal"/>
      <w:suff w:val="nothing"/>
      <w:lvlText w:val="%1、"/>
      <w:lvlJc w:val="left"/>
    </w:lvl>
  </w:abstractNum>
  <w:abstractNum w:abstractNumId="3">
    <w:nsid w:val="DB88F7E7"/>
    <w:multiLevelType w:val="singleLevel"/>
    <w:tmpl w:val="DB88F7E7"/>
    <w:lvl w:ilvl="0" w:tentative="0">
      <w:start w:val="2"/>
      <w:numFmt w:val="chineseCounting"/>
      <w:suff w:val="nothing"/>
      <w:lvlText w:val="（%1）"/>
      <w:lvlJc w:val="left"/>
      <w:rPr>
        <w:rFonts w:hint="eastAsia"/>
      </w:rPr>
    </w:lvl>
  </w:abstractNum>
  <w:abstractNum w:abstractNumId="4">
    <w:nsid w:val="E7BB9D71"/>
    <w:multiLevelType w:val="singleLevel"/>
    <w:tmpl w:val="E7BB9D71"/>
    <w:lvl w:ilvl="0" w:tentative="0">
      <w:start w:val="1"/>
      <w:numFmt w:val="decimal"/>
      <w:suff w:val="nothing"/>
      <w:lvlText w:val="（%1）"/>
      <w:lvlJc w:val="left"/>
    </w:lvl>
  </w:abstractNum>
  <w:abstractNum w:abstractNumId="5">
    <w:nsid w:val="EC7A97E3"/>
    <w:multiLevelType w:val="singleLevel"/>
    <w:tmpl w:val="EC7A97E3"/>
    <w:lvl w:ilvl="0" w:tentative="0">
      <w:start w:val="1"/>
      <w:numFmt w:val="decimal"/>
      <w:suff w:val="nothing"/>
      <w:lvlText w:val="%1、"/>
      <w:lvlJc w:val="left"/>
    </w:lvl>
  </w:abstractNum>
  <w:abstractNum w:abstractNumId="6">
    <w:nsid w:val="0A8BED87"/>
    <w:multiLevelType w:val="singleLevel"/>
    <w:tmpl w:val="0A8BED87"/>
    <w:lvl w:ilvl="0" w:tentative="0">
      <w:start w:val="3"/>
      <w:numFmt w:val="decimal"/>
      <w:suff w:val="space"/>
      <w:lvlText w:val="%1."/>
      <w:lvlJc w:val="left"/>
    </w:lvl>
  </w:abstractNum>
  <w:abstractNum w:abstractNumId="7">
    <w:nsid w:val="0FB687AB"/>
    <w:multiLevelType w:val="singleLevel"/>
    <w:tmpl w:val="0FB687AB"/>
    <w:lvl w:ilvl="0" w:tentative="0">
      <w:start w:val="1"/>
      <w:numFmt w:val="decimal"/>
      <w:suff w:val="nothing"/>
      <w:lvlText w:val="%1、"/>
      <w:lvlJc w:val="left"/>
    </w:lvl>
  </w:abstractNum>
  <w:abstractNum w:abstractNumId="8">
    <w:nsid w:val="33573897"/>
    <w:multiLevelType w:val="singleLevel"/>
    <w:tmpl w:val="33573897"/>
    <w:lvl w:ilvl="0" w:tentative="0">
      <w:start w:val="1"/>
      <w:numFmt w:val="decimal"/>
      <w:suff w:val="nothing"/>
      <w:lvlText w:val="%1、"/>
      <w:lvlJc w:val="left"/>
    </w:lvl>
  </w:abstractNum>
  <w:abstractNum w:abstractNumId="9">
    <w:nsid w:val="37F7E2EB"/>
    <w:multiLevelType w:val="singleLevel"/>
    <w:tmpl w:val="37F7E2EB"/>
    <w:lvl w:ilvl="0" w:tentative="0">
      <w:start w:val="8"/>
      <w:numFmt w:val="decimal"/>
      <w:suff w:val="space"/>
      <w:lvlText w:val="%1."/>
      <w:lvlJc w:val="left"/>
    </w:lvl>
  </w:abstractNum>
  <w:abstractNum w:abstractNumId="10">
    <w:nsid w:val="3DE2DB5E"/>
    <w:multiLevelType w:val="singleLevel"/>
    <w:tmpl w:val="3DE2DB5E"/>
    <w:lvl w:ilvl="0" w:tentative="0">
      <w:start w:val="1"/>
      <w:numFmt w:val="decimal"/>
      <w:suff w:val="nothing"/>
      <w:lvlText w:val="%1、"/>
      <w:lvlJc w:val="left"/>
    </w:lvl>
  </w:abstractNum>
  <w:abstractNum w:abstractNumId="11">
    <w:nsid w:val="40AE30C0"/>
    <w:multiLevelType w:val="singleLevel"/>
    <w:tmpl w:val="40AE30C0"/>
    <w:lvl w:ilvl="0" w:tentative="0">
      <w:start w:val="1"/>
      <w:numFmt w:val="decimal"/>
      <w:suff w:val="nothing"/>
      <w:lvlText w:val="（%1）"/>
      <w:lvlJc w:val="left"/>
    </w:lvl>
  </w:abstractNum>
  <w:abstractNum w:abstractNumId="12">
    <w:nsid w:val="4D0A88FF"/>
    <w:multiLevelType w:val="singleLevel"/>
    <w:tmpl w:val="4D0A88FF"/>
    <w:lvl w:ilvl="0" w:tentative="0">
      <w:start w:val="1"/>
      <w:numFmt w:val="decimal"/>
      <w:suff w:val="nothing"/>
      <w:lvlText w:val="%1、"/>
      <w:lvlJc w:val="left"/>
    </w:lvl>
  </w:abstractNum>
  <w:abstractNum w:abstractNumId="13">
    <w:nsid w:val="7163DBAC"/>
    <w:multiLevelType w:val="singleLevel"/>
    <w:tmpl w:val="7163DBAC"/>
    <w:lvl w:ilvl="0" w:tentative="0">
      <w:start w:val="1"/>
      <w:numFmt w:val="chineseCounting"/>
      <w:suff w:val="nothing"/>
      <w:lvlText w:val="%1、"/>
      <w:lvlJc w:val="left"/>
      <w:rPr>
        <w:rFonts w:hint="eastAsia"/>
        <w:lang w:val="en-US"/>
      </w:rPr>
    </w:lvl>
  </w:abstractNum>
  <w:abstractNum w:abstractNumId="14">
    <w:nsid w:val="7655A73E"/>
    <w:multiLevelType w:val="singleLevel"/>
    <w:tmpl w:val="7655A73E"/>
    <w:lvl w:ilvl="0" w:tentative="0">
      <w:start w:val="1"/>
      <w:numFmt w:val="decimal"/>
      <w:suff w:val="nothing"/>
      <w:lvlText w:val="（%1）"/>
      <w:lvlJc w:val="left"/>
    </w:lvl>
  </w:abstractNum>
  <w:num w:numId="1">
    <w:abstractNumId w:val="7"/>
  </w:num>
  <w:num w:numId="2">
    <w:abstractNumId w:val="13"/>
  </w:num>
  <w:num w:numId="3">
    <w:abstractNumId w:val="2"/>
  </w:num>
  <w:num w:numId="4">
    <w:abstractNumId w:val="5"/>
  </w:num>
  <w:num w:numId="5">
    <w:abstractNumId w:val="1"/>
  </w:num>
  <w:num w:numId="6">
    <w:abstractNumId w:val="12"/>
  </w:num>
  <w:num w:numId="7">
    <w:abstractNumId w:val="10"/>
  </w:num>
  <w:num w:numId="8">
    <w:abstractNumId w:val="3"/>
  </w:num>
  <w:num w:numId="9">
    <w:abstractNumId w:val="0"/>
  </w:num>
  <w:num w:numId="10">
    <w:abstractNumId w:val="6"/>
  </w:num>
  <w:num w:numId="11">
    <w:abstractNumId w:val="9"/>
  </w:num>
  <w:num w:numId="12">
    <w:abstractNumId w:val="4"/>
  </w:num>
  <w:num w:numId="13">
    <w:abstractNumId w:val="11"/>
  </w:num>
  <w:num w:numId="14">
    <w:abstractNumId w:val="14"/>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mRmZjBkMzY0Mzc3ZDdhOTViYWQ1OTY3ZmJmMj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414"/>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39CA"/>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6B9"/>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B48B5"/>
    <w:rsid w:val="019F7441"/>
    <w:rsid w:val="01B37585"/>
    <w:rsid w:val="01D55165"/>
    <w:rsid w:val="01DF6BF8"/>
    <w:rsid w:val="01EC2C57"/>
    <w:rsid w:val="020C26B0"/>
    <w:rsid w:val="025F0711"/>
    <w:rsid w:val="026B2E25"/>
    <w:rsid w:val="02824D4D"/>
    <w:rsid w:val="02D86D25"/>
    <w:rsid w:val="02DC4B10"/>
    <w:rsid w:val="02DD76CE"/>
    <w:rsid w:val="02F36323"/>
    <w:rsid w:val="02F5619C"/>
    <w:rsid w:val="0326446A"/>
    <w:rsid w:val="032D5555"/>
    <w:rsid w:val="036634D2"/>
    <w:rsid w:val="03DD35E4"/>
    <w:rsid w:val="04076900"/>
    <w:rsid w:val="041A5A3B"/>
    <w:rsid w:val="042311BA"/>
    <w:rsid w:val="0426603B"/>
    <w:rsid w:val="042B157A"/>
    <w:rsid w:val="048F763B"/>
    <w:rsid w:val="049F330E"/>
    <w:rsid w:val="04AA775C"/>
    <w:rsid w:val="04AF1889"/>
    <w:rsid w:val="04AF1A7E"/>
    <w:rsid w:val="04F66F48"/>
    <w:rsid w:val="05251E14"/>
    <w:rsid w:val="05A16594"/>
    <w:rsid w:val="05A7762D"/>
    <w:rsid w:val="060E5941"/>
    <w:rsid w:val="06110FAF"/>
    <w:rsid w:val="06493CA7"/>
    <w:rsid w:val="065A6178"/>
    <w:rsid w:val="066F1CF3"/>
    <w:rsid w:val="06930BB8"/>
    <w:rsid w:val="07245D42"/>
    <w:rsid w:val="07264C62"/>
    <w:rsid w:val="0779354C"/>
    <w:rsid w:val="07C17B95"/>
    <w:rsid w:val="08061376"/>
    <w:rsid w:val="08452D77"/>
    <w:rsid w:val="086401F8"/>
    <w:rsid w:val="08751CAA"/>
    <w:rsid w:val="087E4C40"/>
    <w:rsid w:val="08A871D0"/>
    <w:rsid w:val="08BB18F5"/>
    <w:rsid w:val="08D66AD6"/>
    <w:rsid w:val="08DA33A3"/>
    <w:rsid w:val="08E80F13"/>
    <w:rsid w:val="09335624"/>
    <w:rsid w:val="0944690F"/>
    <w:rsid w:val="09535675"/>
    <w:rsid w:val="095F057D"/>
    <w:rsid w:val="09642282"/>
    <w:rsid w:val="09733572"/>
    <w:rsid w:val="097625AA"/>
    <w:rsid w:val="09772C16"/>
    <w:rsid w:val="098353B5"/>
    <w:rsid w:val="09A92330"/>
    <w:rsid w:val="09B06B87"/>
    <w:rsid w:val="09C13146"/>
    <w:rsid w:val="09E04166"/>
    <w:rsid w:val="0A1C0718"/>
    <w:rsid w:val="0A3E7710"/>
    <w:rsid w:val="0A5B7E63"/>
    <w:rsid w:val="0A640676"/>
    <w:rsid w:val="0AA374A5"/>
    <w:rsid w:val="0AAB7649"/>
    <w:rsid w:val="0ABC5606"/>
    <w:rsid w:val="0AED608E"/>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43FCA"/>
    <w:rsid w:val="0E5604B2"/>
    <w:rsid w:val="0E6A0AA4"/>
    <w:rsid w:val="0E6D5D79"/>
    <w:rsid w:val="0E9D0089"/>
    <w:rsid w:val="0EB803EE"/>
    <w:rsid w:val="0EDD59EC"/>
    <w:rsid w:val="0EF94D4B"/>
    <w:rsid w:val="0F4958DC"/>
    <w:rsid w:val="0F515DF7"/>
    <w:rsid w:val="0F596BA8"/>
    <w:rsid w:val="0F6248D2"/>
    <w:rsid w:val="0F693536"/>
    <w:rsid w:val="0F7B0511"/>
    <w:rsid w:val="0F7B76D9"/>
    <w:rsid w:val="0F816ACD"/>
    <w:rsid w:val="0F9832DB"/>
    <w:rsid w:val="0F9B693F"/>
    <w:rsid w:val="0FB7537C"/>
    <w:rsid w:val="0FBF3FD2"/>
    <w:rsid w:val="0FBF7FF3"/>
    <w:rsid w:val="0FC548A4"/>
    <w:rsid w:val="101C21C7"/>
    <w:rsid w:val="10646583"/>
    <w:rsid w:val="107D4B15"/>
    <w:rsid w:val="108A3C80"/>
    <w:rsid w:val="10C26171"/>
    <w:rsid w:val="10F33360"/>
    <w:rsid w:val="10FC16EA"/>
    <w:rsid w:val="110F1D40"/>
    <w:rsid w:val="11266F33"/>
    <w:rsid w:val="11345598"/>
    <w:rsid w:val="118963A1"/>
    <w:rsid w:val="11C6522A"/>
    <w:rsid w:val="11E104CC"/>
    <w:rsid w:val="11E20309"/>
    <w:rsid w:val="12255233"/>
    <w:rsid w:val="122856C3"/>
    <w:rsid w:val="12530213"/>
    <w:rsid w:val="127723A9"/>
    <w:rsid w:val="12862074"/>
    <w:rsid w:val="12883966"/>
    <w:rsid w:val="129E45B4"/>
    <w:rsid w:val="12D81596"/>
    <w:rsid w:val="13072A44"/>
    <w:rsid w:val="135F4BE2"/>
    <w:rsid w:val="139B1A0A"/>
    <w:rsid w:val="139D25C7"/>
    <w:rsid w:val="13BF3CE4"/>
    <w:rsid w:val="13CD08FA"/>
    <w:rsid w:val="141008D8"/>
    <w:rsid w:val="14125FE6"/>
    <w:rsid w:val="146D271E"/>
    <w:rsid w:val="14982588"/>
    <w:rsid w:val="149A5AD9"/>
    <w:rsid w:val="14A7619D"/>
    <w:rsid w:val="150536C3"/>
    <w:rsid w:val="150C1963"/>
    <w:rsid w:val="151447A0"/>
    <w:rsid w:val="154A6454"/>
    <w:rsid w:val="15762120"/>
    <w:rsid w:val="16993EDE"/>
    <w:rsid w:val="16A8729C"/>
    <w:rsid w:val="16B33777"/>
    <w:rsid w:val="16BC70A7"/>
    <w:rsid w:val="16C6339E"/>
    <w:rsid w:val="172F2D79"/>
    <w:rsid w:val="17557BEF"/>
    <w:rsid w:val="17D349C1"/>
    <w:rsid w:val="1830729E"/>
    <w:rsid w:val="1870062C"/>
    <w:rsid w:val="18817102"/>
    <w:rsid w:val="18830A15"/>
    <w:rsid w:val="18852B28"/>
    <w:rsid w:val="188B5321"/>
    <w:rsid w:val="18E246D1"/>
    <w:rsid w:val="190330EF"/>
    <w:rsid w:val="19932372"/>
    <w:rsid w:val="19A20DD5"/>
    <w:rsid w:val="19A40DA3"/>
    <w:rsid w:val="19AE03F1"/>
    <w:rsid w:val="1A071A03"/>
    <w:rsid w:val="1A1F16AE"/>
    <w:rsid w:val="1A3B5C77"/>
    <w:rsid w:val="1A984BAD"/>
    <w:rsid w:val="1A991646"/>
    <w:rsid w:val="1AB8220E"/>
    <w:rsid w:val="1AE4166C"/>
    <w:rsid w:val="1AF06CFB"/>
    <w:rsid w:val="1AF11B8D"/>
    <w:rsid w:val="1B11359C"/>
    <w:rsid w:val="1B2A271F"/>
    <w:rsid w:val="1B530544"/>
    <w:rsid w:val="1B713184"/>
    <w:rsid w:val="1BA209CF"/>
    <w:rsid w:val="1BB4777D"/>
    <w:rsid w:val="1BD75AB8"/>
    <w:rsid w:val="1C0459C2"/>
    <w:rsid w:val="1C1B3B4A"/>
    <w:rsid w:val="1C69609F"/>
    <w:rsid w:val="1C88086E"/>
    <w:rsid w:val="1D266CE1"/>
    <w:rsid w:val="1D3963AF"/>
    <w:rsid w:val="1D547061"/>
    <w:rsid w:val="1D6A673C"/>
    <w:rsid w:val="1D9247AE"/>
    <w:rsid w:val="1DB567EC"/>
    <w:rsid w:val="1DF51A98"/>
    <w:rsid w:val="1E0C7EA5"/>
    <w:rsid w:val="1E3D060F"/>
    <w:rsid w:val="1E3F7D2E"/>
    <w:rsid w:val="1E4134E4"/>
    <w:rsid w:val="1E5062B3"/>
    <w:rsid w:val="1E523514"/>
    <w:rsid w:val="1E714A66"/>
    <w:rsid w:val="1E802593"/>
    <w:rsid w:val="1E8B6156"/>
    <w:rsid w:val="1EA703CC"/>
    <w:rsid w:val="1EB7330C"/>
    <w:rsid w:val="1EBE4409"/>
    <w:rsid w:val="1F0A0FF3"/>
    <w:rsid w:val="1F20479D"/>
    <w:rsid w:val="1F5771FF"/>
    <w:rsid w:val="1F6D15F4"/>
    <w:rsid w:val="1FE868A9"/>
    <w:rsid w:val="20034907"/>
    <w:rsid w:val="20173E4B"/>
    <w:rsid w:val="204E48BC"/>
    <w:rsid w:val="208921B3"/>
    <w:rsid w:val="208C394F"/>
    <w:rsid w:val="20973DEB"/>
    <w:rsid w:val="20B26522"/>
    <w:rsid w:val="20B44310"/>
    <w:rsid w:val="20C2357E"/>
    <w:rsid w:val="211116EB"/>
    <w:rsid w:val="216133FC"/>
    <w:rsid w:val="21D56769"/>
    <w:rsid w:val="21E52EF3"/>
    <w:rsid w:val="21FB5D7B"/>
    <w:rsid w:val="22015E94"/>
    <w:rsid w:val="220B1C3D"/>
    <w:rsid w:val="221D1D20"/>
    <w:rsid w:val="2224077E"/>
    <w:rsid w:val="22334A87"/>
    <w:rsid w:val="22BE6801"/>
    <w:rsid w:val="232A6913"/>
    <w:rsid w:val="233500BF"/>
    <w:rsid w:val="23377FF7"/>
    <w:rsid w:val="23526439"/>
    <w:rsid w:val="236B425F"/>
    <w:rsid w:val="23836192"/>
    <w:rsid w:val="23901F29"/>
    <w:rsid w:val="239C0061"/>
    <w:rsid w:val="23B908A4"/>
    <w:rsid w:val="23E95BEF"/>
    <w:rsid w:val="23FD0064"/>
    <w:rsid w:val="2437337B"/>
    <w:rsid w:val="245375B0"/>
    <w:rsid w:val="24642C0A"/>
    <w:rsid w:val="24B22173"/>
    <w:rsid w:val="24B95AD9"/>
    <w:rsid w:val="24BE24DA"/>
    <w:rsid w:val="24CF5825"/>
    <w:rsid w:val="24D663E6"/>
    <w:rsid w:val="24D77F2B"/>
    <w:rsid w:val="24E63C8B"/>
    <w:rsid w:val="258B00E2"/>
    <w:rsid w:val="258D3BD5"/>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5C48D4"/>
    <w:rsid w:val="29806583"/>
    <w:rsid w:val="298B3C4C"/>
    <w:rsid w:val="299203EC"/>
    <w:rsid w:val="29CA2B72"/>
    <w:rsid w:val="29DC225D"/>
    <w:rsid w:val="29F26D24"/>
    <w:rsid w:val="2A15033F"/>
    <w:rsid w:val="2A1662C1"/>
    <w:rsid w:val="2A1C7367"/>
    <w:rsid w:val="2A1F6415"/>
    <w:rsid w:val="2A2815FA"/>
    <w:rsid w:val="2A6D6092"/>
    <w:rsid w:val="2A7D76B4"/>
    <w:rsid w:val="2B437463"/>
    <w:rsid w:val="2B7807EE"/>
    <w:rsid w:val="2BA21C53"/>
    <w:rsid w:val="2BA50BF7"/>
    <w:rsid w:val="2BBF00EC"/>
    <w:rsid w:val="2BC37CFD"/>
    <w:rsid w:val="2BD5237F"/>
    <w:rsid w:val="2BE536CE"/>
    <w:rsid w:val="2BE758D9"/>
    <w:rsid w:val="2C09049E"/>
    <w:rsid w:val="2C0A653C"/>
    <w:rsid w:val="2C191F85"/>
    <w:rsid w:val="2CE82D6F"/>
    <w:rsid w:val="2D343236"/>
    <w:rsid w:val="2DD15014"/>
    <w:rsid w:val="2DED26D4"/>
    <w:rsid w:val="2DF72DE4"/>
    <w:rsid w:val="2E0220AF"/>
    <w:rsid w:val="2E4B082A"/>
    <w:rsid w:val="2E5D4E86"/>
    <w:rsid w:val="2E5D790B"/>
    <w:rsid w:val="2E9A3C18"/>
    <w:rsid w:val="2EBB0FEE"/>
    <w:rsid w:val="2EC63002"/>
    <w:rsid w:val="2F0A6B38"/>
    <w:rsid w:val="2F5A6E7B"/>
    <w:rsid w:val="2F946CCB"/>
    <w:rsid w:val="2FD25781"/>
    <w:rsid w:val="2FDC745C"/>
    <w:rsid w:val="2FFD7934"/>
    <w:rsid w:val="30733ACD"/>
    <w:rsid w:val="308C3862"/>
    <w:rsid w:val="309379D8"/>
    <w:rsid w:val="30A270F7"/>
    <w:rsid w:val="30CF4393"/>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647963"/>
    <w:rsid w:val="34950E68"/>
    <w:rsid w:val="34986E94"/>
    <w:rsid w:val="34AF62C9"/>
    <w:rsid w:val="34CB4388"/>
    <w:rsid w:val="34F463BD"/>
    <w:rsid w:val="34FA6E12"/>
    <w:rsid w:val="3539483F"/>
    <w:rsid w:val="354D7158"/>
    <w:rsid w:val="358D5588"/>
    <w:rsid w:val="363A3B40"/>
    <w:rsid w:val="365302AE"/>
    <w:rsid w:val="36607A0A"/>
    <w:rsid w:val="366E227C"/>
    <w:rsid w:val="366F2E0D"/>
    <w:rsid w:val="367B6A5C"/>
    <w:rsid w:val="3695317D"/>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2A3DBC"/>
    <w:rsid w:val="3B616CFF"/>
    <w:rsid w:val="3B6259F6"/>
    <w:rsid w:val="3B8E39EE"/>
    <w:rsid w:val="3B976654"/>
    <w:rsid w:val="3BC01EFC"/>
    <w:rsid w:val="3BCA786A"/>
    <w:rsid w:val="3BD31E2F"/>
    <w:rsid w:val="3BF15831"/>
    <w:rsid w:val="3C105946"/>
    <w:rsid w:val="3C471448"/>
    <w:rsid w:val="3C5F759A"/>
    <w:rsid w:val="3C6C525A"/>
    <w:rsid w:val="3C984118"/>
    <w:rsid w:val="3CB855DE"/>
    <w:rsid w:val="3CCE23CB"/>
    <w:rsid w:val="3CD17D17"/>
    <w:rsid w:val="3D3C47C7"/>
    <w:rsid w:val="3D3C7F39"/>
    <w:rsid w:val="3D440F09"/>
    <w:rsid w:val="3D4504A0"/>
    <w:rsid w:val="3D8734BB"/>
    <w:rsid w:val="3D9A11D4"/>
    <w:rsid w:val="3DA16D89"/>
    <w:rsid w:val="3DA364BE"/>
    <w:rsid w:val="3DB22A0E"/>
    <w:rsid w:val="3DE041CB"/>
    <w:rsid w:val="3E0D48F6"/>
    <w:rsid w:val="3E1868B4"/>
    <w:rsid w:val="3E377251"/>
    <w:rsid w:val="3E42664B"/>
    <w:rsid w:val="3E5210C3"/>
    <w:rsid w:val="3E5A7334"/>
    <w:rsid w:val="3E7B5D6B"/>
    <w:rsid w:val="3E843E66"/>
    <w:rsid w:val="3E8F51FE"/>
    <w:rsid w:val="3E926F87"/>
    <w:rsid w:val="3E9A59DE"/>
    <w:rsid w:val="3EAF4836"/>
    <w:rsid w:val="3EC33DFA"/>
    <w:rsid w:val="3F060E16"/>
    <w:rsid w:val="3F1D1096"/>
    <w:rsid w:val="3F2F0234"/>
    <w:rsid w:val="3F6363FE"/>
    <w:rsid w:val="3F756B8F"/>
    <w:rsid w:val="3F77438E"/>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881693"/>
    <w:rsid w:val="42CD1CE0"/>
    <w:rsid w:val="42E1381E"/>
    <w:rsid w:val="42ED6459"/>
    <w:rsid w:val="42FE58DD"/>
    <w:rsid w:val="43174B3D"/>
    <w:rsid w:val="434B790E"/>
    <w:rsid w:val="4360274F"/>
    <w:rsid w:val="43977AB6"/>
    <w:rsid w:val="43A3342B"/>
    <w:rsid w:val="43C77C27"/>
    <w:rsid w:val="43DE09EE"/>
    <w:rsid w:val="43E2665A"/>
    <w:rsid w:val="44002FAD"/>
    <w:rsid w:val="445525C3"/>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235E9"/>
    <w:rsid w:val="466A16E6"/>
    <w:rsid w:val="46893F2B"/>
    <w:rsid w:val="46C4686E"/>
    <w:rsid w:val="477B778F"/>
    <w:rsid w:val="478203EC"/>
    <w:rsid w:val="47B025FA"/>
    <w:rsid w:val="4809698F"/>
    <w:rsid w:val="4811697D"/>
    <w:rsid w:val="48250B08"/>
    <w:rsid w:val="487A3E25"/>
    <w:rsid w:val="488B5503"/>
    <w:rsid w:val="48937E21"/>
    <w:rsid w:val="489A0361"/>
    <w:rsid w:val="48B94FF3"/>
    <w:rsid w:val="48E37AAB"/>
    <w:rsid w:val="48FD4B4C"/>
    <w:rsid w:val="490721D3"/>
    <w:rsid w:val="490A68E0"/>
    <w:rsid w:val="491055FE"/>
    <w:rsid w:val="495F5B3E"/>
    <w:rsid w:val="496F77D7"/>
    <w:rsid w:val="497654FD"/>
    <w:rsid w:val="49B64211"/>
    <w:rsid w:val="49BA536E"/>
    <w:rsid w:val="49F6167F"/>
    <w:rsid w:val="4A064FA0"/>
    <w:rsid w:val="4A121A7F"/>
    <w:rsid w:val="4A16615C"/>
    <w:rsid w:val="4A4424D7"/>
    <w:rsid w:val="4A4825D5"/>
    <w:rsid w:val="4AB82D0F"/>
    <w:rsid w:val="4ACC2185"/>
    <w:rsid w:val="4AD37D5C"/>
    <w:rsid w:val="4AEB7664"/>
    <w:rsid w:val="4AFD7C19"/>
    <w:rsid w:val="4B0567D1"/>
    <w:rsid w:val="4B236AAE"/>
    <w:rsid w:val="4B707271"/>
    <w:rsid w:val="4B9739F7"/>
    <w:rsid w:val="4BEE2503"/>
    <w:rsid w:val="4C245A30"/>
    <w:rsid w:val="4CB6685F"/>
    <w:rsid w:val="4CC3342D"/>
    <w:rsid w:val="4CC367FE"/>
    <w:rsid w:val="4CF174F3"/>
    <w:rsid w:val="4D077F3C"/>
    <w:rsid w:val="4D123355"/>
    <w:rsid w:val="4D2A3B31"/>
    <w:rsid w:val="4D312C52"/>
    <w:rsid w:val="4D325D16"/>
    <w:rsid w:val="4D905305"/>
    <w:rsid w:val="4D964A72"/>
    <w:rsid w:val="4D9C1254"/>
    <w:rsid w:val="4E0A77A2"/>
    <w:rsid w:val="4E793892"/>
    <w:rsid w:val="4E796648"/>
    <w:rsid w:val="4E800872"/>
    <w:rsid w:val="4EA8717C"/>
    <w:rsid w:val="4EC569ED"/>
    <w:rsid w:val="4EC71E9A"/>
    <w:rsid w:val="4ED50EA1"/>
    <w:rsid w:val="4EEC050C"/>
    <w:rsid w:val="4F104EC3"/>
    <w:rsid w:val="4F47354A"/>
    <w:rsid w:val="4F911C54"/>
    <w:rsid w:val="4FA15C1D"/>
    <w:rsid w:val="4FE625E0"/>
    <w:rsid w:val="50110D44"/>
    <w:rsid w:val="5021480F"/>
    <w:rsid w:val="50962ECB"/>
    <w:rsid w:val="50A42E38"/>
    <w:rsid w:val="50A4577F"/>
    <w:rsid w:val="50B73D1F"/>
    <w:rsid w:val="50BD5BC9"/>
    <w:rsid w:val="50C11EEE"/>
    <w:rsid w:val="50E97CFC"/>
    <w:rsid w:val="50FA4028"/>
    <w:rsid w:val="510D65B7"/>
    <w:rsid w:val="511157AB"/>
    <w:rsid w:val="5142540C"/>
    <w:rsid w:val="51641D40"/>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306B9"/>
    <w:rsid w:val="53544462"/>
    <w:rsid w:val="5397158E"/>
    <w:rsid w:val="53D6654F"/>
    <w:rsid w:val="53DF3E7E"/>
    <w:rsid w:val="54013861"/>
    <w:rsid w:val="54136627"/>
    <w:rsid w:val="54487265"/>
    <w:rsid w:val="544D6070"/>
    <w:rsid w:val="54605E1E"/>
    <w:rsid w:val="54B3506A"/>
    <w:rsid w:val="54B41724"/>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80340A"/>
    <w:rsid w:val="58917D2F"/>
    <w:rsid w:val="5894085C"/>
    <w:rsid w:val="58AE4F0C"/>
    <w:rsid w:val="58B85899"/>
    <w:rsid w:val="58BF6871"/>
    <w:rsid w:val="58E363A9"/>
    <w:rsid w:val="595E1678"/>
    <w:rsid w:val="596D5BD4"/>
    <w:rsid w:val="597E3DD8"/>
    <w:rsid w:val="598B7C59"/>
    <w:rsid w:val="59B64991"/>
    <w:rsid w:val="59F13F3A"/>
    <w:rsid w:val="59F80043"/>
    <w:rsid w:val="5A09252F"/>
    <w:rsid w:val="5A0B2778"/>
    <w:rsid w:val="5A2A7C7B"/>
    <w:rsid w:val="5A3E2560"/>
    <w:rsid w:val="5A573663"/>
    <w:rsid w:val="5A5D3B6E"/>
    <w:rsid w:val="5A637A76"/>
    <w:rsid w:val="5A6D33BA"/>
    <w:rsid w:val="5A792B1F"/>
    <w:rsid w:val="5A874767"/>
    <w:rsid w:val="5AA85BE2"/>
    <w:rsid w:val="5AAD6F28"/>
    <w:rsid w:val="5AD63A24"/>
    <w:rsid w:val="5B2E1A1D"/>
    <w:rsid w:val="5B6E5FBA"/>
    <w:rsid w:val="5B843A1C"/>
    <w:rsid w:val="5B873E3F"/>
    <w:rsid w:val="5B8A69B7"/>
    <w:rsid w:val="5BDD2AAD"/>
    <w:rsid w:val="5C02690E"/>
    <w:rsid w:val="5C196DA7"/>
    <w:rsid w:val="5C235664"/>
    <w:rsid w:val="5C2A048C"/>
    <w:rsid w:val="5C80234E"/>
    <w:rsid w:val="5C8675D8"/>
    <w:rsid w:val="5C8A680C"/>
    <w:rsid w:val="5D0C4701"/>
    <w:rsid w:val="5D0F0395"/>
    <w:rsid w:val="5D221076"/>
    <w:rsid w:val="5D397964"/>
    <w:rsid w:val="5D5A391C"/>
    <w:rsid w:val="5D5F10C0"/>
    <w:rsid w:val="5D891B7B"/>
    <w:rsid w:val="5D91253D"/>
    <w:rsid w:val="5DAD38EE"/>
    <w:rsid w:val="5DFE6352"/>
    <w:rsid w:val="5E006862"/>
    <w:rsid w:val="5E0207B9"/>
    <w:rsid w:val="5E10565B"/>
    <w:rsid w:val="5E1834A1"/>
    <w:rsid w:val="5E261785"/>
    <w:rsid w:val="5E4A7017"/>
    <w:rsid w:val="5E552BBA"/>
    <w:rsid w:val="5E611C10"/>
    <w:rsid w:val="5E7A0F3F"/>
    <w:rsid w:val="5EEF6479"/>
    <w:rsid w:val="5EFC7377"/>
    <w:rsid w:val="5F06174D"/>
    <w:rsid w:val="5F3A3602"/>
    <w:rsid w:val="5F45733B"/>
    <w:rsid w:val="5F5560C4"/>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B94658"/>
    <w:rsid w:val="62F40B65"/>
    <w:rsid w:val="62FC2CFE"/>
    <w:rsid w:val="63024505"/>
    <w:rsid w:val="63127AD5"/>
    <w:rsid w:val="635600A5"/>
    <w:rsid w:val="635B1DB5"/>
    <w:rsid w:val="63711FED"/>
    <w:rsid w:val="63880DDC"/>
    <w:rsid w:val="638D750D"/>
    <w:rsid w:val="63A268B7"/>
    <w:rsid w:val="63AC6CC0"/>
    <w:rsid w:val="64055776"/>
    <w:rsid w:val="64240056"/>
    <w:rsid w:val="643E143A"/>
    <w:rsid w:val="64491666"/>
    <w:rsid w:val="648B6EEF"/>
    <w:rsid w:val="64C158BF"/>
    <w:rsid w:val="64CA0774"/>
    <w:rsid w:val="64CE2EAA"/>
    <w:rsid w:val="653C3090"/>
    <w:rsid w:val="65854376"/>
    <w:rsid w:val="658767BE"/>
    <w:rsid w:val="65892531"/>
    <w:rsid w:val="65E52CED"/>
    <w:rsid w:val="66195831"/>
    <w:rsid w:val="662E75B1"/>
    <w:rsid w:val="66342C2E"/>
    <w:rsid w:val="663E784C"/>
    <w:rsid w:val="668A32D0"/>
    <w:rsid w:val="668B6A45"/>
    <w:rsid w:val="672F3F24"/>
    <w:rsid w:val="673E055F"/>
    <w:rsid w:val="67551CE3"/>
    <w:rsid w:val="67611317"/>
    <w:rsid w:val="67A22552"/>
    <w:rsid w:val="67B22DCC"/>
    <w:rsid w:val="67BE71AA"/>
    <w:rsid w:val="67D90273"/>
    <w:rsid w:val="67DE5875"/>
    <w:rsid w:val="67E55852"/>
    <w:rsid w:val="67EB1AB4"/>
    <w:rsid w:val="67FA1285"/>
    <w:rsid w:val="6832302E"/>
    <w:rsid w:val="68551F4F"/>
    <w:rsid w:val="687C10C9"/>
    <w:rsid w:val="68840C16"/>
    <w:rsid w:val="68876EFB"/>
    <w:rsid w:val="68884654"/>
    <w:rsid w:val="689F444F"/>
    <w:rsid w:val="68B96DBB"/>
    <w:rsid w:val="68CA2805"/>
    <w:rsid w:val="68E937A3"/>
    <w:rsid w:val="693E15D3"/>
    <w:rsid w:val="69627681"/>
    <w:rsid w:val="6977531D"/>
    <w:rsid w:val="69BE66B5"/>
    <w:rsid w:val="69CC2BFF"/>
    <w:rsid w:val="69E51685"/>
    <w:rsid w:val="69FD55B8"/>
    <w:rsid w:val="6A0B1C62"/>
    <w:rsid w:val="6A2406C8"/>
    <w:rsid w:val="6A6E0137"/>
    <w:rsid w:val="6A846349"/>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1FCB"/>
    <w:rsid w:val="6DF43C2E"/>
    <w:rsid w:val="6DF51CA3"/>
    <w:rsid w:val="6E8335BD"/>
    <w:rsid w:val="6E8E12EF"/>
    <w:rsid w:val="6E972936"/>
    <w:rsid w:val="6ED446C5"/>
    <w:rsid w:val="6EF83FBF"/>
    <w:rsid w:val="6F2A7D94"/>
    <w:rsid w:val="6F8331F1"/>
    <w:rsid w:val="6FAE1A09"/>
    <w:rsid w:val="6FD75BF8"/>
    <w:rsid w:val="707723D0"/>
    <w:rsid w:val="70DC3F26"/>
    <w:rsid w:val="70F5661B"/>
    <w:rsid w:val="710A4D84"/>
    <w:rsid w:val="71360107"/>
    <w:rsid w:val="713B688E"/>
    <w:rsid w:val="7182771C"/>
    <w:rsid w:val="71D43752"/>
    <w:rsid w:val="71F1796A"/>
    <w:rsid w:val="72154626"/>
    <w:rsid w:val="72262B5D"/>
    <w:rsid w:val="72283FF7"/>
    <w:rsid w:val="722E7212"/>
    <w:rsid w:val="723A0474"/>
    <w:rsid w:val="725923E4"/>
    <w:rsid w:val="72864BF7"/>
    <w:rsid w:val="729023FC"/>
    <w:rsid w:val="73311100"/>
    <w:rsid w:val="73713C11"/>
    <w:rsid w:val="73C0646E"/>
    <w:rsid w:val="742222F5"/>
    <w:rsid w:val="743F2553"/>
    <w:rsid w:val="74476126"/>
    <w:rsid w:val="74706664"/>
    <w:rsid w:val="747F3682"/>
    <w:rsid w:val="74980BF6"/>
    <w:rsid w:val="749C4185"/>
    <w:rsid w:val="75067759"/>
    <w:rsid w:val="752E6DCD"/>
    <w:rsid w:val="7546339A"/>
    <w:rsid w:val="7551380D"/>
    <w:rsid w:val="75600BE5"/>
    <w:rsid w:val="7564475C"/>
    <w:rsid w:val="7583797F"/>
    <w:rsid w:val="75D20F1D"/>
    <w:rsid w:val="75DA2C18"/>
    <w:rsid w:val="75F54412"/>
    <w:rsid w:val="761D08E0"/>
    <w:rsid w:val="765D347C"/>
    <w:rsid w:val="7664729D"/>
    <w:rsid w:val="76826699"/>
    <w:rsid w:val="76C87133"/>
    <w:rsid w:val="76CD08D5"/>
    <w:rsid w:val="76DB4B92"/>
    <w:rsid w:val="77052AA4"/>
    <w:rsid w:val="77136511"/>
    <w:rsid w:val="77340A39"/>
    <w:rsid w:val="77351FD0"/>
    <w:rsid w:val="77472422"/>
    <w:rsid w:val="777F31F2"/>
    <w:rsid w:val="77D1700D"/>
    <w:rsid w:val="77EC04CC"/>
    <w:rsid w:val="78775729"/>
    <w:rsid w:val="788078FA"/>
    <w:rsid w:val="78A42DB0"/>
    <w:rsid w:val="78A656AB"/>
    <w:rsid w:val="78B2245C"/>
    <w:rsid w:val="78E172CC"/>
    <w:rsid w:val="78EA1D1F"/>
    <w:rsid w:val="7904172F"/>
    <w:rsid w:val="790F7E27"/>
    <w:rsid w:val="792A231A"/>
    <w:rsid w:val="79316829"/>
    <w:rsid w:val="797E66A9"/>
    <w:rsid w:val="798518A4"/>
    <w:rsid w:val="799F781A"/>
    <w:rsid w:val="79A97383"/>
    <w:rsid w:val="79E27E8B"/>
    <w:rsid w:val="79F850CE"/>
    <w:rsid w:val="79FD443C"/>
    <w:rsid w:val="7A1D1975"/>
    <w:rsid w:val="7A33702A"/>
    <w:rsid w:val="7A3E5150"/>
    <w:rsid w:val="7A4670D6"/>
    <w:rsid w:val="7A534B63"/>
    <w:rsid w:val="7A611232"/>
    <w:rsid w:val="7A615382"/>
    <w:rsid w:val="7A67303B"/>
    <w:rsid w:val="7AAB1D04"/>
    <w:rsid w:val="7AAC4121"/>
    <w:rsid w:val="7ABA4368"/>
    <w:rsid w:val="7AD05746"/>
    <w:rsid w:val="7B257FFD"/>
    <w:rsid w:val="7B343476"/>
    <w:rsid w:val="7B4E7FF6"/>
    <w:rsid w:val="7B5A2978"/>
    <w:rsid w:val="7B5A7E4C"/>
    <w:rsid w:val="7B667AF9"/>
    <w:rsid w:val="7B7468F8"/>
    <w:rsid w:val="7BEE0103"/>
    <w:rsid w:val="7C0A0FE4"/>
    <w:rsid w:val="7C254906"/>
    <w:rsid w:val="7C271095"/>
    <w:rsid w:val="7C590818"/>
    <w:rsid w:val="7C7C10F6"/>
    <w:rsid w:val="7C853BEA"/>
    <w:rsid w:val="7C881368"/>
    <w:rsid w:val="7CE27788"/>
    <w:rsid w:val="7CF46400"/>
    <w:rsid w:val="7D0C32F1"/>
    <w:rsid w:val="7D0F408D"/>
    <w:rsid w:val="7D491C6C"/>
    <w:rsid w:val="7D5429C0"/>
    <w:rsid w:val="7D6E6D43"/>
    <w:rsid w:val="7DB57A34"/>
    <w:rsid w:val="7DD213BC"/>
    <w:rsid w:val="7DE60973"/>
    <w:rsid w:val="7DEF0916"/>
    <w:rsid w:val="7E1E5218"/>
    <w:rsid w:val="7E9A4E1F"/>
    <w:rsid w:val="7EA7723A"/>
    <w:rsid w:val="7ECD4D1C"/>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19"/>
    <w:qFormat/>
    <w:uiPriority w:val="0"/>
    <w:pPr>
      <w:ind w:firstLine="420"/>
    </w:pPr>
    <w:rPr>
      <w:rFonts w:hAnsi="Calibri" w:cs="Times New Roman"/>
      <w:snapToGrid/>
      <w:szCs w:val="20"/>
    </w:rPr>
  </w:style>
  <w:style w:type="paragraph" w:styleId="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3"/>
    <w:qFormat/>
    <w:uiPriority w:val="0"/>
    <w:pPr>
      <w:spacing w:line="480" w:lineRule="exact"/>
      <w:ind w:firstLine="480" w:firstLineChars="200"/>
    </w:pPr>
    <w:rPr>
      <w:rFonts w:ascii="宋体" w:hAnsi="宋体"/>
      <w:sz w:val="24"/>
    </w:rPr>
  </w:style>
  <w:style w:type="paragraph" w:styleId="26">
    <w:name w:val="Body Text First Indent 2"/>
    <w:basedOn w:val="25"/>
    <w:next w:val="1"/>
    <w:link w:val="119"/>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4"/>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1"/>
    <w:basedOn w:val="2"/>
    <w:qFormat/>
    <w:uiPriority w:val="0"/>
    <w:pPr>
      <w:autoSpaceDE w:val="0"/>
      <w:autoSpaceDN w:val="0"/>
      <w:adjustRightInd w:val="0"/>
      <w:spacing w:after="0" w:line="360" w:lineRule="auto"/>
      <w:ind w:firstLine="420"/>
    </w:pPr>
    <w:rPr>
      <w:rFonts w:ascii="宋体" w:hAnsi="Calibri" w:eastAsia="宋体" w:cs="Times New Roman"/>
      <w:sz w:val="24"/>
      <w:lang w:val="zh-CN"/>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26"/>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7"/>
    <w:qFormat/>
    <w:uiPriority w:val="0"/>
    <w:rPr>
      <w:rFonts w:ascii="宋体"/>
      <w:kern w:val="2"/>
      <w:sz w:val="24"/>
      <w:szCs w:val="21"/>
      <w:lang w:val="zh-CN"/>
    </w:rPr>
  </w:style>
  <w:style w:type="character" w:customStyle="1" w:styleId="180">
    <w:name w:val="标题 9 字符"/>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8"/>
    <w:qFormat/>
    <w:uiPriority w:val="0"/>
    <w:rPr>
      <w:rFonts w:ascii="黑体" w:hAnsi="Courier New" w:eastAsia="黑体"/>
    </w:rPr>
  </w:style>
  <w:style w:type="character" w:customStyle="1" w:styleId="300">
    <w:name w:val="正文文本 2 字符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11"/>
    <w:qFormat/>
    <w:uiPriority w:val="0"/>
    <w:rPr>
      <w:b/>
      <w:bCs/>
      <w:kern w:val="2"/>
      <w:sz w:val="24"/>
      <w:szCs w:val="24"/>
    </w:rPr>
  </w:style>
  <w:style w:type="character" w:customStyle="1" w:styleId="306">
    <w:name w:val="正文文本缩进 2 字符"/>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3"/>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1"/>
    <w:qFormat/>
    <w:uiPriority w:val="0"/>
    <w:rPr>
      <w:kern w:val="2"/>
      <w:sz w:val="21"/>
      <w:szCs w:val="24"/>
    </w:rPr>
  </w:style>
  <w:style w:type="character" w:customStyle="1" w:styleId="343">
    <w:name w:val="签名 字符"/>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7"/>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7"/>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9"/>
    <w:qFormat/>
    <w:uiPriority w:val="0"/>
    <w:rPr>
      <w:kern w:val="2"/>
      <w:sz w:val="21"/>
      <w:szCs w:val="24"/>
      <w:lang w:val="zh-CN"/>
    </w:rPr>
  </w:style>
  <w:style w:type="character" w:customStyle="1" w:styleId="931">
    <w:name w:val="无间隔 字符"/>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md-end-block"/>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963">
    <w:name w:val="md-plain"/>
    <w:basedOn w:val="69"/>
    <w:qFormat/>
    <w:uiPriority w:val="0"/>
  </w:style>
  <w:style w:type="character" w:customStyle="1" w:styleId="964">
    <w:name w:val="font101"/>
    <w:basedOn w:val="69"/>
    <w:qFormat/>
    <w:uiPriority w:val="0"/>
    <w:rPr>
      <w:rFonts w:hint="default" w:ascii="Calibri" w:hAnsi="Calibri" w:cs="Calibri"/>
      <w:color w:val="000000"/>
      <w:sz w:val="22"/>
      <w:szCs w:val="22"/>
      <w:u w:val="none"/>
    </w:rPr>
  </w:style>
  <w:style w:type="character" w:customStyle="1" w:styleId="965">
    <w:name w:val="font121"/>
    <w:basedOn w:val="69"/>
    <w:qFormat/>
    <w:uiPriority w:val="0"/>
    <w:rPr>
      <w:rFonts w:hint="default" w:ascii="Calibri" w:hAnsi="Calibri" w:cs="Calibri"/>
      <w:b/>
      <w:bCs/>
      <w:color w:val="000000"/>
      <w:sz w:val="22"/>
      <w:szCs w:val="22"/>
      <w:u w:val="none"/>
    </w:rPr>
  </w:style>
  <w:style w:type="character" w:customStyle="1" w:styleId="966">
    <w:name w:val="font131"/>
    <w:basedOn w:val="69"/>
    <w:qFormat/>
    <w:uiPriority w:val="0"/>
    <w:rPr>
      <w:rFonts w:hint="eastAsia" w:ascii="宋体" w:hAnsi="宋体" w:eastAsia="宋体" w:cs="宋体"/>
      <w:b/>
      <w:bCs/>
      <w:color w:val="000000"/>
      <w:sz w:val="22"/>
      <w:szCs w:val="22"/>
      <w:u w:val="none"/>
    </w:rPr>
  </w:style>
  <w:style w:type="character" w:customStyle="1" w:styleId="967">
    <w:name w:val="font112"/>
    <w:basedOn w:val="69"/>
    <w:qFormat/>
    <w:uiPriority w:val="0"/>
    <w:rPr>
      <w:rFonts w:hint="default" w:ascii="Calibri" w:hAnsi="Calibri" w:cs="Calibri"/>
      <w:b/>
      <w:bCs/>
      <w:color w:val="000000"/>
      <w:sz w:val="22"/>
      <w:szCs w:val="22"/>
      <w:u w:val="none"/>
    </w:rPr>
  </w:style>
  <w:style w:type="paragraph" w:customStyle="1" w:styleId="968">
    <w:name w:val="_Style 10"/>
    <w:basedOn w:val="1"/>
    <w:qFormat/>
    <w:uiPriority w:val="34"/>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61</Pages>
  <Words>33425</Words>
  <Characters>35316</Characters>
  <Lines>306</Lines>
  <Paragraphs>86</Paragraphs>
  <TotalTime>5</TotalTime>
  <ScaleCrop>false</ScaleCrop>
  <LinksUpToDate>false</LinksUpToDate>
  <CharactersWithSpaces>40592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杳</cp:lastModifiedBy>
  <cp:lastPrinted>2023-05-22T02:08:00Z</cp:lastPrinted>
  <dcterms:modified xsi:type="dcterms:W3CDTF">2023-05-25T03:29:09Z</dcterms:modified>
  <dc:title>杭州市市民卡扩大发卡工程</dc:title>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B30254D63E9C46D3B732D29527C88830</vt:lpwstr>
  </property>
</Properties>
</file>