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2024年杭州市公安</w:t>
      </w:r>
      <w:bookmarkStart w:id="567" w:name="_GoBack"/>
      <w:bookmarkEnd w:id="567"/>
      <w:r>
        <w:rPr>
          <w:rFonts w:hint="eastAsia" w:ascii="宋体" w:hAnsi="宋体" w:cs="宋体"/>
          <w:b/>
          <w:bCs/>
          <w:sz w:val="48"/>
          <w:szCs w:val="48"/>
          <w:highlight w:val="none"/>
          <w:lang w:eastAsia="zh-CN"/>
        </w:rPr>
        <w:t>局西湖区分局三墩派出所空调设备采购项目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XHZFCG-2024-G-09</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eastAsia="zh-CN"/>
        </w:rPr>
        <w:t>杭州市公安局西湖区分局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杭州市西湖区政府采购中心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color w:val="auto"/>
          <w:sz w:val="24"/>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lang w:eastAsia="zh-CN"/>
        </w:rPr>
        <w:t>2024年杭州市公安局西湖区分局三墩派出所空调设备采购项目</w:t>
      </w:r>
      <w:r>
        <w:rPr>
          <w:rFonts w:hint="eastAsia" w:asciiTheme="minorEastAsia" w:hAnsiTheme="minorEastAsia" w:eastAsiaTheme="min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u w:val="single"/>
        </w:rPr>
        <w:t>202</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6"/>
          <w:rFonts w:cs="Times New Roman" w:asciiTheme="minorEastAsia" w:hAnsiTheme="minorEastAsia" w:eastAsiaTheme="minorEastAsia"/>
          <w:snapToGrid/>
          <w:color w:val="auto"/>
          <w:kern w:val="2"/>
          <w:sz w:val="24"/>
          <w:szCs w:val="24"/>
          <w:highlight w:val="none"/>
          <w:u w:val="single"/>
        </w:rPr>
        <w:t>年</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2</w:t>
      </w:r>
      <w:r>
        <w:rPr>
          <w:rStyle w:val="76"/>
          <w:rFonts w:hint="eastAsia" w:cs="Times New Roman" w:asciiTheme="minorEastAsia" w:hAnsiTheme="minorEastAsia" w:eastAsiaTheme="minorEastAsia"/>
          <w:snapToGrid/>
          <w:color w:val="auto"/>
          <w:kern w:val="2"/>
          <w:sz w:val="24"/>
          <w:szCs w:val="24"/>
          <w:highlight w:val="none"/>
          <w:u w:val="single"/>
        </w:rPr>
        <w:t>月</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26</w:t>
      </w:r>
      <w:r>
        <w:rPr>
          <w:rStyle w:val="76"/>
          <w:rFonts w:hint="eastAsia" w:cs="Times New Roman" w:asciiTheme="minorEastAsia" w:hAnsiTheme="minorEastAsia" w:eastAsiaTheme="minorEastAsia"/>
          <w:snapToGrid/>
          <w:color w:val="auto"/>
          <w:kern w:val="2"/>
          <w:sz w:val="24"/>
          <w:szCs w:val="24"/>
          <w:highlight w:val="none"/>
          <w:u w:val="single"/>
        </w:rPr>
        <w:t>日</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6"/>
          <w:rFonts w:hint="eastAsia" w:cs="Times New Roman" w:asciiTheme="minorEastAsia" w:hAnsiTheme="minorEastAsia" w:eastAsiaTheme="minorEastAsia"/>
          <w:snapToGrid/>
          <w:color w:val="auto"/>
          <w:kern w:val="2"/>
          <w:sz w:val="24"/>
          <w:szCs w:val="24"/>
          <w:highlight w:val="none"/>
          <w:u w:val="single"/>
        </w:rPr>
        <w:t>点</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6"/>
          <w:rFonts w:hint="eastAsia" w:cs="Times New Roman" w:asciiTheme="minorEastAsia" w:hAnsiTheme="minorEastAsia" w:eastAsiaTheme="minorEastAsia"/>
          <w:snapToGrid/>
          <w:color w:val="auto"/>
          <w:kern w:val="2"/>
          <w:sz w:val="24"/>
          <w:szCs w:val="24"/>
          <w:highlight w:val="none"/>
          <w:u w:val="single"/>
        </w:rPr>
        <w:t>分</w:t>
      </w:r>
      <w:r>
        <w:rPr>
          <w:rStyle w:val="76"/>
          <w:rFonts w:hint="eastAsia" w:cs="Times New Roman" w:asciiTheme="minorEastAsia" w:hAnsiTheme="minorEastAsia" w:eastAsiaTheme="minorEastAsia"/>
          <w:bCs/>
          <w:snapToGrid/>
          <w:color w:val="auto"/>
          <w:kern w:val="2"/>
          <w:sz w:val="24"/>
          <w:szCs w:val="24"/>
          <w:highlight w:val="none"/>
          <w:u w:val="single"/>
        </w:rPr>
        <w:t>00秒</w:t>
      </w:r>
      <w:r>
        <w:rPr>
          <w:rStyle w:val="76"/>
          <w:rFonts w:hint="eastAsia" w:cs="Times New Roman" w:asciiTheme="minorEastAsia" w:hAnsiTheme="minorEastAsia" w:eastAsiaTheme="minorEastAsia"/>
          <w:bCs/>
          <w:snapToGrid/>
          <w:color w:val="auto"/>
          <w:kern w:val="2"/>
          <w:sz w:val="24"/>
          <w:szCs w:val="24"/>
          <w:highlight w:val="none"/>
          <w:u w:val="singl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XHZFCG-2024-G-09</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2024年杭州市公安局西湖区分局三墩派出所空调设备采购项目</w:t>
      </w:r>
    </w:p>
    <w:p>
      <w:pPr>
        <w:spacing w:line="360" w:lineRule="auto"/>
        <w:rPr>
          <w:rFonts w:hint="default" w:ascii="宋体" w:hAnsi="宋体" w:eastAsia="宋体" w:cs="宋体"/>
          <w:b/>
          <w:bCs w:val="0"/>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bCs w:val="0"/>
          <w:color w:val="auto"/>
          <w:sz w:val="24"/>
          <w:highlight w:val="none"/>
        </w:rPr>
        <w:t>：</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spacing w:line="360" w:lineRule="auto"/>
        <w:ind w:firstLine="480"/>
        <w:rPr>
          <w:rFonts w:hint="default" w:ascii="宋体" w:hAnsi="宋体" w:eastAsia="宋体" w:cs="宋体"/>
          <w:b/>
          <w:bCs w:val="0"/>
          <w:color w:val="auto"/>
          <w:sz w:val="24"/>
          <w:highlight w:val="none"/>
          <w:lang w:val="en-US" w:eastAsia="zh-CN"/>
        </w:rPr>
      </w:pPr>
      <w:r>
        <w:rPr>
          <w:rFonts w:hint="eastAsia" w:ascii="宋体" w:hAnsi="宋体" w:cs="宋体"/>
          <w:b/>
          <w:bCs w:val="0"/>
          <w:color w:val="auto"/>
          <w:sz w:val="24"/>
          <w:highlight w:val="none"/>
        </w:rPr>
        <w:t>最高限价（元）：</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pStyle w:val="8"/>
        <w:spacing w:line="360" w:lineRule="auto"/>
        <w:ind w:firstLine="480"/>
        <w:rPr>
          <w:rFonts w:hint="eastAsia"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2024年杭州市公安局西湖区分局三墩派出所空调设备采购项目</w:t>
      </w:r>
      <w:r>
        <w:rPr>
          <w:rFonts w:hint="default" w:cs="Times New Roman" w:asciiTheme="minorEastAsia" w:hAnsiTheme="minorEastAsia" w:eastAsiaTheme="minorEastAsia"/>
          <w:snapToGrid/>
          <w:color w:val="auto"/>
          <w:kern w:val="2"/>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r>
        <w:rPr>
          <w:rFonts w:hint="eastAsia" w:cs="Times New Roman" w:asciiTheme="minorEastAsia" w:hAnsiTheme="minorEastAsia" w:eastAsiaTheme="minorEastAsia"/>
          <w:snapToGrid/>
          <w:color w:val="auto"/>
          <w:kern w:val="2"/>
          <w:sz w:val="24"/>
          <w:szCs w:val="24"/>
          <w:highlight w:val="none"/>
          <w:lang w:eastAsia="zh-CN"/>
        </w:rPr>
        <w:t>具体以</w:t>
      </w:r>
      <w:r>
        <w:rPr>
          <w:rFonts w:hint="eastAsia" w:asciiTheme="minorEastAsia" w:hAnsiTheme="minorEastAsia" w:eastAsiaTheme="minorEastAsia"/>
          <w:snapToGrid/>
          <w:color w:val="auto"/>
          <w:kern w:val="2"/>
          <w:sz w:val="24"/>
          <w:szCs w:val="24"/>
          <w:highlight w:val="none"/>
        </w:rPr>
        <w:t>招标文件第三部分采购需求为准，供应商可点击本公告下方“浏览采购文件”查看采购需求。</w:t>
      </w:r>
    </w:p>
    <w:p>
      <w:pPr>
        <w:pStyle w:val="8"/>
        <w:spacing w:line="360" w:lineRule="auto"/>
        <w:ind w:firstLine="480"/>
        <w:rPr>
          <w:rFonts w:hint="eastAsia" w:hAnsi="宋体" w:eastAsia="宋体" w:cs="宋体"/>
          <w:sz w:val="24"/>
          <w:highlight w:val="none"/>
          <w:lang w:eastAsia="zh-CN"/>
        </w:rPr>
      </w:pPr>
      <w:r>
        <w:rPr>
          <w:rFonts w:hint="eastAsia" w:hAnsi="宋体" w:cs="宋体"/>
          <w:bCs/>
          <w:snapToGrid/>
          <w:color w:val="auto"/>
          <w:kern w:val="2"/>
          <w:sz w:val="24"/>
          <w:szCs w:val="24"/>
          <w:highlight w:val="none"/>
        </w:rPr>
        <w:t>标项名称：</w:t>
      </w:r>
      <w:r>
        <w:rPr>
          <w:rFonts w:hint="eastAsia" w:hAnsi="宋体" w:cs="宋体"/>
          <w:sz w:val="24"/>
          <w:highlight w:val="none"/>
          <w:lang w:eastAsia="zh-CN"/>
        </w:rPr>
        <w:t>2024年杭州市公安局西湖区分局三墩派出所空调设备采购项目</w:t>
      </w:r>
    </w:p>
    <w:p>
      <w:pPr>
        <w:pStyle w:val="8"/>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数量：</w:t>
      </w:r>
      <w:r>
        <w:rPr>
          <w:rFonts w:hAnsi="宋体" w:cs="宋体"/>
          <w:bCs/>
          <w:snapToGrid/>
          <w:color w:val="auto"/>
          <w:kern w:val="2"/>
          <w:sz w:val="24"/>
          <w:szCs w:val="24"/>
          <w:highlight w:val="none"/>
        </w:rPr>
        <w:t>1</w:t>
      </w:r>
      <w:r>
        <w:rPr>
          <w:rFonts w:hint="eastAsia" w:hAnsi="宋体" w:cs="宋体"/>
          <w:bCs/>
          <w:snapToGrid/>
          <w:color w:val="auto"/>
          <w:kern w:val="2"/>
          <w:sz w:val="24"/>
          <w:szCs w:val="24"/>
          <w:highlight w:val="none"/>
        </w:rPr>
        <w:t>批</w:t>
      </w:r>
    </w:p>
    <w:p>
      <w:pPr>
        <w:spacing w:line="360" w:lineRule="auto"/>
        <w:ind w:firstLine="480"/>
        <w:rPr>
          <w:rFonts w:hint="default" w:ascii="宋体" w:hAnsi="宋体" w:eastAsia="宋体" w:cs="宋体"/>
          <w:sz w:val="24"/>
          <w:highlight w:val="none"/>
          <w:lang w:val="en-US" w:eastAsia="zh-CN"/>
        </w:rPr>
      </w:pPr>
      <w:r>
        <w:rPr>
          <w:rFonts w:hint="eastAsia" w:hAnsi="宋体" w:cs="宋体"/>
          <w:bCs/>
          <w:sz w:val="24"/>
          <w:highlight w:val="none"/>
        </w:rPr>
        <w:t>预算金额（元）：</w:t>
      </w:r>
      <w:r>
        <w:rPr>
          <w:rFonts w:hint="eastAsia" w:ascii="Times New Roman" w:hAnsi="宋体" w:cs="宋体"/>
          <w:bCs/>
          <w:sz w:val="24"/>
          <w:highlight w:val="none"/>
          <w:lang w:val="en-US" w:eastAsia="zh-CN"/>
        </w:rPr>
        <w:t xml:space="preserve"> </w:t>
      </w:r>
      <w:r>
        <w:rPr>
          <w:rFonts w:hint="eastAsia" w:hAnsi="宋体" w:cs="宋体"/>
          <w:bCs/>
          <w:sz w:val="24"/>
          <w:highlight w:val="none"/>
          <w:lang w:val="en-US" w:eastAsia="zh-CN"/>
        </w:rPr>
        <w:t>3080000.00</w:t>
      </w:r>
    </w:p>
    <w:p>
      <w:pPr>
        <w:pStyle w:val="8"/>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简要规格描述或项目基本概况介绍、用途：</w:t>
      </w:r>
    </w:p>
    <w:p>
      <w:pPr>
        <w:spacing w:line="360" w:lineRule="auto"/>
        <w:ind w:firstLine="480" w:firstLineChars="200"/>
        <w:rPr>
          <w:rFonts w:hint="eastAsia" w:hAnsi="宋体" w:cs="宋体"/>
          <w:bCs/>
          <w:snapToGrid/>
          <w:color w:val="auto"/>
          <w:kern w:val="2"/>
          <w:sz w:val="24"/>
          <w:szCs w:val="24"/>
          <w:highlight w:val="none"/>
          <w:lang w:eastAsia="zh-CN"/>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p>
    <w:p>
      <w:pPr>
        <w:spacing w:line="360" w:lineRule="auto"/>
        <w:ind w:firstLine="482" w:firstLineChars="200"/>
        <w:rPr>
          <w:rFonts w:hint="eastAsia" w:ascii="宋体" w:hAnsi="宋体" w:eastAsia="宋体" w:cs="宋体"/>
          <w:b/>
          <w:snapToGrid w:val="0"/>
          <w:color w:val="auto"/>
          <w:kern w:val="28"/>
          <w:sz w:val="24"/>
          <w:szCs w:val="20"/>
          <w:lang w:val="en-US" w:eastAsia="zh-CN" w:bidi="ar-SA"/>
        </w:rPr>
      </w:pPr>
      <w:r>
        <w:rPr>
          <w:rFonts w:hint="eastAsia" w:ascii="宋体" w:hAnsi="宋体" w:eastAsia="宋体" w:cs="宋体"/>
          <w:b/>
          <w:snapToGrid w:val="0"/>
          <w:color w:val="auto"/>
          <w:kern w:val="28"/>
          <w:sz w:val="24"/>
          <w:szCs w:val="20"/>
          <w:highlight w:val="none"/>
          <w:lang w:val="en-US" w:eastAsia="zh-CN" w:bidi="ar-SA"/>
        </w:rPr>
        <w:t>合同履约期限：</w:t>
      </w:r>
      <w:r>
        <w:rPr>
          <w:rFonts w:hint="eastAsia" w:asciiTheme="minorEastAsia" w:hAnsiTheme="minorEastAsia" w:eastAsiaTheme="minorEastAsia" w:cstheme="minorEastAsia"/>
          <w:sz w:val="24"/>
          <w:szCs w:val="24"/>
          <w:highlight w:val="none"/>
        </w:rPr>
        <w:t>工期从吊管埋设、设备</w:t>
      </w:r>
      <w:r>
        <w:rPr>
          <w:rFonts w:hint="eastAsia" w:asciiTheme="minorEastAsia" w:hAnsiTheme="minorEastAsia" w:eastAsiaTheme="minorEastAsia" w:cstheme="minorEastAsia"/>
          <w:sz w:val="24"/>
          <w:szCs w:val="24"/>
        </w:rPr>
        <w:t>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u w:val="single"/>
        </w:rPr>
      </w:pPr>
      <w:sdt>
        <w:sdtPr>
          <w:rPr>
            <w:rFonts w:hint="eastAsia" w:ascii="宋体" w:hAnsi="宋体" w:cs="宋体"/>
            <w:color w:val="auto"/>
            <w:kern w:val="0"/>
            <w:sz w:val="24"/>
          </w:rPr>
          <w:id w:val="-9247305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货物全部由符合政策要求的中小微企业制造，提供中小企业声明函；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rPr>
        <w:t>三、获取招</w:t>
      </w:r>
      <w:r>
        <w:rPr>
          <w:rFonts w:hint="eastAsia" w:ascii="宋体" w:hAnsi="宋体" w:cs="宋体"/>
          <w:b/>
          <w:color w:val="auto"/>
          <w:sz w:val="24"/>
          <w:highlight w:val="none"/>
        </w:rPr>
        <w:t xml:space="preserve">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u w:val="single"/>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杭州市公安局西湖区分局</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szCs w:val="24"/>
          <w:highlight w:val="none"/>
          <w:lang w:val="en-US" w:eastAsia="zh-CN"/>
        </w:rPr>
        <w:t>杭州市西湖区保俶北路88号</w:t>
      </w:r>
      <w:r>
        <w:rPr>
          <w:rFonts w:hint="default" w:ascii="宋体" w:hAnsi="宋体" w:cs="宋体"/>
          <w:sz w:val="24"/>
          <w:lang w:val="en-US"/>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w:t>
      </w:r>
      <w:r>
        <w:rPr>
          <w:rFonts w:hint="default" w:ascii="宋体" w:hAnsi="宋体" w:cs="宋体"/>
          <w:color w:val="auto"/>
          <w:sz w:val="24"/>
          <w:lang w:val="en-US"/>
        </w:rPr>
        <w:t>/</w:t>
      </w:r>
      <w:r>
        <w:rPr>
          <w:rFonts w:hint="eastAsia" w:ascii="宋体" w:hAnsi="宋体" w:cs="宋体"/>
          <w:color w:val="auto"/>
          <w:sz w:val="24"/>
        </w:rPr>
        <w:t xml:space="preserve"> </w:t>
      </w:r>
      <w:r>
        <w:rPr>
          <w:rFonts w:hint="default" w:ascii="宋体" w:hAnsi="宋体" w:cs="宋体"/>
          <w:color w:val="auto"/>
          <w:sz w:val="24"/>
          <w:lang w:val="en-US"/>
        </w:rPr>
        <w:t xml:space="preserve">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胡警官</w:t>
      </w:r>
      <w:r>
        <w:rPr>
          <w:rFonts w:hint="eastAsia" w:ascii="宋体" w:hAnsi="宋体" w:cs="宋体"/>
          <w:sz w:val="24"/>
          <w:lang w:val="en-US" w:eastAsia="zh-CN"/>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 xml:space="preserve">13429675366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金警官</w:t>
      </w:r>
      <w:r>
        <w:rPr>
          <w:rFonts w:hint="eastAsia" w:ascii="宋体" w:hAnsi="宋体" w:cs="宋体"/>
          <w:sz w:val="24"/>
          <w:lang w:val="en-US" w:eastAsia="zh-CN"/>
        </w:rPr>
        <w:t xml:space="preserve"> </w:t>
      </w:r>
    </w:p>
    <w:p>
      <w:pPr>
        <w:spacing w:line="360" w:lineRule="auto"/>
        <w:rPr>
          <w:rFonts w:ascii="宋体" w:hAnsi="宋体" w:cs="宋体"/>
          <w:sz w:val="24"/>
        </w:rPr>
      </w:pPr>
      <w:r>
        <w:rPr>
          <w:rFonts w:hint="eastAsia" w:ascii="宋体" w:hAnsi="宋体" w:cs="宋体"/>
          <w:sz w:val="24"/>
        </w:rPr>
        <w:t xml:space="preserve">    质疑联系方式：17367084118</w:t>
      </w:r>
      <w:r>
        <w:rPr>
          <w:rFonts w:hint="eastAsia" w:ascii="宋体" w:hAnsi="宋体" w:cs="宋体"/>
          <w:sz w:val="24"/>
          <w:lang w:val="en-US" w:eastAsia="zh-CN"/>
        </w:rPr>
        <w:t xml:space="preserve">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w:t>
      </w:r>
      <w:r>
        <w:rPr>
          <w:rFonts w:hint="eastAsia" w:ascii="宋体" w:hAnsi="宋体" w:cs="宋体"/>
          <w:sz w:val="24"/>
          <w:highlight w:val="none"/>
          <w:lang w:eastAsia="zh-CN"/>
        </w:rPr>
        <w:t>杭州市西湖区政府采购中心</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val="en-US" w:eastAsia="zh-CN"/>
        </w:rPr>
        <w:t>蒋晓峥</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项目联系方式（询问）：0571-</w:t>
      </w:r>
      <w:r>
        <w:rPr>
          <w:rFonts w:hint="default" w:ascii="宋体" w:hAnsi="宋体" w:cs="宋体"/>
          <w:color w:val="auto"/>
          <w:sz w:val="24"/>
          <w:lang w:val="en-US"/>
        </w:rPr>
        <w:t>89511448</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 </w:t>
      </w:r>
      <w:r>
        <w:rPr>
          <w:rFonts w:hint="eastAsia" w:ascii="宋体" w:hAnsi="宋体" w:cs="宋体"/>
          <w:color w:val="auto"/>
          <w:sz w:val="24"/>
          <w:lang w:eastAsia="zh-CN"/>
        </w:rPr>
        <w:t>缪新新</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质疑联系方式：0571-8</w:t>
      </w:r>
      <w:r>
        <w:rPr>
          <w:rFonts w:hint="default" w:ascii="宋体" w:hAnsi="宋体" w:cs="宋体"/>
          <w:color w:val="auto"/>
          <w:sz w:val="24"/>
          <w:lang w:val="en-US"/>
        </w:rPr>
        <w:t>9511561</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ind w:left="479" w:leftChars="228" w:firstLine="0" w:firstLineChars="0"/>
        <w:rPr>
          <w:rFonts w:hint="eastAsia" w:ascii="宋体" w:hAnsi="宋体" w:eastAsia="宋体" w:cs="宋体"/>
          <w:sz w:val="24"/>
          <w:lang w:eastAsia="zh-CN"/>
        </w:rPr>
      </w:pPr>
      <w:r>
        <w:rPr>
          <w:rFonts w:hint="eastAsia" w:ascii="宋体" w:hAnsi="宋体" w:cs="宋体"/>
          <w:sz w:val="24"/>
        </w:rPr>
        <w:t>名 称：杭州市西湖区财政局、浙江省政府采购行政裁决服务中心（杭州）</w:t>
      </w:r>
    </w:p>
    <w:p>
      <w:pPr>
        <w:spacing w:line="360" w:lineRule="auto"/>
        <w:ind w:left="479" w:leftChars="228" w:firstLine="0" w:firstLineChars="0"/>
        <w:rPr>
          <w:rFonts w:hint="eastAsia" w:ascii="宋体" w:hAnsi="宋体" w:eastAsia="宋体" w:cs="宋体"/>
          <w:sz w:val="24"/>
          <w:lang w:eastAsia="zh-CN"/>
        </w:rPr>
      </w:pPr>
      <w:r>
        <w:rPr>
          <w:rFonts w:hint="eastAsia" w:ascii="宋体" w:hAnsi="宋体" w:cs="宋体"/>
          <w:sz w:val="24"/>
        </w:rPr>
        <w:t xml:space="preserve">地 址：杭州市上城区四季青街道新业路市民之家G03办公室（快递仅限ems或顺丰） </w:t>
      </w:r>
    </w:p>
    <w:p>
      <w:pPr>
        <w:spacing w:line="360" w:lineRule="auto"/>
        <w:ind w:left="479" w:leftChars="228" w:firstLine="0" w:firstLineChars="0"/>
        <w:rPr>
          <w:rFonts w:hint="eastAsia" w:ascii="宋体" w:hAnsi="宋体" w:eastAsia="宋体" w:cs="宋体"/>
          <w:sz w:val="24"/>
          <w:lang w:eastAsia="zh-CN"/>
        </w:rPr>
      </w:pPr>
      <w:r>
        <w:rPr>
          <w:rFonts w:hint="eastAsia" w:ascii="宋体" w:hAnsi="宋体" w:cs="宋体"/>
          <w:sz w:val="24"/>
        </w:rPr>
        <w:t>传 真： /</w:t>
      </w:r>
    </w:p>
    <w:p>
      <w:pPr>
        <w:spacing w:line="360" w:lineRule="auto"/>
        <w:ind w:left="479" w:leftChars="228" w:firstLine="0" w:firstLineChars="0"/>
        <w:rPr>
          <w:rFonts w:hint="eastAsia" w:ascii="宋体" w:hAnsi="宋体" w:eastAsia="宋体" w:cs="宋体"/>
          <w:sz w:val="24"/>
          <w:lang w:eastAsia="zh-CN"/>
        </w:rPr>
      </w:pPr>
      <w:r>
        <w:rPr>
          <w:rFonts w:hint="eastAsia" w:ascii="宋体" w:hAnsi="宋体" w:cs="宋体"/>
          <w:sz w:val="24"/>
        </w:rPr>
        <w:t>联系人 ：朱女士、王女士</w:t>
      </w:r>
    </w:p>
    <w:p>
      <w:pPr>
        <w:spacing w:line="360" w:lineRule="auto"/>
        <w:ind w:left="479" w:leftChars="228" w:firstLine="0" w:firstLineChars="0"/>
        <w:rPr>
          <w:rFonts w:ascii="宋体" w:hAnsi="宋体" w:cs="宋体"/>
          <w:color w:val="auto"/>
          <w:sz w:val="24"/>
        </w:rPr>
      </w:pPr>
      <w:r>
        <w:rPr>
          <w:rFonts w:hint="eastAsia" w:ascii="宋体" w:hAnsi="宋体" w:cs="宋体"/>
          <w:sz w:val="24"/>
        </w:rPr>
        <w:t xml:space="preserve">监督投诉电话：0571-85252453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pStyle w:val="35"/>
        <w:spacing w:line="360" w:lineRule="auto"/>
        <w:rPr>
          <w:rFonts w:hAnsi="宋体" w:cs="宋体"/>
          <w:b/>
          <w:color w:val="auto"/>
          <w:sz w:val="36"/>
          <w:szCs w:val="20"/>
        </w:rPr>
      </w:pPr>
      <w:r>
        <w:rPr>
          <w:rFonts w:hint="eastAsia" w:hAnsi="宋体" w:cs="宋体"/>
          <w:color w:val="auto"/>
          <w:sz w:val="24"/>
        </w:rPr>
        <w:t xml:space="preserve">                        </w:t>
      </w:r>
      <w:r>
        <w:rPr>
          <w:rFonts w:hAnsi="宋体" w:cs="宋体"/>
          <w:b/>
          <w:color w:val="auto"/>
          <w:sz w:val="36"/>
          <w:szCs w:val="20"/>
        </w:rPr>
        <w:t xml:space="preserve"> </w:t>
      </w:r>
    </w:p>
    <w:p>
      <w:pPr>
        <w:pStyle w:val="6"/>
        <w:rPr>
          <w:rFonts w:ascii="宋体"/>
          <w:snapToGrid w:val="0"/>
          <w:color w:val="auto"/>
        </w:rPr>
      </w:pPr>
      <w:r>
        <w:rPr>
          <w:color w:val="auto"/>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项目属性与核心产品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w:t>
            </w:r>
          </w:p>
          <w:p>
            <w:pPr>
              <w:spacing w:line="360" w:lineRule="auto"/>
              <w:rPr>
                <w:rFonts w:ascii="宋体" w:hAnsi="宋体" w:cs="宋体"/>
                <w:color w:val="auto"/>
                <w:sz w:val="24"/>
                <w:highlight w:val="none"/>
              </w:rPr>
            </w:pP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strike w:val="0"/>
                <w:dstrike w:val="0"/>
                <w:color w:val="auto"/>
                <w:sz w:val="24"/>
                <w:highlight w:val="none"/>
                <w:u w:val="single"/>
              </w:rPr>
              <w:t xml:space="preserve"> </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空调及</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新风系统</w:t>
            </w:r>
            <w:r>
              <w:rPr>
                <w:rFonts w:hint="eastAsia" w:ascii="宋体" w:hAnsi="宋体" w:cs="宋体"/>
                <w:strike w:val="0"/>
                <w:dstrike w:val="0"/>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lang w:val="en-US"/>
              </w:rPr>
            </w:pPr>
            <w:r>
              <w:rPr>
                <w:rFonts w:hint="eastAsia" w:ascii="宋体" w:hAnsi="宋体" w:cs="宋体"/>
                <w:sz w:val="24"/>
              </w:rPr>
              <w:t>（1）标的：</w:t>
            </w:r>
            <w:r>
              <w:rPr>
                <w:rFonts w:hint="eastAsia" w:hAnsi="宋体" w:cs="宋体"/>
                <w:bCs/>
                <w:snapToGrid/>
                <w:color w:val="auto"/>
                <w:kern w:val="2"/>
                <w:sz w:val="24"/>
                <w:szCs w:val="24"/>
                <w:u w:val="single"/>
                <w:lang w:eastAsia="zh-CN"/>
              </w:rPr>
              <w:t>2024年杭州市公安局西湖区分局三墩派出所空调设备采购项目</w:t>
            </w:r>
            <w:r>
              <w:rPr>
                <w:rFonts w:hint="eastAsia" w:ascii="宋体" w:hAnsi="宋体" w:cs="宋体"/>
                <w:sz w:val="24"/>
                <w:u w:val="single"/>
              </w:rPr>
              <w:t>，</w:t>
            </w:r>
            <w:r>
              <w:rPr>
                <w:rFonts w:hint="eastAsia" w:ascii="宋体" w:hAnsi="宋体" w:cs="宋体"/>
                <w:sz w:val="24"/>
              </w:rPr>
              <w:t>所属行业：</w:t>
            </w:r>
            <w:r>
              <w:rPr>
                <w:rFonts w:hint="eastAsia" w:ascii="宋体" w:hAnsi="宋体" w:cs="宋体"/>
                <w:sz w:val="24"/>
                <w:u w:val="singl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设备运输</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r>
              <w:rPr>
                <w:rFonts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532"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highlight w:val="none"/>
              </w:rPr>
              <w:t>节能产品、环境标志产品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r>
              <w:rPr>
                <w:rFonts w:hint="eastAsia" w:ascii="宋体" w:hAnsi="宋体" w:cs="宋体"/>
                <w:color w:val="auto"/>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532"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532"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sz w:val="24"/>
                <w:highlight w:val="none"/>
                <w:u w:val="single"/>
              </w:rPr>
              <w:t>杭州市西湖区文一西路858号（</w:t>
            </w:r>
            <w:r>
              <w:rPr>
                <w:rFonts w:hint="eastAsia" w:hAnsi="宋体" w:cs="宋体"/>
                <w:sz w:val="24"/>
                <w:highlight w:val="none"/>
                <w:u w:val="single"/>
                <w:lang w:eastAsia="zh-CN"/>
              </w:rPr>
              <w:t>杭州市西湖区政府采购中心</w:t>
            </w:r>
            <w:r>
              <w:rPr>
                <w:rFonts w:hint="eastAsia" w:hAnsi="宋体" w:cs="宋体"/>
                <w:sz w:val="24"/>
                <w:highlight w:val="none"/>
                <w:u w:val="single"/>
              </w:rPr>
              <w:t>西湖分中心东三楼</w:t>
            </w:r>
            <w:r>
              <w:rPr>
                <w:rFonts w:hint="eastAsia" w:hAnsi="宋体" w:cs="宋体"/>
                <w:sz w:val="24"/>
                <w:highlight w:val="none"/>
                <w:u w:val="single"/>
                <w:lang w:val="en-US" w:eastAsia="zh-CN"/>
              </w:rPr>
              <w:t>329办公室）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cs="宋体" w:asciiTheme="minorEastAsia" w:hAnsiTheme="minorEastAsia" w:eastAsiaTheme="minorEastAsia"/>
                <w:sz w:val="24"/>
                <w:highlight w:val="none"/>
                <w:u w:val="single"/>
              </w:rPr>
              <w:t>0571-8</w:t>
            </w:r>
            <w:r>
              <w:rPr>
                <w:rFonts w:hint="default" w:cs="宋体" w:asciiTheme="minorEastAsia" w:hAnsiTheme="minorEastAsia" w:eastAsiaTheme="minorEastAsia"/>
                <w:sz w:val="24"/>
                <w:highlight w:val="none"/>
                <w:u w:val="single"/>
                <w:lang w:val="en-US"/>
              </w:rPr>
              <w:t>9511448</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kern w:val="0"/>
                <w:sz w:val="24"/>
                <w:lang w:val="en-US" w:eastAsia="zh-CN"/>
              </w:rPr>
              <w:t>本项目评审报告推荐的中标候选人数量：</w:t>
            </w:r>
            <w:r>
              <w:rPr>
                <w:rFonts w:hint="default" w:cs="Arial" w:asciiTheme="minorEastAsia" w:hAnsiTheme="minorEastAsia" w:eastAsiaTheme="minorEastAsia"/>
                <w:kern w:val="0"/>
                <w:sz w:val="24"/>
                <w:u w:val="single"/>
                <w:lang w:val="en-US" w:eastAsia="zh-CN"/>
              </w:rPr>
              <w:t xml:space="preserve">  1  </w:t>
            </w:r>
            <w:r>
              <w:rPr>
                <w:rFonts w:hint="eastAsia" w:cs="Arial" w:asciiTheme="minorEastAsia" w:hAnsiTheme="minorEastAsia" w:eastAsiaTheme="minorEastAsia"/>
                <w:kern w:val="0"/>
                <w:sz w:val="24"/>
                <w:u w:val="none"/>
                <w:lang w:val="en-US" w:eastAsia="zh-CN"/>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3" w:name="第三部分"/>
      <w:bookmarkStart w:id="14"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rPr>
        <w:t>优先采购绿色包装产品、绿色物流配送服务以及循环利用产品</w:t>
      </w:r>
      <w:bookmarkEnd w:id="15"/>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3.3.3对于未预留份额专门面向中小企业的政府采购货物项目，以及预留份额政府采购货物项目中的非预留部分标项，对小型和微型企业的投标报价给予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rPr>
        <w:t>联合协议或者分包意向协议约定小微企业的合同份额占到合同总金额30%以上的</w:t>
      </w:r>
      <w:bookmarkEnd w:id="16"/>
      <w:r>
        <w:rPr>
          <w:rFonts w:hint="eastAsia" w:ascii="宋体" w:hAnsi="宋体" w:cs="宋体"/>
          <w:color w:val="auto"/>
          <w:sz w:val="24"/>
        </w:rPr>
        <w:t>，对联合体或者大中型企业的报价给予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b/>
          <w:color w:val="auto"/>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b/>
          <w:color w:val="auto"/>
          <w:sz w:val="24"/>
          <w:szCs w:val="24"/>
        </w:rPr>
        <w:t>4. 询问、质疑、投诉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color w:val="auto"/>
          <w:lang w:val="zh-CN"/>
        </w:rPr>
      </w:pPr>
      <w:r>
        <w:rPr>
          <w:rFonts w:hint="eastAsia"/>
          <w:color w:val="auto"/>
          <w:lang w:val="zh-CN"/>
        </w:rPr>
        <w:t>4.1在线询问、质疑、投诉</w:t>
      </w:r>
    </w:p>
    <w:p>
      <w:pPr>
        <w:pStyle w:val="886"/>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5"/>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5"/>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w:t>
      </w:r>
      <w:r>
        <w:rPr>
          <w:rFonts w:hint="eastAsia"/>
          <w:color w:val="auto"/>
          <w:highlight w:val="none"/>
          <w:lang w:val="en-US" w:eastAsia="zh-CN"/>
        </w:rPr>
        <w:t>西湖区、</w:t>
      </w:r>
      <w:r>
        <w:rPr>
          <w:rFonts w:hint="eastAsia"/>
          <w:color w:val="auto"/>
          <w:highlight w:val="none"/>
        </w:rPr>
        <w:t>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5"/>
        <w:spacing w:line="360" w:lineRule="auto"/>
        <w:rPr>
          <w:rFonts w:hAnsi="宋体" w:cs="宋体"/>
          <w:b/>
          <w:color w:val="auto"/>
          <w:sz w:val="24"/>
          <w:szCs w:val="24"/>
        </w:rPr>
      </w:pPr>
      <w:r>
        <w:rPr>
          <w:rFonts w:hint="eastAsia" w:hAnsi="宋体" w:cs="宋体"/>
          <w:b/>
          <w:color w:val="auto"/>
          <w:sz w:val="24"/>
          <w:szCs w:val="24"/>
        </w:rPr>
        <w:t>5．招标文件的构成</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5"/>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5"/>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5"/>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rPr>
      </w:pPr>
      <w:r>
        <w:rPr>
          <w:rFonts w:hint="eastAsia" w:hAnsi="宋体" w:cs="宋体"/>
          <w:b/>
          <w:color w:val="auto"/>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5"/>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7" w:name="_Hlk101259339"/>
      <w:r>
        <w:rPr>
          <w:rFonts w:hint="eastAsia" w:ascii="宋体" w:hAnsi="宋体" w:cs="宋体"/>
          <w:snapToGrid w:val="0"/>
          <w:color w:val="auto"/>
          <w:kern w:val="28"/>
          <w:sz w:val="24"/>
          <w:szCs w:val="20"/>
        </w:rPr>
        <w:t>联合协议</w:t>
      </w:r>
      <w:bookmarkEnd w:id="17"/>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none"/>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color w:val="auto"/>
          <w:szCs w:val="24"/>
        </w:rPr>
        <w:tab/>
      </w:r>
    </w:p>
    <w:p>
      <w:pPr>
        <w:pStyle w:val="128"/>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color w:val="auto"/>
          <w:sz w:val="24"/>
          <w:szCs w:val="24"/>
        </w:rPr>
      </w:pPr>
      <w:r>
        <w:rPr>
          <w:rFonts w:hint="eastAsia" w:hAnsi="宋体" w:cs="宋体"/>
          <w:b/>
          <w:color w:val="auto"/>
          <w:sz w:val="24"/>
          <w:szCs w:val="24"/>
        </w:rPr>
        <w:t>15.备份投标文件</w:t>
      </w:r>
    </w:p>
    <w:p>
      <w:pPr>
        <w:pStyle w:val="35"/>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5"/>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6"/>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8"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6"/>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none"/>
        </w:rPr>
        <w:t>在采购结果确认环节，中标候选人撤销投标文件不能成为采购人不确认采购结果的正当理由。</w:t>
      </w:r>
      <w:r>
        <w:rPr>
          <w:rFonts w:hint="eastAsia" w:ascii="宋体" w:hAnsi="宋体" w:cs="宋体"/>
          <w:color w:val="auto"/>
          <w:szCs w:val="24"/>
        </w:rPr>
        <w:t>中标通知书和中标结果公告应当在规定时间内同时发出。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w:t>
      </w:r>
      <w:r>
        <w:rPr>
          <w:rFonts w:hint="eastAsia" w:ascii="宋体" w:hAnsi="宋体" w:cs="宋体"/>
          <w:color w:val="auto"/>
          <w:sz w:val="24"/>
          <w:lang w:eastAsia="zh-CN"/>
        </w:rPr>
        <w:t>的</w:t>
      </w:r>
      <w:r>
        <w:rPr>
          <w:rFonts w:hint="eastAsia" w:ascii="宋体" w:hAnsi="宋体" w:cs="宋体"/>
          <w:color w:val="auto"/>
          <w:sz w:val="24"/>
        </w:rPr>
        <w:t>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6"/>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6"/>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6"/>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ascii="宋体" w:hAnsi="宋体" w:cs="Times New Roman"/>
          <w:color w:val="auto"/>
          <w:kern w:val="2"/>
          <w:sz w:val="24"/>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Style w:val="3"/>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hint="eastAsia" w:ascii="宋体" w:hAnsi="宋体" w:cs="宋体"/>
          <w:color w:val="auto"/>
        </w:rPr>
        <w:t>2</w:t>
      </w:r>
      <w:r>
        <w:rPr>
          <w:rFonts w:hint="default" w:ascii="宋体" w:hAnsi="宋体" w:cs="宋体"/>
          <w:b/>
          <w:color w:val="auto"/>
          <w:szCs w:val="24"/>
          <w:lang w:val="en-US"/>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default" w:ascii="宋体" w:hAnsi="宋体" w:cs="宋体"/>
          <w:color w:val="auto"/>
          <w:lang w:val="en-US"/>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6"/>
        <w:spacing w:line="360" w:lineRule="auto"/>
        <w:ind w:firstLine="0" w:firstLineChars="0"/>
        <w:rPr>
          <w:rFonts w:cs="宋体"/>
          <w:b/>
          <w:color w:val="auto"/>
        </w:rPr>
      </w:pPr>
      <w:r>
        <w:rPr>
          <w:rFonts w:hint="default" w:cs="宋体"/>
          <w:b/>
          <w:color w:val="auto"/>
          <w:lang w:val="en-US"/>
        </w:rPr>
        <w:t>30</w:t>
      </w:r>
      <w:r>
        <w:rPr>
          <w:rFonts w:hint="eastAsia" w:cs="宋体"/>
          <w:b/>
          <w:color w:val="auto"/>
        </w:rPr>
        <w:t>.验收</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31</w:t>
      </w:r>
      <w:r>
        <w:rPr>
          <w:rFonts w:hint="eastAsia" w:ascii="宋体" w:hAnsi="宋体" w:cs="宋体"/>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default" w:ascii="宋体" w:hAnsi="宋体" w:cs="宋体"/>
          <w:color w:val="auto"/>
          <w:kern w:val="0"/>
          <w:sz w:val="24"/>
          <w:lang w:val="en-US"/>
        </w:rPr>
        <w:t>30</w:t>
      </w:r>
      <w:r>
        <w:rPr>
          <w:rFonts w:hint="eastAsia" w:ascii="宋体" w:hAnsi="宋体" w:cs="宋体"/>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68403820"/>
      <w:bookmarkEnd w:id="19"/>
      <w:bookmarkStart w:id="20" w:name="_Hlt74730295"/>
      <w:bookmarkEnd w:id="20"/>
      <w:bookmarkStart w:id="21" w:name="_Hlt74714665"/>
      <w:bookmarkEnd w:id="21"/>
      <w:bookmarkStart w:id="22" w:name="_Hlt74707468"/>
      <w:bookmarkEnd w:id="22"/>
      <w:bookmarkStart w:id="23" w:name="_Hlt68072998"/>
      <w:bookmarkEnd w:id="23"/>
      <w:bookmarkStart w:id="24" w:name="_Hlt75236101"/>
      <w:bookmarkEnd w:id="24"/>
      <w:bookmarkStart w:id="25" w:name="_Hlt68057669"/>
      <w:bookmarkEnd w:id="25"/>
      <w:bookmarkStart w:id="26" w:name="_Hlt75236290"/>
      <w:bookmarkEnd w:id="26"/>
      <w:bookmarkStart w:id="27" w:name="_Hlt74729768"/>
      <w:bookmarkEnd w:id="27"/>
      <w:bookmarkStart w:id="28" w:name="_Hlt75236011"/>
      <w:bookmarkEnd w:id="28"/>
      <w:bookmarkStart w:id="29" w:name="_Hlt68072990"/>
      <w:bookmarkEnd w:id="29"/>
      <w:bookmarkStart w:id="30" w:name="_Hlt68073093"/>
      <w:bookmarkEnd w:id="30"/>
    </w:p>
    <w:bookmarkEnd w:id="13"/>
    <w:bookmarkEnd w:id="14"/>
    <w:p>
      <w:pPr>
        <w:numPr>
          <w:ilvl w:val="0"/>
          <w:numId w:val="1"/>
        </w:numPr>
        <w:spacing w:line="360" w:lineRule="auto"/>
        <w:jc w:val="center"/>
        <w:outlineLvl w:val="0"/>
        <w:rPr>
          <w:rFonts w:hint="eastAsia" w:ascii="宋体" w:hAnsi="宋体" w:cs="宋体"/>
          <w:b/>
          <w:color w:val="auto"/>
          <w:sz w:val="36"/>
          <w:szCs w:val="36"/>
        </w:rPr>
      </w:pPr>
      <w:bookmarkStart w:id="31" w:name="第四部分"/>
      <w:r>
        <w:rPr>
          <w:rFonts w:hint="eastAsia" w:ascii="宋体" w:hAnsi="宋体" w:cs="宋体"/>
          <w:b/>
          <w:color w:val="auto"/>
          <w:sz w:val="36"/>
          <w:szCs w:val="36"/>
        </w:rPr>
        <w:t xml:space="preserve">  采购需求</w:t>
      </w:r>
    </w:p>
    <w:p>
      <w:pPr>
        <w:pStyle w:val="2"/>
        <w:rPr>
          <w:rFonts w:hint="eastAsia"/>
        </w:rPr>
      </w:pPr>
    </w:p>
    <w:p>
      <w:pPr>
        <w:numPr>
          <w:ilvl w:val="0"/>
          <w:numId w:val="2"/>
        </w:numPr>
        <w:spacing w:line="360" w:lineRule="auto"/>
        <w:ind w:left="482" w:hanging="482"/>
        <w:outlineLvl w:val="0"/>
        <w:rPr>
          <w:rFonts w:ascii="宋体" w:hAnsi="宋体" w:cs="宋体"/>
          <w:b/>
          <w:color w:val="000000"/>
          <w:sz w:val="24"/>
        </w:rPr>
      </w:pPr>
      <w:r>
        <w:rPr>
          <w:rFonts w:hint="eastAsia" w:ascii="宋体" w:hAnsi="宋体" w:cs="宋体"/>
          <w:b/>
          <w:color w:val="000000"/>
          <w:sz w:val="24"/>
        </w:rPr>
        <w:t>项目概述</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1、项目实施地点：采购方指定地点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color w:val="000000"/>
          <w:sz w:val="24"/>
          <w:szCs w:val="24"/>
          <w:lang w:val="en-US" w:eastAsia="zh-CN"/>
        </w:rPr>
        <w:t>三墩派出所业务用房</w:t>
      </w:r>
      <w:r>
        <w:rPr>
          <w:rFonts w:hint="eastAsia" w:asciiTheme="minorEastAsia" w:hAnsiTheme="minorEastAsia" w:eastAsiaTheme="minorEastAsia" w:cstheme="minorEastAsia"/>
          <w:sz w:val="24"/>
          <w:szCs w:val="24"/>
        </w:rPr>
        <w:t>。</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项目内容：</w:t>
      </w:r>
      <w:r>
        <w:rPr>
          <w:rFonts w:hint="eastAsia" w:hAnsi="宋体" w:cs="宋体"/>
          <w:b w:val="0"/>
          <w:bCs/>
          <w:snapToGrid/>
          <w:color w:val="auto"/>
          <w:kern w:val="2"/>
          <w:sz w:val="24"/>
          <w:szCs w:val="24"/>
          <w:highlight w:val="none"/>
          <w:lang w:eastAsia="zh-CN"/>
        </w:rPr>
        <w:t>2024年杭州市公安局西湖区分局三墩派出所空调设备采购项目</w:t>
      </w:r>
      <w:r>
        <w:rPr>
          <w:rFonts w:hint="eastAsia" w:asciiTheme="minorEastAsia" w:hAnsiTheme="minorEastAsia" w:eastAsiaTheme="minorEastAsia" w:cstheme="minorEastAsia"/>
          <w:b w:val="0"/>
          <w:bCs/>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整个空调系统、新风系统所有的配管、配线、配件、专用工具、控制装置、设备基础及支架等、安装调试、相关的技术培训及不少于3年（含）的免费质保及售后现场技术服务。</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二、本次招标数量及范围：</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1．招标数量：</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w:t>
      </w:r>
      <w:r>
        <w:rPr>
          <w:rFonts w:hint="eastAsia" w:asciiTheme="minorEastAsia" w:hAnsiTheme="minorEastAsia" w:eastAsiaTheme="minorEastAsia" w:cstheme="minorEastAsia"/>
          <w:sz w:val="24"/>
          <w:szCs w:val="24"/>
        </w:rPr>
        <w:t>于3年（含）的免费质保及售后现场技术服务。</w:t>
      </w:r>
    </w:p>
    <w:p>
      <w:pPr>
        <w:pStyle w:val="128"/>
        <w:tabs>
          <w:tab w:val="left" w:pos="0"/>
          <w:tab w:val="left" w:pos="6237"/>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2．招标报价范围：</w:t>
      </w:r>
      <w:r>
        <w:rPr>
          <w:rFonts w:hint="eastAsia" w:asciiTheme="minorEastAsia" w:hAnsiTheme="minorEastAsia" w:eastAsiaTheme="minorEastAsia" w:cstheme="minorEastAsia"/>
          <w:sz w:val="24"/>
          <w:szCs w:val="24"/>
          <w:highlight w:val="none"/>
        </w:rPr>
        <w:t>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空调</w:t>
      </w:r>
      <w:r>
        <w:rPr>
          <w:rFonts w:hint="eastAsia" w:asciiTheme="minorEastAsia" w:hAnsiTheme="minorEastAsia" w:eastAsiaTheme="minorEastAsia" w:cstheme="minorEastAsia"/>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新风系统全部</w:t>
      </w:r>
      <w:r>
        <w:rPr>
          <w:rFonts w:hint="eastAsia" w:asciiTheme="minorEastAsia" w:hAnsiTheme="minorEastAsia" w:eastAsiaTheme="minorEastAsia" w:cstheme="minorEastAsia"/>
          <w:sz w:val="24"/>
          <w:szCs w:val="24"/>
        </w:rPr>
        <w:t>设备、材料、安装、调试、保险、利润、税金、售后服务、总包配合与管理费、政策性文件规定、质保期内的维修维护费用及合同包含的所有风险。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三、整体系统要求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单位按照提供的采购清单、项目技术规范和服务要求进行综合报价。各室外机、室内机的综合单价所含内容为保证整个系统的正常、安全运行所必须的全部设备主材、冷媒管、冷凝管、控制器、配件、附件和服务的费用，</w:t>
      </w:r>
      <w:r>
        <w:rPr>
          <w:rFonts w:hint="eastAsia" w:asciiTheme="minorEastAsia" w:hAnsiTheme="minorEastAsia" w:eastAsiaTheme="minorEastAsia" w:cstheme="minorEastAsia"/>
          <w:sz w:val="24"/>
          <w:szCs w:val="24"/>
          <w:highlight w:val="none"/>
        </w:rPr>
        <w:t>以及根据本部分第二条第2项</w:t>
      </w:r>
      <w:r>
        <w:rPr>
          <w:rFonts w:hint="eastAsia" w:asciiTheme="minorEastAsia" w:hAnsiTheme="minorEastAsia" w:eastAsiaTheme="minorEastAsia" w:cstheme="minorEastAsia"/>
          <w:sz w:val="24"/>
          <w:szCs w:val="24"/>
          <w:highlight w:val="none"/>
          <w:lang w:val="en-US" w:eastAsia="zh-CN"/>
        </w:rPr>
        <w:t>招</w:t>
      </w:r>
      <w:r>
        <w:rPr>
          <w:rFonts w:hint="eastAsia" w:asciiTheme="minorEastAsia" w:hAnsiTheme="minorEastAsia" w:eastAsiaTheme="minorEastAsia" w:cstheme="minorEastAsia"/>
          <w:sz w:val="24"/>
          <w:szCs w:val="24"/>
          <w:highlight w:val="none"/>
        </w:rPr>
        <w:t>标报价范围所列内容对各项费用的分摊。</w:t>
      </w:r>
      <w:r>
        <w:rPr>
          <w:rFonts w:hint="eastAsia" w:asciiTheme="minorEastAsia" w:hAnsiTheme="minorEastAsia" w:eastAsiaTheme="minorEastAsia" w:cstheme="minorEastAsia"/>
          <w:sz w:val="24"/>
          <w:szCs w:val="24"/>
        </w:rPr>
        <w:t>投标人按上述要求应列入而未列入的费用，均认为已包括在综合单价及汇总总价中。</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保留对室内机、室外机需求型号、数量等更改、调整的权利。若某一型号的产品具有多种面板样式、色泽、材质可供选择，</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具有选择权利，且综合单价保持不变。</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四、工期要求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密切配合装修工程进度，工期从吊管埋设、设备到货安装至验收合格交付使用，总工期不超过合同签订日起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五</w:t>
      </w:r>
      <w:r>
        <w:rPr>
          <w:rFonts w:hint="eastAsia" w:asciiTheme="minorEastAsia" w:hAnsiTheme="minorEastAsia" w:eastAsiaTheme="minorEastAsia" w:cstheme="minorEastAsia"/>
          <w:b/>
          <w:kern w:val="0"/>
          <w:sz w:val="24"/>
          <w:szCs w:val="24"/>
        </w:rPr>
        <w:t>、空调系统</w:t>
      </w:r>
      <w:r>
        <w:rPr>
          <w:rFonts w:hint="eastAsia" w:asciiTheme="minorEastAsia" w:hAnsiTheme="minorEastAsia" w:eastAsiaTheme="minorEastAsia" w:cstheme="minorEastAsia"/>
          <w:b/>
          <w:kern w:val="0"/>
          <w:sz w:val="24"/>
          <w:szCs w:val="24"/>
          <w:lang w:val="en-US" w:eastAsia="zh-CN"/>
        </w:rPr>
        <w:t>的</w:t>
      </w:r>
      <w:r>
        <w:rPr>
          <w:rFonts w:hint="eastAsia" w:asciiTheme="minorEastAsia" w:hAnsiTheme="minorEastAsia" w:eastAsiaTheme="minorEastAsia" w:cstheme="minorEastAsia"/>
          <w:b/>
          <w:kern w:val="0"/>
          <w:sz w:val="24"/>
          <w:szCs w:val="24"/>
        </w:rPr>
        <w:t>总体要求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1、所采购的空调系统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lang w:val="en-US" w:eastAsia="zh-CN"/>
        </w:rPr>
        <w:t>新风系统</w:t>
      </w:r>
      <w:r>
        <w:rPr>
          <w:rFonts w:hint="eastAsia" w:asciiTheme="minorEastAsia" w:hAnsiTheme="minorEastAsia" w:eastAsiaTheme="minorEastAsia" w:cstheme="minorEastAsia"/>
          <w:sz w:val="24"/>
          <w:szCs w:val="24"/>
          <w:highlight w:val="none"/>
        </w:rPr>
        <w:t>不</w:t>
      </w:r>
      <w:r>
        <w:rPr>
          <w:rFonts w:hint="eastAsia" w:asciiTheme="minorEastAsia" w:hAnsiTheme="minorEastAsia" w:eastAsiaTheme="minorEastAsia" w:cstheme="minorEastAsia"/>
          <w:sz w:val="24"/>
          <w:szCs w:val="24"/>
        </w:rPr>
        <w:t>仅外观美观，而且配置优秀、操作方便、安全可靠、运行噪音小、使用寿命长。</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设计、制造应符合国家有关技术规范和要求，详见产品标准和规范。</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所有零件的计量单位全部采用（GB）国家标准计量单位或（SI）国际标准计量单位。</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4、除必要的电源之外，整套系统使用方不附加其它任何条件和装置，系统能正常稳定工作，符合设计条件。</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5、投标方应保证所投标的设备具有</w:t>
      </w:r>
      <w:r>
        <w:rPr>
          <w:rFonts w:hint="eastAsia" w:asciiTheme="minorEastAsia" w:hAnsiTheme="minorEastAsia" w:eastAsiaTheme="minorEastAsia" w:cstheme="minorEastAsia"/>
          <w:strike w:val="0"/>
          <w:dstrike w:val="0"/>
          <w:sz w:val="24"/>
          <w:szCs w:val="24"/>
          <w:highlight w:val="none"/>
        </w:rPr>
        <w:t>本品牌</w:t>
      </w:r>
      <w:r>
        <w:rPr>
          <w:rFonts w:hint="eastAsia" w:asciiTheme="minorEastAsia" w:hAnsiTheme="minorEastAsia" w:eastAsiaTheme="minorEastAsia" w:cstheme="minorEastAsia"/>
          <w:sz w:val="24"/>
          <w:szCs w:val="24"/>
          <w:highlight w:val="none"/>
        </w:rPr>
        <w:t>先进的技术、最新的款式且所有部件的生产日期为202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rPr>
        <w:t>7</w:t>
      </w:r>
      <w:r>
        <w:rPr>
          <w:rFonts w:hint="eastAsia" w:asciiTheme="minorEastAsia" w:hAnsiTheme="minorEastAsia" w:eastAsiaTheme="minorEastAsia" w:cstheme="minorEastAsia"/>
          <w:sz w:val="24"/>
          <w:szCs w:val="24"/>
          <w:highlight w:val="none"/>
        </w:rPr>
        <w:t>月1日以后生产的原装合格产品。</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lang w:val="en-US" w:eastAsia="zh-CN"/>
        </w:rPr>
        <w:t>六</w:t>
      </w:r>
      <w:r>
        <w:rPr>
          <w:rFonts w:hint="eastAsia" w:asciiTheme="minorEastAsia" w:hAnsiTheme="minorEastAsia" w:eastAsiaTheme="minorEastAsia" w:cstheme="minorEastAsia"/>
          <w:b/>
          <w:kern w:val="0"/>
          <w:sz w:val="24"/>
          <w:szCs w:val="24"/>
          <w:highlight w:val="none"/>
        </w:rPr>
        <w:t>、空调系统的具体功能要求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kern w:val="2"/>
          <w:sz w:val="24"/>
          <w:szCs w:val="24"/>
          <w:highlight w:val="none"/>
          <w:lang w:val="en-US" w:eastAsia="zh-CN" w:bidi="ar-SA"/>
        </w:rPr>
        <w:t>多联机</w:t>
      </w:r>
      <w:r>
        <w:rPr>
          <w:rFonts w:hint="eastAsia" w:asciiTheme="minorEastAsia" w:hAnsiTheme="minorEastAsia" w:eastAsiaTheme="minorEastAsia" w:cstheme="minorEastAsia"/>
          <w:sz w:val="24"/>
          <w:szCs w:val="24"/>
          <w:highlight w:val="none"/>
        </w:rPr>
        <w:t>室外机压缩机全部为直流变频压缩机</w:t>
      </w:r>
      <w:r>
        <w:rPr>
          <w:rFonts w:hint="eastAsia" w:asciiTheme="minorEastAsia" w:hAnsiTheme="minorEastAsia" w:eastAsiaTheme="minorEastAsia" w:cstheme="minorEastAsia"/>
          <w:sz w:val="24"/>
          <w:szCs w:val="24"/>
          <w:highlight w:val="none"/>
          <w:lang w:eastAsia="zh-CN"/>
        </w:rPr>
        <w:t>。</w:t>
      </w:r>
    </w:p>
    <w:p>
      <w:pPr>
        <w:pStyle w:val="128"/>
        <w:tabs>
          <w:tab w:val="left" w:pos="0"/>
        </w:tabs>
        <w:spacing w:before="0" w:line="440" w:lineRule="exact"/>
        <w:ind w:left="105" w:leftChars="50" w:firstLine="361"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b/>
          <w:bCs/>
          <w:sz w:val="24"/>
          <w:highlight w:val="none"/>
        </w:rPr>
        <w:t>▲</w:t>
      </w:r>
      <w:r>
        <w:rPr>
          <w:rFonts w:hint="eastAsia" w:asciiTheme="minorEastAsia" w:hAnsiTheme="minorEastAsia" w:eastAsiaTheme="minorEastAsia" w:cstheme="minorEastAsia"/>
          <w:b/>
          <w:bCs/>
          <w:sz w:val="24"/>
          <w:szCs w:val="24"/>
          <w:highlight w:val="none"/>
          <w:lang w:val="en-US" w:eastAsia="zh-CN"/>
        </w:rPr>
        <w:t>多联机全新风处理机、一拖一风管机、多联机空调为同一品牌。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kern w:val="2"/>
          <w:sz w:val="24"/>
          <w:szCs w:val="24"/>
          <w:highlight w:val="none"/>
          <w:lang w:val="en-US" w:eastAsia="zh-CN" w:bidi="ar-SA"/>
        </w:rPr>
        <w:t>4.</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室外机具有三级</w:t>
      </w:r>
      <w:r>
        <w:rPr>
          <w:rFonts w:hint="eastAsia" w:asciiTheme="minorEastAsia" w:hAnsiTheme="minorEastAsia" w:eastAsiaTheme="minorEastAsia" w:cstheme="minorEastAsia"/>
          <w:sz w:val="24"/>
          <w:szCs w:val="24"/>
          <w:highlight w:val="none"/>
          <w:lang w:val="zh-CN"/>
        </w:rPr>
        <w:t>过冷技术。</w:t>
      </w:r>
    </w:p>
    <w:p>
      <w:pPr>
        <w:pStyle w:val="128"/>
        <w:tabs>
          <w:tab w:val="left" w:pos="0"/>
        </w:tabs>
        <w:spacing w:before="0" w:line="440" w:lineRule="exact"/>
        <w:ind w:left="105" w:leftChars="50" w:firstLine="360"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w:t>
      </w:r>
      <w:r>
        <w:rPr>
          <w:rFonts w:hint="eastAsia" w:asciiTheme="minorEastAsia" w:hAnsiTheme="minorEastAsia" w:eastAsiaTheme="minorEastAsia" w:cstheme="minorEastAsia"/>
          <w:kern w:val="2"/>
          <w:sz w:val="24"/>
          <w:szCs w:val="24"/>
          <w:highlight w:val="none"/>
          <w:lang w:val="en-US" w:eastAsia="zh-CN" w:bidi="ar-SA"/>
        </w:rPr>
        <w:t>为模块组合形式，不得使用整装一体机。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.中央空调系统采用R410A环保冷媒，全直流变频技术</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所有室内机风机电机采用直流变速电机，室外机风扇电机采用直流变速电机。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7</w:t>
      </w:r>
      <w:r>
        <w:rPr>
          <w:rFonts w:hint="eastAsia" w:asciiTheme="minorEastAsia" w:hAnsiTheme="minorEastAsia" w:eastAsiaTheme="minorEastAsia" w:cstheme="minorEastAsia"/>
          <w:b w:val="0"/>
          <w:bCs/>
          <w:sz w:val="24"/>
          <w:szCs w:val="24"/>
          <w:highlight w:val="none"/>
        </w:rPr>
        <w:t>.</w:t>
      </w:r>
      <w:r>
        <w:rPr>
          <w:rFonts w:hint="eastAsia" w:asciiTheme="minorEastAsia" w:hAnsiTheme="minorEastAsia" w:eastAsiaTheme="minorEastAsia" w:cstheme="minorEastAsia"/>
          <w:b w:val="0"/>
          <w:bCs/>
          <w:sz w:val="24"/>
          <w:szCs w:val="24"/>
          <w:highlight w:val="none"/>
          <w:lang w:val="en-US" w:eastAsia="zh-CN"/>
        </w:rPr>
        <w:t>本项目</w:t>
      </w:r>
      <w:r>
        <w:rPr>
          <w:rFonts w:hint="eastAsia" w:asciiTheme="minorEastAsia" w:hAnsiTheme="minorEastAsia" w:eastAsiaTheme="minorEastAsia" w:cstheme="minorEastAsia"/>
          <w:b w:val="0"/>
          <w:bCs/>
          <w:sz w:val="24"/>
          <w:szCs w:val="24"/>
          <w:highlight w:val="none"/>
        </w:rPr>
        <w:t>各投标品牌室内</w:t>
      </w:r>
      <w:r>
        <w:rPr>
          <w:rFonts w:hint="eastAsia" w:asciiTheme="minorEastAsia" w:hAnsiTheme="minorEastAsia" w:eastAsiaTheme="minorEastAsia" w:cstheme="minorEastAsia"/>
          <w:sz w:val="24"/>
          <w:szCs w:val="24"/>
          <w:highlight w:val="none"/>
        </w:rPr>
        <w:t>机</w:t>
      </w:r>
      <w:r>
        <w:rPr>
          <w:rFonts w:hint="eastAsia" w:asciiTheme="minorEastAsia" w:hAnsiTheme="minorEastAsia" w:eastAsiaTheme="minorEastAsia" w:cstheme="minorEastAsia"/>
          <w:sz w:val="24"/>
          <w:szCs w:val="24"/>
          <w:highlight w:val="none"/>
          <w:lang w:val="en-US" w:eastAsia="zh-CN"/>
        </w:rPr>
        <w:t>均需自带排水提升泵。</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.中央空调系统控制方式采用有线控制器。</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w:t>
      </w:r>
      <w:r>
        <w:rPr>
          <w:rFonts w:hint="eastAsia" w:ascii="宋体" w:hAnsi="宋体" w:cs="宋体"/>
          <w:sz w:val="24"/>
          <w:highlight w:val="none"/>
          <w:lang w:val="en-US" w:eastAsia="zh-CN"/>
        </w:rPr>
        <w:t>室外机基本模块APF最大值≥5.7。</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.制热能效高，智能除霜，制热快速启动。</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.冷媒管道采用脱氧化磷铜管及专用接头，符合产品标准和规范及设计图纸的要求。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.主要零部件（变频模块、控制板、电子膨胀阀、传感器等）生产工艺和制造水平一流，能够满足长时间运行要求。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13.多联机机组（</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b w:val="0"/>
          <w:bCs w:val="0"/>
          <w:sz w:val="24"/>
          <w:szCs w:val="24"/>
          <w:highlight w:val="none"/>
        </w:rPr>
        <w:t>具有冷媒自动回收功能、室内机掉电应急维修功能、电控电路自动维护功能、管路异常智能判断功能</w:t>
      </w:r>
      <w:r>
        <w:rPr>
          <w:rFonts w:hint="eastAsia" w:asciiTheme="minorEastAsia" w:hAnsiTheme="minorEastAsia" w:eastAsiaTheme="minorEastAsia" w:cstheme="minorEastAsia"/>
          <w:b w:val="0"/>
          <w:bCs w:val="0"/>
          <w:sz w:val="24"/>
          <w:szCs w:val="24"/>
          <w:highlight w:val="none"/>
          <w:lang w:eastAsia="zh-CN"/>
        </w:rPr>
        <w:t>。</w:t>
      </w:r>
    </w:p>
    <w:p>
      <w:pPr>
        <w:pStyle w:val="128"/>
        <w:tabs>
          <w:tab w:val="left" w:pos="0"/>
        </w:tabs>
        <w:spacing w:before="0" w:line="440" w:lineRule="exact"/>
        <w:ind w:left="105" w:leftChars="50" w:firstLine="360" w:firstLineChars="150"/>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14.多联机室外机压缩机采用涡旋式压缩机并具有喷气增焓技术。</w:t>
      </w: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七</w:t>
      </w:r>
      <w:r>
        <w:rPr>
          <w:rFonts w:hint="eastAsia" w:asciiTheme="minorEastAsia" w:hAnsiTheme="minorEastAsia" w:eastAsiaTheme="minorEastAsia" w:cstheme="minorEastAsia"/>
          <w:b/>
          <w:kern w:val="0"/>
          <w:sz w:val="24"/>
          <w:szCs w:val="24"/>
        </w:rPr>
        <w:t>、空调系统施工安装要求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1、固定铜管用吊杆：按1根/1～1.5米，固定水管用吊杆：按1根/0.8～1.2米。</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2、冷媒管施工符合三原则：干燥、清洁、气密性。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3、冷媒管焊接用焊条是银焊条，焊接必须采用氮气保护焊接。</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4、冷媒配管完成后必须按规范要求进行气密性试验，以防止泄漏。气密性试验完成后必须进行真空试验，以达到除水汽、检漏的目的。</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5、冷媒管保温橡塑保温材料，其保温厚度及性能参见国标GB50736-2012和国标GB50189-2016要求。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6、冷凝水管采用U-PVC管制作，采用13MM厚橡塑保温材料保温。</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7、空调室内机安装必须采取消音、防振等措施。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8、本项目室内外机电源由招标单位铺设到位，投标人负责电源与设备的连接工作。</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9、本项目室外机支架、槽钢基础由投标人负责，费用包含在投标总价中。</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八</w:t>
      </w:r>
      <w:r>
        <w:rPr>
          <w:rFonts w:hint="eastAsia" w:asciiTheme="minorEastAsia" w:hAnsiTheme="minorEastAsia" w:eastAsiaTheme="minorEastAsia" w:cstheme="minorEastAsia"/>
          <w:b/>
          <w:kern w:val="0"/>
          <w:sz w:val="24"/>
          <w:szCs w:val="24"/>
        </w:rPr>
        <w:t>、对所投设备进行技术描述的要求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1.投标单位必须对招标文件所提出的技术性能要求在投标文件中做出明确、详细的描述，特别是设备的结构、性能、技术参数，并提供各种重要部件的结构示意图。</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2.投标单位按照招标文件的技术性能要求，确认推荐产品的型号、性能参数及其主要经济、技术指标。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3.产品的设计使用寿命（系指主要关键件的设计使用寿命）。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4.稳定产品质量的能力及整机运行的可靠性。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5.产品的性能和功能及配置。</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投标单位必须对各室外机、室内机所匹配的冷媒管、冷凝管的尺寸、壁厚、材质等在安装材料表中进行详细描述。</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九</w:t>
      </w:r>
      <w:r>
        <w:rPr>
          <w:rFonts w:hint="eastAsia" w:asciiTheme="minorEastAsia" w:hAnsiTheme="minorEastAsia" w:eastAsiaTheme="minorEastAsia" w:cstheme="minorEastAsia"/>
          <w:b/>
          <w:kern w:val="0"/>
          <w:sz w:val="24"/>
          <w:szCs w:val="24"/>
        </w:rPr>
        <w:t>、设备交货材料</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1.投标单位现场交货。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2.附详细的交货设备清单：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产品合格证及检验记录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产品安装技术资料（中文）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产品说明书或系统操作手册（中文）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所有随机软件正本</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设备维修所需的维修工具（包括特殊专用工具）</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主机设备总图（尺寸、性能参数、安装要求等）、易损件、电气原理及接线、电子线路图、地基图、机械部件等</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测试记录、有关部门的检测记录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安装单位的资质证明</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十、安装调试及验收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1.设备运抵施工现场后，投标方应派有经验的工程技术人员实施现场安装、调试、操作维修培训。</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2.设备安装、调试完毕并在连续试使用40小时后，应对全套设备进行清点和全面性能验收。验收合格双方签字认可后，交付采购方使用，其费用已包括在投标价格之内。</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3.本招标规定的设备应是全新的、无任何缺陷的。投标单位应按照招标文件规定的技术要求和范围进行设备的设计和制造，并提供主要部件的制造检测报告及产品的质量检验证明文件。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4、配合总包商按照杭州市城建档案管理的要求在验收合格后15天内提供全套竣工资料。</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一</w:t>
      </w:r>
      <w:r>
        <w:rPr>
          <w:rFonts w:hint="eastAsia" w:asciiTheme="minorEastAsia" w:hAnsiTheme="minorEastAsia" w:eastAsiaTheme="minorEastAsia" w:cstheme="minorEastAsia"/>
          <w:b/>
          <w:kern w:val="0"/>
          <w:sz w:val="24"/>
          <w:szCs w:val="24"/>
        </w:rPr>
        <w:t>、备品、备件、易损件及特殊专用工具</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1.投标单位应按产品出厂规定提供随机易损件、专用工具及附件，并提供清单及其报价。投标方应向</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提供安装必须的特殊工具，其费用已包括在投标价格之内。</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2.投标时提供详细备品、备件清单。</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二</w:t>
      </w:r>
      <w:r>
        <w:rPr>
          <w:rFonts w:hint="eastAsia" w:asciiTheme="minorEastAsia" w:hAnsiTheme="minorEastAsia" w:eastAsiaTheme="minorEastAsia" w:cstheme="minorEastAsia"/>
          <w:b/>
          <w:kern w:val="0"/>
          <w:sz w:val="24"/>
          <w:szCs w:val="24"/>
        </w:rPr>
        <w:t>、培训、维护和售后服务</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1、交付使用前免费提供操作培训和维修培训。</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2、投标单位有责任对设备每三个月进行定期维护和修理，并保证零、配件的供应。</w:t>
      </w:r>
    </w:p>
    <w:p>
      <w:pPr>
        <w:pStyle w:val="128"/>
        <w:tabs>
          <w:tab w:val="left" w:pos="0"/>
        </w:tabs>
        <w:spacing w:before="0"/>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3、维修点须提供至少24小时服务，而且维修人员须在接到维修电话后2小时内赶到现场，提供不间断服务直到故障排除。维修点需提供足够的备件以适应招标人维修需求。</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4、中标人须对合同中的全套设备提供</w:t>
      </w:r>
      <w:r>
        <w:rPr>
          <w:rFonts w:hint="eastAsia" w:asciiTheme="minorEastAsia" w:hAnsiTheme="minorEastAsia" w:eastAsiaTheme="minorEastAsia" w:cstheme="minorEastAsia"/>
          <w:sz w:val="24"/>
          <w:szCs w:val="24"/>
          <w:lang w:val="en-US" w:eastAsia="zh-CN"/>
        </w:rPr>
        <w:t>不少于3</w:t>
      </w:r>
      <w:r>
        <w:rPr>
          <w:rFonts w:hint="eastAsia" w:asciiTheme="minorEastAsia" w:hAnsiTheme="minorEastAsia" w:eastAsiaTheme="minorEastAsia" w:cstheme="minorEastAsia"/>
          <w:sz w:val="24"/>
          <w:szCs w:val="24"/>
        </w:rPr>
        <w:t>年的保修期，保修期从设备调试验收合格并交付采购人开始正式使用算起。在此期间，因产品制造质量不良而产生损坏或不能正常工作，中标人应免费维修和正常保养。</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5、保修期内在每次制冷（制热）期开始前，免费负责空调的开机调试。在保修期内的售后服务工作还应包括定期对所有空调常规检查、调整、润滑和清洁。具体的操作程序和内容须在投标时说明。</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6、在保修期满时，中标人工程师和采购方代表对机组进行另一次测试，任何故障（人为损坏除外）须由中标人自费解决并最终取得采购方的认可。</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7、投标人须对各种型号规格的空调设备提供足够的备品配件、附件和易损件，并保证是厂商正规生产的产品，以满足设备正常运行和维修的需要。</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三</w:t>
      </w:r>
      <w:r>
        <w:rPr>
          <w:rFonts w:hint="eastAsia" w:asciiTheme="minorEastAsia" w:hAnsiTheme="minorEastAsia" w:eastAsiaTheme="minorEastAsia" w:cstheme="minorEastAsia"/>
          <w:b/>
          <w:kern w:val="0"/>
          <w:sz w:val="24"/>
          <w:szCs w:val="24"/>
        </w:rPr>
        <w:t>、保修期</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验收合格之日起不少于</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年（含）免费质量保修期。</w:t>
      </w:r>
    </w:p>
    <w:p>
      <w:pPr>
        <w:snapToGrid w:val="0"/>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、产品标准和规范</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●中国国家标准及其它被普遍认可的中国标准</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《民用建筑供暖通风与空气调节设计规范》            GB50736-2012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《工业建筑供暖通风与空气调节设计规范》            GB50019-2015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《通风与空调工程施工质量验收规范》                GB50243-2016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《建筑给排水及采暖工程施工质量验收规范》          GB50242-2002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《工业金属管道工程施工及验收规范》                GB50235-2010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《工业设备及管道绝热工程施工及验收规范》          GB50185-2010 </w:t>
      </w:r>
    </w:p>
    <w:p>
      <w:pPr>
        <w:pStyle w:val="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《制冷设备安装工程施工及验收规范》                GB50274-2010</w:t>
      </w:r>
    </w:p>
    <w:p>
      <w:pPr>
        <w:pStyle w:val="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《机械设备安装工程施工及验收通用规范》            GB50231-2009</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述各项标准有不一致者，以较高标准执行；若未明示相关标准或规范者，按国家、行业及地方现行标准或规范执行（如各标准或规范出项不一致者，以较高标准执行）；若在施工过程中出现新标准或规范，则按二者内较高标准执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sz w:val="24"/>
          <w:szCs w:val="24"/>
          <w:highlight w:val="yellow"/>
        </w:rPr>
      </w:pPr>
      <w:r>
        <w:rPr>
          <w:rFonts w:hint="eastAsia" w:asciiTheme="minorEastAsia" w:hAnsiTheme="minorEastAsia" w:eastAsiaTheme="minorEastAsia" w:cstheme="minorEastAsia"/>
          <w:b/>
          <w:sz w:val="24"/>
          <w:szCs w:val="24"/>
          <w:highlight w:val="yellow"/>
        </w:rPr>
        <w:br w:type="page"/>
      </w:r>
    </w:p>
    <w:p>
      <w:pPr>
        <w:pStyle w:val="6"/>
        <w:numPr>
          <w:ilvl w:val="0"/>
          <w:numId w:val="3"/>
        </w:numPr>
        <w:jc w:val="both"/>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设备具体清单及技术参数要求</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lang w:val="en-US" w:eastAsia="zh-CN"/>
        </w:rPr>
        <w:t>提供产品彩页、机组铭牌、检测报告等相关证明材料</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rPr>
        <w:t>：</w:t>
      </w:r>
    </w:p>
    <w:tbl>
      <w:tblPr>
        <w:tblStyle w:val="62"/>
        <w:tblpPr w:leftFromText="180" w:rightFromText="180" w:vertAnchor="text" w:horzAnchor="page" w:tblpX="1897" w:tblpY="29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主要技术规格</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u w:val="none"/>
                <w:lang w:val="en-US" w:eastAsia="zh-CN" w:bidi="ar"/>
              </w:rPr>
              <w:t>制冷量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u w:val="none"/>
                <w:lang w:val="en-US" w:eastAsia="zh-CN" w:bidi="ar"/>
              </w:rPr>
              <w:t>制热量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u w:val="none"/>
                <w:lang w:val="en-US" w:eastAsia="zh-CN" w:bidi="ar"/>
              </w:rPr>
              <w:t>耗电量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u w:val="none"/>
                <w:lang w:val="en-US" w:eastAsia="zh-CN" w:bidi="ar"/>
              </w:rPr>
              <w:t>风量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u w:val="none"/>
                <w:lang w:val="en-US" w:eastAsia="zh-CN" w:bidi="ar"/>
              </w:rPr>
              <w:t>低风挡噪音：</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u w:val="none"/>
                <w:lang w:val="en-US" w:eastAsia="zh-CN" w:bidi="ar"/>
              </w:rPr>
              <w:t>设备尺寸：</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300×1475×800mm（高×宽×深）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13.7KW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320×1420×790mm（高×宽×深）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283W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692W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815W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12.15/12.2KW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15.77/16.0KW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rPr>
          <w:highlight w:val="none"/>
        </w:rPr>
      </w:pPr>
    </w:p>
    <w:tbl>
      <w:tblPr>
        <w:tblStyle w:val="62"/>
        <w:tblpPr w:leftFromText="180" w:rightFromText="180" w:vertAnchor="text" w:horzAnchor="page" w:tblpX="1897" w:tblpY="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68KW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≥75</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21.3/20.95KW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78.5</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20.35/20.8KW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≥100</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24.3/24.4KW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95</w:t>
            </w:r>
            <w:r>
              <w:rPr>
                <w:rFonts w:hint="eastAsia" w:ascii="宋体" w:hAnsi="宋体" w:cs="宋体"/>
                <w:i w:val="0"/>
                <w:iCs w:val="0"/>
                <w:color w:val="000000"/>
                <w:kern w:val="0"/>
                <w:sz w:val="22"/>
                <w:szCs w:val="22"/>
                <w:highlight w:val="none"/>
                <w:u w:val="none"/>
                <w:lang w:val="en-US" w:eastAsia="zh-CN" w:bidi="ar"/>
              </w:rPr>
              <w:t>KE、制热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25.7/25.9KW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≥126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31.54/32KW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：117.5KW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≥132</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34.07/34.2KW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123KW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≥138</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36.6/36.4KW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制冷量≥2.6KW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制热量≥13.2KW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widowControl/>
        <w:spacing w:line="360" w:lineRule="auto"/>
        <w:jc w:val="left"/>
        <w:rPr>
          <w:rFonts w:hint="eastAsia" w:asciiTheme="minorEastAsia" w:hAnsiTheme="minorEastAsia" w:eastAsiaTheme="minorEastAsia" w:cstheme="minorEastAsia"/>
          <w:b/>
          <w:color w:val="111F2C"/>
          <w:sz w:val="24"/>
          <w:szCs w:val="24"/>
          <w:shd w:val="clear" w:color="auto" w:fill="FFFFFF"/>
        </w:rPr>
      </w:pPr>
      <w:r>
        <w:rPr>
          <w:rFonts w:hint="eastAsia" w:asciiTheme="minorEastAsia" w:hAnsiTheme="minorEastAsia" w:eastAsiaTheme="minorEastAsia" w:cstheme="minorEastAsia"/>
          <w:b/>
          <w:color w:val="111F2C"/>
          <w:sz w:val="24"/>
          <w:szCs w:val="24"/>
          <w:highlight w:val="none"/>
          <w:shd w:val="clear" w:color="auto" w:fill="FFFFFF"/>
        </w:rPr>
        <w:t>注：</w:t>
      </w:r>
    </w:p>
    <w:p>
      <w:pPr>
        <w:widowControl/>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111F2C"/>
          <w:sz w:val="24"/>
          <w:szCs w:val="24"/>
          <w:shd w:val="clear" w:color="auto" w:fill="FFFFFF"/>
        </w:rPr>
        <w:t>1、</w:t>
      </w:r>
      <w:r>
        <w:rPr>
          <w:rFonts w:hint="eastAsia" w:asciiTheme="minorEastAsia" w:hAnsiTheme="minorEastAsia" w:eastAsiaTheme="minorEastAsia" w:cstheme="minorEastAsia"/>
          <w:b/>
          <w:sz w:val="24"/>
          <w:szCs w:val="24"/>
        </w:rPr>
        <w:t>设备清单若与图纸不符，以</w:t>
      </w:r>
      <w:r>
        <w:rPr>
          <w:rFonts w:hint="eastAsia" w:asciiTheme="minorEastAsia" w:hAnsiTheme="minorEastAsia" w:eastAsiaTheme="minorEastAsia" w:cstheme="minorEastAsia"/>
          <w:b/>
          <w:sz w:val="24"/>
          <w:szCs w:val="24"/>
          <w:lang w:val="en-US" w:eastAsia="zh-CN"/>
        </w:rPr>
        <w:t>本清单</w:t>
      </w:r>
      <w:r>
        <w:rPr>
          <w:rFonts w:hint="eastAsia" w:asciiTheme="minorEastAsia" w:hAnsiTheme="minorEastAsia" w:eastAsiaTheme="minorEastAsia" w:cstheme="minorEastAsia"/>
          <w:b/>
          <w:sz w:val="24"/>
          <w:szCs w:val="24"/>
        </w:rPr>
        <w:t>为准。</w:t>
      </w:r>
    </w:p>
    <w:p>
      <w:pPr>
        <w:widowControl/>
        <w:spacing w:line="360" w:lineRule="auto"/>
        <w:jc w:val="left"/>
        <w:rPr>
          <w:rFonts w:hint="eastAsia" w:asciiTheme="minorEastAsia" w:hAnsiTheme="minorEastAsia" w:eastAsiaTheme="minorEastAsia" w:cstheme="minorEastAsia"/>
          <w:b/>
          <w:color w:val="111F2C"/>
          <w:sz w:val="24"/>
          <w:szCs w:val="24"/>
          <w:shd w:val="clear" w:color="auto" w:fill="FFFFFF"/>
          <w:lang w:eastAsia="zh-CN"/>
        </w:rPr>
      </w:pPr>
      <w:r>
        <w:rPr>
          <w:rFonts w:hint="eastAsia" w:asciiTheme="minorEastAsia" w:hAnsiTheme="minorEastAsia" w:eastAsiaTheme="minorEastAsia" w:cstheme="minorEastAsia"/>
          <w:b/>
          <w:color w:val="111F2C"/>
          <w:sz w:val="24"/>
          <w:szCs w:val="24"/>
          <w:shd w:val="clear" w:color="auto" w:fill="FFFFFF"/>
        </w:rPr>
        <w:t>2、铜管、水管、风管等相关管线安装工程量按图纸（若有）和现场实际为准。</w:t>
      </w:r>
    </w:p>
    <w:p>
      <w:pPr>
        <w:widowControl/>
        <w:spacing w:line="360" w:lineRule="auto"/>
        <w:jc w:val="left"/>
        <w:rPr>
          <w:rFonts w:hint="eastAsia" w:asciiTheme="minorEastAsia" w:hAnsiTheme="minorEastAsia" w:eastAsiaTheme="minorEastAsia" w:cstheme="minorEastAsia"/>
          <w:b/>
          <w:color w:val="111F2C"/>
          <w:sz w:val="24"/>
          <w:szCs w:val="24"/>
          <w:highlight w:val="none"/>
          <w:shd w:val="clear" w:color="auto" w:fill="FFFFFF"/>
          <w:lang w:eastAsia="zh-CN"/>
        </w:rPr>
      </w:pPr>
      <w:r>
        <w:rPr>
          <w:rFonts w:hint="eastAsia" w:asciiTheme="minorEastAsia" w:hAnsiTheme="minorEastAsia" w:eastAsiaTheme="minorEastAsia" w:cstheme="minorEastAsia"/>
          <w:color w:val="111F2C"/>
          <w:sz w:val="24"/>
          <w:szCs w:val="24"/>
          <w:shd w:val="clear" w:color="auto" w:fill="FFFFFF"/>
        </w:rPr>
        <w:t>3、上述标项的设备产品的详细指标各部分的“技术规格要求”，投标人必须对指标要求有明确的响应，针对采购要求如实描述是否偏离。</w:t>
      </w:r>
      <w:r>
        <w:rPr>
          <w:rFonts w:hint="eastAsia" w:asciiTheme="minorEastAsia" w:hAnsiTheme="minorEastAsia" w:eastAsiaTheme="minorEastAsia" w:cstheme="minorEastAsia"/>
          <w:b/>
          <w:color w:val="111F2C"/>
          <w:sz w:val="24"/>
          <w:szCs w:val="24"/>
          <w:highlight w:val="none"/>
          <w:shd w:val="clear" w:color="auto" w:fill="FFFFFF"/>
        </w:rPr>
        <w:t>上述所有技术指标均为采购单位提出基本要求，不允许出现负偏差，否则将可能被评标委员会技术扣分直至认定为投标无效。</w:t>
      </w:r>
    </w:p>
    <w:p>
      <w:pPr>
        <w:widowControl/>
        <w:spacing w:line="360" w:lineRule="auto"/>
        <w:jc w:val="left"/>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color w:val="111F2C"/>
          <w:sz w:val="24"/>
          <w:szCs w:val="24"/>
          <w:shd w:val="clear" w:color="auto" w:fill="FFFFFF"/>
        </w:rPr>
        <w:t>4、投标人可参考采购单位提出的设备（产品）的配置要求，</w:t>
      </w:r>
      <w:r>
        <w:rPr>
          <w:rFonts w:hint="eastAsia" w:asciiTheme="minorEastAsia" w:hAnsiTheme="minorEastAsia" w:eastAsiaTheme="minorEastAsia" w:cstheme="minorEastAsia"/>
          <w:b/>
          <w:color w:val="111F2C"/>
          <w:sz w:val="24"/>
          <w:szCs w:val="24"/>
          <w:shd w:val="clear" w:color="auto" w:fill="FFFFFF"/>
        </w:rPr>
        <w:t>也欢迎其他能满足本项目技术需求且性能与所明确品牌相当的产品参加投标，但其配置应能满足本设备运行的需求。</w:t>
      </w:r>
      <w:r>
        <w:rPr>
          <w:rFonts w:hint="eastAsia" w:asciiTheme="minorEastAsia" w:hAnsiTheme="minorEastAsia" w:eastAsiaTheme="minorEastAsia" w:cstheme="minorEastAsia"/>
          <w:color w:val="111F2C"/>
          <w:sz w:val="24"/>
          <w:szCs w:val="24"/>
          <w:shd w:val="clear" w:color="auto" w:fill="FFFFFF"/>
        </w:rPr>
        <w:t>如有必要，采购机构保留另行组织采购部分直至全部设备的权利。</w:t>
      </w:r>
    </w:p>
    <w:p>
      <w:pPr>
        <w:rPr>
          <w:rFonts w:hint="eastAsia"/>
        </w:rPr>
      </w:pPr>
      <w:r>
        <w:rPr>
          <w:rFonts w:hint="eastAsia" w:asciiTheme="minorEastAsia" w:hAnsiTheme="minorEastAsia" w:eastAsiaTheme="minorEastAsia" w:cstheme="minorEastAsia"/>
          <w:color w:val="111F2C"/>
          <w:sz w:val="24"/>
          <w:szCs w:val="24"/>
          <w:shd w:val="clear" w:color="auto" w:fill="FFFFFF"/>
          <w:lang w:val="en-US" w:eastAsia="zh-CN"/>
        </w:rPr>
        <w:t>5、本项目为交钥匙工程，请各位投标人充分考虑施工中所需的安装辅材费用。</w:t>
      </w:r>
    </w:p>
    <w:p>
      <w:pPr>
        <w:ind w:firstLine="723" w:firstLineChars="200"/>
        <w:jc w:val="center"/>
        <w:rPr>
          <w:rFonts w:hint="eastAsia" w:ascii="宋体" w:hAnsi="宋体" w:cs="宋体"/>
          <w:b/>
          <w:sz w:val="36"/>
          <w:szCs w:val="36"/>
        </w:rPr>
      </w:pPr>
    </w:p>
    <w:p>
      <w:pPr>
        <w:ind w:firstLine="723" w:firstLineChars="200"/>
        <w:jc w:val="center"/>
        <w:rPr>
          <w:rFonts w:hint="eastAsia" w:ascii="宋体" w:hAnsi="宋体" w:cs="宋体"/>
          <w:b/>
          <w:sz w:val="36"/>
          <w:szCs w:val="36"/>
        </w:rPr>
      </w:pPr>
    </w:p>
    <w:p>
      <w:pPr>
        <w:jc w:val="both"/>
        <w:rPr>
          <w:rFonts w:hint="eastAsia" w:ascii="宋体" w:hAnsi="宋体" w:cs="宋体"/>
          <w:b/>
          <w:sz w:val="36"/>
          <w:szCs w:val="36"/>
        </w:rPr>
      </w:pPr>
    </w:p>
    <w:p>
      <w:pPr>
        <w:ind w:firstLine="723" w:firstLineChars="200"/>
        <w:jc w:val="center"/>
        <w:rPr>
          <w:rFonts w:ascii="宋体" w:hAnsi="宋体" w:cs="宋体"/>
          <w:b/>
          <w:sz w:val="36"/>
          <w:szCs w:val="36"/>
        </w:rPr>
      </w:pPr>
      <w:r>
        <w:rPr>
          <w:rFonts w:hint="eastAsia" w:ascii="宋体" w:hAnsi="宋体" w:cs="宋体"/>
          <w:b/>
          <w:sz w:val="36"/>
          <w:szCs w:val="36"/>
        </w:rPr>
        <w:t xml:space="preserve">第四部分   </w:t>
      </w:r>
      <w:bookmarkStart w:id="32" w:name="_Toc184310341"/>
      <w:bookmarkEnd w:id="32"/>
      <w:bookmarkStart w:id="33" w:name="_Toc184314439"/>
      <w:bookmarkEnd w:id="33"/>
      <w:bookmarkStart w:id="34" w:name="_Toc184308038"/>
      <w:bookmarkEnd w:id="34"/>
      <w:bookmarkStart w:id="35" w:name="_Toc184308074"/>
      <w:bookmarkEnd w:id="35"/>
      <w:bookmarkStart w:id="36" w:name="_Toc184308043"/>
      <w:bookmarkEnd w:id="36"/>
      <w:bookmarkStart w:id="37" w:name="_Toc184314418"/>
      <w:bookmarkEnd w:id="37"/>
      <w:bookmarkStart w:id="38" w:name="_Toc184312083"/>
      <w:bookmarkEnd w:id="38"/>
      <w:bookmarkStart w:id="39" w:name="_Toc184310290"/>
      <w:bookmarkEnd w:id="39"/>
      <w:bookmarkStart w:id="40" w:name="_Toc184313298"/>
      <w:bookmarkEnd w:id="40"/>
      <w:bookmarkStart w:id="41" w:name="_Toc184313245"/>
      <w:bookmarkEnd w:id="41"/>
      <w:bookmarkStart w:id="42" w:name="_Toc184312137"/>
      <w:bookmarkEnd w:id="42"/>
      <w:bookmarkStart w:id="43" w:name="_Toc184314453"/>
      <w:bookmarkEnd w:id="43"/>
      <w:bookmarkStart w:id="44" w:name="_Toc184312132"/>
      <w:bookmarkEnd w:id="44"/>
      <w:bookmarkStart w:id="45" w:name="_Toc184313272"/>
      <w:bookmarkEnd w:id="45"/>
      <w:bookmarkStart w:id="46" w:name="_Toc184314423"/>
      <w:bookmarkEnd w:id="46"/>
      <w:bookmarkStart w:id="47" w:name="_Toc184308106"/>
      <w:bookmarkEnd w:id="47"/>
      <w:bookmarkStart w:id="48" w:name="_Toc184308087"/>
      <w:bookmarkEnd w:id="48"/>
      <w:bookmarkStart w:id="49" w:name="_Toc184310308"/>
      <w:bookmarkEnd w:id="49"/>
      <w:bookmarkStart w:id="50" w:name="_Toc184314440"/>
      <w:bookmarkEnd w:id="50"/>
      <w:bookmarkStart w:id="51" w:name="_Toc184312082"/>
      <w:bookmarkEnd w:id="51"/>
      <w:bookmarkStart w:id="52" w:name="_Toc184313284"/>
      <w:bookmarkEnd w:id="52"/>
      <w:bookmarkStart w:id="53" w:name="_Toc184314424"/>
      <w:bookmarkEnd w:id="53"/>
      <w:bookmarkStart w:id="54" w:name="_Toc184314463"/>
      <w:bookmarkEnd w:id="54"/>
      <w:bookmarkStart w:id="55" w:name="_Toc184313299"/>
      <w:bookmarkEnd w:id="55"/>
      <w:bookmarkStart w:id="56" w:name="_Toc184313259"/>
      <w:bookmarkEnd w:id="56"/>
      <w:bookmarkStart w:id="57" w:name="_Toc184308040"/>
      <w:bookmarkEnd w:id="57"/>
      <w:bookmarkStart w:id="58" w:name="_Toc184312092"/>
      <w:bookmarkEnd w:id="58"/>
      <w:bookmarkStart w:id="59" w:name="_Toc184310303"/>
      <w:bookmarkEnd w:id="59"/>
      <w:bookmarkStart w:id="60" w:name="_Toc184312077"/>
      <w:bookmarkEnd w:id="60"/>
      <w:bookmarkStart w:id="61" w:name="_Toc184312130"/>
      <w:bookmarkEnd w:id="61"/>
      <w:bookmarkStart w:id="62" w:name="_Toc184308090"/>
      <w:bookmarkEnd w:id="62"/>
      <w:bookmarkStart w:id="63" w:name="_Toc184308048"/>
      <w:bookmarkEnd w:id="63"/>
      <w:bookmarkStart w:id="64" w:name="_Toc184312096"/>
      <w:bookmarkEnd w:id="64"/>
      <w:bookmarkStart w:id="65" w:name="_Toc184314474"/>
      <w:bookmarkEnd w:id="65"/>
      <w:bookmarkStart w:id="66" w:name="_Toc184312112"/>
      <w:bookmarkEnd w:id="66"/>
      <w:bookmarkStart w:id="67" w:name="_Toc184313239"/>
      <w:bookmarkEnd w:id="67"/>
      <w:bookmarkStart w:id="68" w:name="_Toc184310275"/>
      <w:bookmarkEnd w:id="68"/>
      <w:bookmarkStart w:id="69" w:name="_Toc184312087"/>
      <w:bookmarkEnd w:id="69"/>
      <w:bookmarkStart w:id="70" w:name="_Toc184314443"/>
      <w:bookmarkEnd w:id="70"/>
      <w:bookmarkStart w:id="71" w:name="_Toc184312121"/>
      <w:bookmarkEnd w:id="71"/>
      <w:bookmarkStart w:id="72" w:name="_Toc184312089"/>
      <w:bookmarkEnd w:id="72"/>
      <w:bookmarkStart w:id="73" w:name="_Toc184312123"/>
      <w:bookmarkEnd w:id="73"/>
      <w:bookmarkStart w:id="74" w:name="_Toc184314432"/>
      <w:bookmarkEnd w:id="74"/>
      <w:bookmarkStart w:id="75" w:name="_Toc184313308"/>
      <w:bookmarkEnd w:id="75"/>
      <w:bookmarkStart w:id="76" w:name="_Toc184313241"/>
      <w:bookmarkEnd w:id="76"/>
      <w:bookmarkStart w:id="77" w:name="_Toc184308064"/>
      <w:bookmarkEnd w:id="77"/>
      <w:bookmarkStart w:id="78" w:name="_Toc184310335"/>
      <w:bookmarkEnd w:id="78"/>
      <w:bookmarkStart w:id="79" w:name="_Toc184308099"/>
      <w:bookmarkEnd w:id="79"/>
      <w:bookmarkStart w:id="80" w:name="_Toc184312104"/>
      <w:bookmarkEnd w:id="80"/>
      <w:bookmarkStart w:id="81" w:name="_Toc184312135"/>
      <w:bookmarkEnd w:id="81"/>
      <w:bookmarkStart w:id="82" w:name="_Toc184308097"/>
      <w:bookmarkEnd w:id="82"/>
      <w:bookmarkStart w:id="83" w:name="_Toc184312084"/>
      <w:bookmarkEnd w:id="83"/>
      <w:bookmarkStart w:id="84" w:name="_Toc184312108"/>
      <w:bookmarkEnd w:id="84"/>
      <w:bookmarkStart w:id="85" w:name="_Toc184313304"/>
      <w:bookmarkEnd w:id="85"/>
      <w:bookmarkStart w:id="86" w:name="_Toc184308068"/>
      <w:bookmarkEnd w:id="86"/>
      <w:bookmarkStart w:id="87" w:name="_Toc184310328"/>
      <w:bookmarkEnd w:id="87"/>
      <w:bookmarkStart w:id="88" w:name="_Toc184314458"/>
      <w:bookmarkEnd w:id="88"/>
      <w:bookmarkStart w:id="89" w:name="_Toc184314419"/>
      <w:bookmarkEnd w:id="89"/>
      <w:bookmarkStart w:id="90" w:name="_Toc184314477"/>
      <w:bookmarkEnd w:id="90"/>
      <w:bookmarkStart w:id="91" w:name="_Toc184312120"/>
      <w:bookmarkEnd w:id="91"/>
      <w:bookmarkStart w:id="92" w:name="_Toc184314434"/>
      <w:bookmarkEnd w:id="92"/>
      <w:bookmarkStart w:id="93" w:name="_Toc184310317"/>
      <w:bookmarkEnd w:id="93"/>
      <w:bookmarkStart w:id="94" w:name="_Toc184312134"/>
      <w:bookmarkEnd w:id="94"/>
      <w:bookmarkStart w:id="95" w:name="_Toc184312114"/>
      <w:bookmarkEnd w:id="95"/>
      <w:bookmarkStart w:id="96" w:name="_Toc184308061"/>
      <w:bookmarkEnd w:id="96"/>
      <w:bookmarkStart w:id="97" w:name="_Toc184312116"/>
      <w:bookmarkEnd w:id="97"/>
      <w:bookmarkStart w:id="98" w:name="_Toc184313303"/>
      <w:bookmarkEnd w:id="98"/>
      <w:bookmarkStart w:id="99" w:name="_Toc184308046"/>
      <w:bookmarkEnd w:id="99"/>
      <w:bookmarkStart w:id="100" w:name="_Toc184308055"/>
      <w:bookmarkEnd w:id="100"/>
      <w:bookmarkStart w:id="101" w:name="_Toc184310301"/>
      <w:bookmarkEnd w:id="101"/>
      <w:bookmarkStart w:id="102" w:name="_Toc184313248"/>
      <w:bookmarkEnd w:id="102"/>
      <w:bookmarkStart w:id="103" w:name="_Toc184313288"/>
      <w:bookmarkEnd w:id="103"/>
      <w:bookmarkStart w:id="104" w:name="_Toc184310293"/>
      <w:bookmarkEnd w:id="104"/>
      <w:bookmarkStart w:id="105" w:name="_Toc184314475"/>
      <w:bookmarkEnd w:id="105"/>
      <w:bookmarkStart w:id="106" w:name="_Toc184312117"/>
      <w:bookmarkEnd w:id="106"/>
      <w:bookmarkStart w:id="107" w:name="_Toc184313300"/>
      <w:bookmarkEnd w:id="107"/>
      <w:bookmarkStart w:id="108" w:name="_Toc184308085"/>
      <w:bookmarkEnd w:id="108"/>
      <w:bookmarkStart w:id="109" w:name="_Toc184308101"/>
      <w:bookmarkEnd w:id="109"/>
      <w:bookmarkStart w:id="110" w:name="_Toc184308075"/>
      <w:bookmarkEnd w:id="110"/>
      <w:bookmarkStart w:id="111" w:name="_Toc184310340"/>
      <w:bookmarkEnd w:id="111"/>
      <w:bookmarkStart w:id="112" w:name="_Toc184314465"/>
      <w:bookmarkEnd w:id="112"/>
      <w:bookmarkStart w:id="113" w:name="_Toc184308057"/>
      <w:bookmarkEnd w:id="113"/>
      <w:bookmarkStart w:id="114" w:name="_Toc184314470"/>
      <w:bookmarkEnd w:id="114"/>
      <w:bookmarkStart w:id="115" w:name="_Toc184308065"/>
      <w:bookmarkEnd w:id="115"/>
      <w:bookmarkStart w:id="116" w:name="_Toc184310286"/>
      <w:bookmarkEnd w:id="116"/>
      <w:bookmarkStart w:id="117" w:name="_Toc184313267"/>
      <w:bookmarkEnd w:id="117"/>
      <w:bookmarkStart w:id="118" w:name="_Toc184308037"/>
      <w:bookmarkEnd w:id="118"/>
      <w:bookmarkStart w:id="119" w:name="_Toc184308098"/>
      <w:bookmarkEnd w:id="119"/>
      <w:bookmarkStart w:id="120" w:name="_Toc184314452"/>
      <w:bookmarkEnd w:id="120"/>
      <w:bookmarkStart w:id="121" w:name="_Toc184312068"/>
      <w:bookmarkEnd w:id="121"/>
      <w:bookmarkStart w:id="122" w:name="_Toc184313257"/>
      <w:bookmarkEnd w:id="122"/>
      <w:bookmarkStart w:id="123" w:name="_Toc184312094"/>
      <w:bookmarkEnd w:id="123"/>
      <w:bookmarkStart w:id="124" w:name="_Toc184314412"/>
      <w:bookmarkEnd w:id="124"/>
      <w:bookmarkStart w:id="125" w:name="_Toc184312072"/>
      <w:bookmarkEnd w:id="125"/>
      <w:bookmarkStart w:id="126" w:name="_Toc184308058"/>
      <w:bookmarkEnd w:id="126"/>
      <w:bookmarkStart w:id="127" w:name="_Toc184312119"/>
      <w:bookmarkEnd w:id="127"/>
      <w:bookmarkStart w:id="128" w:name="_Toc184313278"/>
      <w:bookmarkEnd w:id="128"/>
      <w:bookmarkStart w:id="129" w:name="_Toc184310272"/>
      <w:bookmarkEnd w:id="129"/>
      <w:bookmarkStart w:id="130" w:name="_Toc184310304"/>
      <w:bookmarkEnd w:id="130"/>
      <w:bookmarkStart w:id="131" w:name="_Toc184312125"/>
      <w:bookmarkEnd w:id="131"/>
      <w:bookmarkStart w:id="132" w:name="_Toc184313242"/>
      <w:bookmarkEnd w:id="132"/>
      <w:bookmarkStart w:id="133" w:name="_Toc184312110"/>
      <w:bookmarkEnd w:id="133"/>
      <w:bookmarkStart w:id="134" w:name="_Toc184308088"/>
      <w:bookmarkEnd w:id="134"/>
      <w:bookmarkStart w:id="135" w:name="_Toc184313247"/>
      <w:bookmarkEnd w:id="135"/>
      <w:bookmarkStart w:id="136" w:name="_Toc184314481"/>
      <w:bookmarkEnd w:id="136"/>
      <w:bookmarkStart w:id="137" w:name="_Toc184312069"/>
      <w:bookmarkEnd w:id="137"/>
      <w:bookmarkStart w:id="138" w:name="_Toc184313255"/>
      <w:bookmarkEnd w:id="138"/>
      <w:bookmarkStart w:id="139" w:name="_Toc184313250"/>
      <w:bookmarkEnd w:id="139"/>
      <w:bookmarkStart w:id="140" w:name="_Toc184310280"/>
      <w:bookmarkEnd w:id="140"/>
      <w:bookmarkStart w:id="141" w:name="_Toc184308036"/>
      <w:bookmarkEnd w:id="141"/>
      <w:bookmarkStart w:id="142" w:name="_Toc184308054"/>
      <w:bookmarkEnd w:id="142"/>
      <w:bookmarkStart w:id="143" w:name="_Toc184313296"/>
      <w:bookmarkEnd w:id="143"/>
      <w:bookmarkStart w:id="144" w:name="_Toc184314426"/>
      <w:bookmarkEnd w:id="144"/>
      <w:bookmarkStart w:id="145" w:name="_Toc184310325"/>
      <w:bookmarkEnd w:id="145"/>
      <w:bookmarkStart w:id="146" w:name="_Toc184314429"/>
      <w:bookmarkEnd w:id="146"/>
      <w:bookmarkStart w:id="147" w:name="_Toc184313268"/>
      <w:bookmarkEnd w:id="147"/>
      <w:bookmarkStart w:id="148" w:name="_Toc184313310"/>
      <w:bookmarkEnd w:id="148"/>
      <w:bookmarkStart w:id="149" w:name="_Toc184310329"/>
      <w:bookmarkEnd w:id="149"/>
      <w:bookmarkStart w:id="150" w:name="_Toc184308047"/>
      <w:bookmarkEnd w:id="150"/>
      <w:bookmarkStart w:id="151" w:name="_Toc184310327"/>
      <w:bookmarkEnd w:id="151"/>
      <w:bookmarkStart w:id="152" w:name="_Toc184308073"/>
      <w:bookmarkEnd w:id="152"/>
      <w:bookmarkStart w:id="153" w:name="_Toc184313289"/>
      <w:bookmarkEnd w:id="153"/>
      <w:bookmarkStart w:id="154" w:name="_Toc184308084"/>
      <w:bookmarkEnd w:id="154"/>
      <w:bookmarkStart w:id="155" w:name="_Toc184310331"/>
      <w:bookmarkEnd w:id="155"/>
      <w:bookmarkStart w:id="156" w:name="_Toc184310273"/>
      <w:bookmarkEnd w:id="156"/>
      <w:bookmarkStart w:id="157" w:name="_Toc184313280"/>
      <w:bookmarkEnd w:id="157"/>
      <w:bookmarkStart w:id="158" w:name="_Toc184313279"/>
      <w:bookmarkEnd w:id="158"/>
      <w:bookmarkStart w:id="159" w:name="_Toc184308107"/>
      <w:bookmarkEnd w:id="159"/>
      <w:bookmarkStart w:id="160" w:name="_Toc184312131"/>
      <w:bookmarkEnd w:id="160"/>
      <w:bookmarkStart w:id="161" w:name="_Toc184312088"/>
      <w:bookmarkEnd w:id="161"/>
      <w:bookmarkStart w:id="162" w:name="_Toc184308081"/>
      <w:bookmarkEnd w:id="162"/>
      <w:bookmarkStart w:id="163" w:name="_Toc184312091"/>
      <w:bookmarkEnd w:id="163"/>
      <w:bookmarkStart w:id="164" w:name="_Toc184308070"/>
      <w:bookmarkEnd w:id="164"/>
      <w:bookmarkStart w:id="165" w:name="_Toc184308095"/>
      <w:bookmarkEnd w:id="165"/>
      <w:bookmarkStart w:id="166" w:name="_Toc184312128"/>
      <w:bookmarkEnd w:id="166"/>
      <w:bookmarkStart w:id="167" w:name="_Toc184310295"/>
      <w:bookmarkEnd w:id="167"/>
      <w:bookmarkStart w:id="168" w:name="_Toc184313286"/>
      <w:bookmarkEnd w:id="168"/>
      <w:bookmarkStart w:id="169" w:name="_Toc184314464"/>
      <w:bookmarkEnd w:id="169"/>
      <w:bookmarkStart w:id="170" w:name="_Toc184310315"/>
      <w:bookmarkEnd w:id="170"/>
      <w:bookmarkStart w:id="171" w:name="_Toc184308045"/>
      <w:bookmarkEnd w:id="171"/>
      <w:bookmarkStart w:id="172" w:name="_Toc184308092"/>
      <w:bookmarkEnd w:id="172"/>
      <w:bookmarkStart w:id="173" w:name="_Toc184308050"/>
      <w:bookmarkEnd w:id="173"/>
      <w:bookmarkStart w:id="174" w:name="_Toc184312075"/>
      <w:bookmarkEnd w:id="174"/>
      <w:bookmarkStart w:id="175" w:name="_Toc184310299"/>
      <w:bookmarkEnd w:id="175"/>
      <w:bookmarkStart w:id="176" w:name="_Toc184312079"/>
      <w:bookmarkEnd w:id="176"/>
      <w:bookmarkStart w:id="177" w:name="_Toc184313306"/>
      <w:bookmarkEnd w:id="177"/>
      <w:bookmarkStart w:id="178" w:name="_Toc184314444"/>
      <w:bookmarkEnd w:id="178"/>
      <w:bookmarkStart w:id="179" w:name="_Toc184313282"/>
      <w:bookmarkEnd w:id="179"/>
      <w:bookmarkStart w:id="180" w:name="_Toc184312133"/>
      <w:bookmarkEnd w:id="180"/>
      <w:bookmarkStart w:id="181" w:name="_Toc184310281"/>
      <w:bookmarkEnd w:id="181"/>
      <w:bookmarkStart w:id="182" w:name="_Toc184308076"/>
      <w:bookmarkEnd w:id="182"/>
      <w:bookmarkStart w:id="183" w:name="_Toc184314411"/>
      <w:bookmarkEnd w:id="183"/>
      <w:bookmarkStart w:id="184" w:name="_Toc184310324"/>
      <w:bookmarkEnd w:id="184"/>
      <w:bookmarkStart w:id="185" w:name="_Toc184308072"/>
      <w:bookmarkEnd w:id="185"/>
      <w:bookmarkStart w:id="186" w:name="_Toc184313265"/>
      <w:bookmarkEnd w:id="186"/>
      <w:bookmarkStart w:id="187" w:name="_Toc184312118"/>
      <w:bookmarkEnd w:id="187"/>
      <w:bookmarkStart w:id="188" w:name="_Toc184310319"/>
      <w:bookmarkEnd w:id="188"/>
      <w:bookmarkStart w:id="189" w:name="_Toc184314472"/>
      <w:bookmarkEnd w:id="189"/>
      <w:bookmarkStart w:id="190" w:name="_Toc184314413"/>
      <w:bookmarkEnd w:id="190"/>
      <w:bookmarkStart w:id="191" w:name="_Toc184310296"/>
      <w:bookmarkEnd w:id="191"/>
      <w:bookmarkStart w:id="192" w:name="_Toc184313302"/>
      <w:bookmarkEnd w:id="192"/>
      <w:bookmarkStart w:id="193" w:name="_Toc184313276"/>
      <w:bookmarkEnd w:id="193"/>
      <w:bookmarkStart w:id="194" w:name="_Toc184314446"/>
      <w:bookmarkEnd w:id="194"/>
      <w:bookmarkStart w:id="195" w:name="_Toc184314469"/>
      <w:bookmarkEnd w:id="195"/>
      <w:bookmarkStart w:id="196" w:name="_Toc184314427"/>
      <w:bookmarkEnd w:id="196"/>
      <w:bookmarkStart w:id="197" w:name="_Toc184310310"/>
      <w:bookmarkEnd w:id="197"/>
      <w:bookmarkStart w:id="198" w:name="_Toc184310314"/>
      <w:bookmarkEnd w:id="198"/>
      <w:bookmarkStart w:id="199" w:name="_Toc184313295"/>
      <w:bookmarkEnd w:id="199"/>
      <w:bookmarkStart w:id="200" w:name="_Toc184312085"/>
      <w:bookmarkEnd w:id="200"/>
      <w:bookmarkStart w:id="201" w:name="_Toc184313294"/>
      <w:bookmarkEnd w:id="201"/>
      <w:bookmarkStart w:id="202" w:name="_Toc184314416"/>
      <w:bookmarkEnd w:id="202"/>
      <w:bookmarkStart w:id="203" w:name="_Toc184310339"/>
      <w:bookmarkEnd w:id="203"/>
      <w:bookmarkStart w:id="204" w:name="_Toc184313260"/>
      <w:bookmarkEnd w:id="204"/>
      <w:bookmarkStart w:id="205" w:name="_Toc184308056"/>
      <w:bookmarkEnd w:id="205"/>
      <w:bookmarkStart w:id="206" w:name="_Toc184312139"/>
      <w:bookmarkEnd w:id="206"/>
      <w:bookmarkStart w:id="207" w:name="_Toc184312086"/>
      <w:bookmarkEnd w:id="207"/>
      <w:bookmarkStart w:id="208" w:name="_Toc184308091"/>
      <w:bookmarkEnd w:id="208"/>
      <w:bookmarkStart w:id="209" w:name="_Toc184314448"/>
      <w:bookmarkEnd w:id="209"/>
      <w:bookmarkStart w:id="210" w:name="_Toc184314417"/>
      <w:bookmarkEnd w:id="210"/>
      <w:bookmarkStart w:id="211" w:name="_Toc184310277"/>
      <w:bookmarkEnd w:id="211"/>
      <w:bookmarkStart w:id="212" w:name="_Toc184313252"/>
      <w:bookmarkEnd w:id="212"/>
      <w:bookmarkStart w:id="213" w:name="_Toc184313275"/>
      <w:bookmarkEnd w:id="213"/>
      <w:bookmarkStart w:id="214" w:name="_Toc184312124"/>
      <w:bookmarkEnd w:id="214"/>
      <w:bookmarkStart w:id="215" w:name="_Toc184313277"/>
      <w:bookmarkEnd w:id="215"/>
      <w:bookmarkStart w:id="216" w:name="_Toc184314431"/>
      <w:bookmarkEnd w:id="216"/>
      <w:bookmarkStart w:id="217" w:name="_Toc184310276"/>
      <w:bookmarkEnd w:id="217"/>
      <w:bookmarkStart w:id="218" w:name="_Toc184310300"/>
      <w:bookmarkEnd w:id="218"/>
      <w:bookmarkStart w:id="219" w:name="_Toc184312078"/>
      <w:bookmarkEnd w:id="219"/>
      <w:bookmarkStart w:id="220" w:name="_Toc184308096"/>
      <w:bookmarkEnd w:id="220"/>
      <w:bookmarkStart w:id="221" w:name="_Toc184310333"/>
      <w:bookmarkEnd w:id="221"/>
      <w:bookmarkStart w:id="222" w:name="_Toc184310342"/>
      <w:bookmarkEnd w:id="222"/>
      <w:bookmarkStart w:id="223" w:name="_Toc184310321"/>
      <w:bookmarkEnd w:id="223"/>
      <w:bookmarkStart w:id="224" w:name="_Toc184313261"/>
      <w:bookmarkEnd w:id="224"/>
      <w:bookmarkStart w:id="225" w:name="_Toc184314433"/>
      <w:bookmarkEnd w:id="225"/>
      <w:bookmarkStart w:id="226" w:name="_Toc184310284"/>
      <w:bookmarkEnd w:id="226"/>
      <w:bookmarkStart w:id="227" w:name="_Toc184312102"/>
      <w:bookmarkEnd w:id="227"/>
      <w:bookmarkStart w:id="228" w:name="_Toc184314421"/>
      <w:bookmarkEnd w:id="228"/>
      <w:bookmarkStart w:id="229" w:name="_Toc184313243"/>
      <w:bookmarkEnd w:id="229"/>
      <w:bookmarkStart w:id="230" w:name="_Toc184308041"/>
      <w:bookmarkEnd w:id="230"/>
      <w:bookmarkStart w:id="231" w:name="_Toc184310344"/>
      <w:bookmarkEnd w:id="231"/>
      <w:bookmarkStart w:id="232" w:name="_Toc184308079"/>
      <w:bookmarkEnd w:id="232"/>
      <w:bookmarkStart w:id="233" w:name="_Toc184308069"/>
      <w:bookmarkEnd w:id="233"/>
      <w:bookmarkStart w:id="234" w:name="_Toc184308108"/>
      <w:bookmarkEnd w:id="234"/>
      <w:bookmarkStart w:id="235" w:name="_Toc184308078"/>
      <w:bookmarkEnd w:id="235"/>
      <w:bookmarkStart w:id="236" w:name="_Toc184314445"/>
      <w:bookmarkEnd w:id="236"/>
      <w:bookmarkStart w:id="237" w:name="_Toc184312097"/>
      <w:bookmarkEnd w:id="237"/>
      <w:bookmarkStart w:id="238" w:name="_Toc184308086"/>
      <w:bookmarkEnd w:id="238"/>
      <w:bookmarkStart w:id="239" w:name="_Toc184310292"/>
      <w:bookmarkEnd w:id="239"/>
      <w:bookmarkStart w:id="240" w:name="_Toc184310278"/>
      <w:bookmarkEnd w:id="240"/>
      <w:bookmarkStart w:id="241" w:name="_Toc184310306"/>
      <w:bookmarkEnd w:id="241"/>
      <w:bookmarkStart w:id="242" w:name="_Toc184310285"/>
      <w:bookmarkEnd w:id="242"/>
      <w:bookmarkStart w:id="243" w:name="_Toc184308100"/>
      <w:bookmarkEnd w:id="243"/>
      <w:bookmarkStart w:id="244" w:name="_Toc184314415"/>
      <w:bookmarkEnd w:id="244"/>
      <w:bookmarkStart w:id="245" w:name="_Toc184313301"/>
      <w:bookmarkEnd w:id="245"/>
      <w:bookmarkStart w:id="246" w:name="_Toc184313263"/>
      <w:bookmarkEnd w:id="246"/>
      <w:bookmarkStart w:id="247" w:name="_Toc184308083"/>
      <w:bookmarkEnd w:id="247"/>
      <w:bookmarkStart w:id="248" w:name="_Toc184310291"/>
      <w:bookmarkEnd w:id="248"/>
      <w:bookmarkStart w:id="249" w:name="_Toc184312111"/>
      <w:bookmarkEnd w:id="249"/>
      <w:bookmarkStart w:id="250" w:name="_Toc184308066"/>
      <w:bookmarkEnd w:id="250"/>
      <w:bookmarkStart w:id="251" w:name="_Toc184308071"/>
      <w:bookmarkEnd w:id="251"/>
      <w:bookmarkStart w:id="252" w:name="_Toc184314478"/>
      <w:bookmarkEnd w:id="252"/>
      <w:bookmarkStart w:id="253" w:name="_Toc184313270"/>
      <w:bookmarkEnd w:id="253"/>
      <w:bookmarkStart w:id="254" w:name="_Toc184310323"/>
      <w:bookmarkEnd w:id="254"/>
      <w:bookmarkStart w:id="255" w:name="_Toc184314457"/>
      <w:bookmarkEnd w:id="255"/>
      <w:bookmarkStart w:id="256" w:name="_Toc184312099"/>
      <w:bookmarkEnd w:id="256"/>
      <w:bookmarkStart w:id="257" w:name="_Toc184310297"/>
      <w:bookmarkEnd w:id="257"/>
      <w:bookmarkStart w:id="258" w:name="_Toc184313246"/>
      <w:bookmarkEnd w:id="258"/>
      <w:bookmarkStart w:id="259" w:name="_Toc184310311"/>
      <w:bookmarkEnd w:id="259"/>
      <w:bookmarkStart w:id="260" w:name="_Toc184312081"/>
      <w:bookmarkEnd w:id="260"/>
      <w:bookmarkStart w:id="261" w:name="_Toc184310307"/>
      <w:bookmarkEnd w:id="261"/>
      <w:bookmarkStart w:id="262" w:name="_Toc184310298"/>
      <w:bookmarkEnd w:id="262"/>
      <w:bookmarkStart w:id="263" w:name="_Toc184312076"/>
      <w:bookmarkEnd w:id="263"/>
      <w:bookmarkStart w:id="264" w:name="_Toc184313287"/>
      <w:bookmarkEnd w:id="264"/>
      <w:bookmarkStart w:id="265" w:name="_Toc184312122"/>
      <w:bookmarkEnd w:id="265"/>
      <w:bookmarkStart w:id="266" w:name="_Toc184312105"/>
      <w:bookmarkEnd w:id="266"/>
      <w:bookmarkStart w:id="267" w:name="_Toc184310313"/>
      <w:bookmarkEnd w:id="267"/>
      <w:bookmarkStart w:id="268" w:name="_Toc184312126"/>
      <w:bookmarkEnd w:id="268"/>
      <w:bookmarkStart w:id="269" w:name="_Toc184313290"/>
      <w:bookmarkEnd w:id="269"/>
      <w:bookmarkStart w:id="270" w:name="_Toc184308080"/>
      <w:bookmarkEnd w:id="270"/>
      <w:bookmarkStart w:id="271" w:name="_Toc184310305"/>
      <w:bookmarkEnd w:id="271"/>
      <w:bookmarkStart w:id="272" w:name="_Toc184312098"/>
      <w:bookmarkEnd w:id="272"/>
      <w:bookmarkStart w:id="273" w:name="_Toc184310288"/>
      <w:bookmarkEnd w:id="273"/>
      <w:bookmarkStart w:id="274" w:name="_Toc184308104"/>
      <w:bookmarkEnd w:id="274"/>
      <w:bookmarkStart w:id="275" w:name="_Toc184313253"/>
      <w:bookmarkEnd w:id="275"/>
      <w:bookmarkStart w:id="276" w:name="_Toc184313240"/>
      <w:bookmarkEnd w:id="276"/>
      <w:bookmarkStart w:id="277" w:name="_Toc184314454"/>
      <w:bookmarkEnd w:id="277"/>
      <w:bookmarkStart w:id="278" w:name="_Toc184314471"/>
      <w:bookmarkEnd w:id="278"/>
      <w:bookmarkStart w:id="279" w:name="_Toc184308051"/>
      <w:bookmarkEnd w:id="279"/>
      <w:bookmarkStart w:id="280" w:name="_Toc184314476"/>
      <w:bookmarkEnd w:id="280"/>
      <w:bookmarkStart w:id="281" w:name="_Toc184308077"/>
      <w:bookmarkEnd w:id="281"/>
      <w:bookmarkStart w:id="282" w:name="_Toc184314451"/>
      <w:bookmarkEnd w:id="282"/>
      <w:bookmarkStart w:id="283" w:name="_Toc184308060"/>
      <w:bookmarkEnd w:id="283"/>
      <w:bookmarkStart w:id="284" w:name="_Toc184310334"/>
      <w:bookmarkEnd w:id="284"/>
      <w:bookmarkStart w:id="285" w:name="_Toc184310322"/>
      <w:bookmarkEnd w:id="285"/>
      <w:bookmarkStart w:id="286" w:name="_Toc184310294"/>
      <w:bookmarkEnd w:id="286"/>
      <w:bookmarkStart w:id="287" w:name="_Toc184312080"/>
      <w:bookmarkEnd w:id="287"/>
      <w:bookmarkStart w:id="288" w:name="_Toc184314422"/>
      <w:bookmarkEnd w:id="288"/>
      <w:bookmarkStart w:id="289" w:name="_Toc184314441"/>
      <w:bookmarkEnd w:id="289"/>
      <w:bookmarkStart w:id="290" w:name="_Toc184310336"/>
      <w:bookmarkEnd w:id="290"/>
      <w:bookmarkStart w:id="291" w:name="_Toc184312138"/>
      <w:bookmarkEnd w:id="291"/>
      <w:bookmarkStart w:id="292" w:name="_Toc184310309"/>
      <w:bookmarkEnd w:id="292"/>
      <w:bookmarkStart w:id="293" w:name="_Toc184314480"/>
      <w:bookmarkEnd w:id="293"/>
      <w:bookmarkStart w:id="294" w:name="_Toc184312100"/>
      <w:bookmarkEnd w:id="294"/>
      <w:bookmarkStart w:id="295" w:name="_Toc184308094"/>
      <w:bookmarkEnd w:id="295"/>
      <w:bookmarkStart w:id="296" w:name="_Toc184313264"/>
      <w:bookmarkEnd w:id="296"/>
      <w:bookmarkStart w:id="297" w:name="_Toc184313254"/>
      <w:bookmarkEnd w:id="297"/>
      <w:bookmarkStart w:id="298" w:name="_Toc184314425"/>
      <w:bookmarkEnd w:id="298"/>
      <w:bookmarkStart w:id="299" w:name="_Toc184310282"/>
      <w:bookmarkEnd w:id="299"/>
      <w:bookmarkStart w:id="300" w:name="_Toc184310274"/>
      <w:bookmarkEnd w:id="300"/>
      <w:bookmarkStart w:id="301" w:name="_Toc184314447"/>
      <w:bookmarkEnd w:id="301"/>
      <w:bookmarkStart w:id="302" w:name="_Toc184312113"/>
      <w:bookmarkEnd w:id="302"/>
      <w:bookmarkStart w:id="303" w:name="_Toc184312107"/>
      <w:bookmarkEnd w:id="303"/>
      <w:bookmarkStart w:id="304" w:name="_Toc184310337"/>
      <w:bookmarkEnd w:id="304"/>
      <w:bookmarkStart w:id="305" w:name="_Toc184314442"/>
      <w:bookmarkEnd w:id="305"/>
      <w:bookmarkStart w:id="306" w:name="_Toc184313309"/>
      <w:bookmarkEnd w:id="306"/>
      <w:bookmarkStart w:id="307" w:name="_Toc184308093"/>
      <w:bookmarkEnd w:id="307"/>
      <w:bookmarkStart w:id="308" w:name="_Toc184312136"/>
      <w:bookmarkEnd w:id="308"/>
      <w:bookmarkStart w:id="309" w:name="_Toc184308042"/>
      <w:bookmarkEnd w:id="309"/>
      <w:bookmarkStart w:id="310" w:name="_Toc184314473"/>
      <w:bookmarkEnd w:id="310"/>
      <w:bookmarkStart w:id="311" w:name="_Toc184312073"/>
      <w:bookmarkEnd w:id="311"/>
      <w:bookmarkStart w:id="312" w:name="_Toc184312129"/>
      <w:bookmarkEnd w:id="312"/>
      <w:bookmarkStart w:id="313" w:name="_Toc184308089"/>
      <w:bookmarkEnd w:id="313"/>
      <w:bookmarkStart w:id="314" w:name="_Toc184313262"/>
      <w:bookmarkEnd w:id="314"/>
      <w:bookmarkStart w:id="315" w:name="_Toc184314467"/>
      <w:bookmarkEnd w:id="315"/>
      <w:bookmarkStart w:id="316" w:name="_Toc184308062"/>
      <w:bookmarkEnd w:id="316"/>
      <w:bookmarkStart w:id="317" w:name="_Toc184308082"/>
      <w:bookmarkEnd w:id="317"/>
      <w:bookmarkStart w:id="318" w:name="_Toc184310326"/>
      <w:bookmarkEnd w:id="318"/>
      <w:bookmarkStart w:id="319" w:name="_Toc184314479"/>
      <w:bookmarkEnd w:id="319"/>
      <w:bookmarkStart w:id="320" w:name="_Toc184313251"/>
      <w:bookmarkEnd w:id="320"/>
      <w:bookmarkStart w:id="321" w:name="_Toc184308103"/>
      <w:bookmarkEnd w:id="321"/>
      <w:bookmarkStart w:id="322" w:name="_Toc184312127"/>
      <w:bookmarkEnd w:id="322"/>
      <w:bookmarkStart w:id="323" w:name="_Toc184308105"/>
      <w:bookmarkEnd w:id="323"/>
      <w:bookmarkStart w:id="324" w:name="_Toc184313266"/>
      <w:bookmarkEnd w:id="324"/>
      <w:bookmarkStart w:id="325" w:name="_Toc184314459"/>
      <w:bookmarkEnd w:id="325"/>
      <w:bookmarkStart w:id="326" w:name="_Toc184314450"/>
      <w:bookmarkEnd w:id="326"/>
      <w:bookmarkStart w:id="327" w:name="_Toc184310330"/>
      <w:bookmarkEnd w:id="327"/>
      <w:bookmarkStart w:id="328" w:name="_Toc184314437"/>
      <w:bookmarkEnd w:id="328"/>
      <w:bookmarkStart w:id="329" w:name="_Toc184314435"/>
      <w:bookmarkEnd w:id="329"/>
      <w:bookmarkStart w:id="330" w:name="_Toc184314436"/>
      <w:bookmarkEnd w:id="330"/>
      <w:bookmarkStart w:id="331" w:name="_Toc184313293"/>
      <w:bookmarkEnd w:id="331"/>
      <w:bookmarkStart w:id="332" w:name="_Toc184313258"/>
      <w:bookmarkEnd w:id="332"/>
      <w:bookmarkStart w:id="333" w:name="_Toc184310312"/>
      <w:bookmarkEnd w:id="333"/>
      <w:bookmarkStart w:id="334" w:name="_Toc184314430"/>
      <w:bookmarkEnd w:id="334"/>
      <w:bookmarkStart w:id="335" w:name="_Toc184308049"/>
      <w:bookmarkEnd w:id="335"/>
      <w:bookmarkStart w:id="336" w:name="_Toc184313273"/>
      <w:bookmarkEnd w:id="336"/>
      <w:bookmarkStart w:id="337" w:name="_Toc184313249"/>
      <w:bookmarkEnd w:id="337"/>
      <w:bookmarkStart w:id="338" w:name="_Toc184312106"/>
      <w:bookmarkEnd w:id="338"/>
      <w:bookmarkStart w:id="339" w:name="_Toc184308059"/>
      <w:bookmarkEnd w:id="339"/>
      <w:bookmarkStart w:id="340" w:name="_Toc184314462"/>
      <w:bookmarkEnd w:id="340"/>
      <w:bookmarkStart w:id="341" w:name="_Toc184313285"/>
      <w:bookmarkEnd w:id="341"/>
      <w:bookmarkStart w:id="342" w:name="_Toc184312090"/>
      <w:bookmarkEnd w:id="342"/>
      <w:bookmarkStart w:id="343" w:name="_Toc184314456"/>
      <w:bookmarkEnd w:id="343"/>
      <w:bookmarkStart w:id="344" w:name="_Toc184313238"/>
      <w:bookmarkEnd w:id="344"/>
      <w:bookmarkStart w:id="345" w:name="_Toc184313269"/>
      <w:bookmarkEnd w:id="345"/>
      <w:bookmarkStart w:id="346" w:name="_Toc184308067"/>
      <w:bookmarkEnd w:id="346"/>
      <w:bookmarkStart w:id="347" w:name="_Toc184314438"/>
      <w:bookmarkEnd w:id="347"/>
      <w:bookmarkStart w:id="348" w:name="_Toc184310287"/>
      <w:bookmarkEnd w:id="348"/>
      <w:bookmarkStart w:id="349" w:name="_Toc184312071"/>
      <w:bookmarkEnd w:id="349"/>
      <w:bookmarkStart w:id="350" w:name="_Toc184313307"/>
      <w:bookmarkEnd w:id="350"/>
      <w:bookmarkStart w:id="351" w:name="_Toc184313291"/>
      <w:bookmarkEnd w:id="351"/>
      <w:bookmarkStart w:id="352" w:name="_Toc184310338"/>
      <w:bookmarkEnd w:id="352"/>
      <w:bookmarkStart w:id="353" w:name="_Toc184313305"/>
      <w:bookmarkEnd w:id="353"/>
      <w:bookmarkStart w:id="354" w:name="_Toc184313281"/>
      <w:bookmarkEnd w:id="354"/>
      <w:bookmarkStart w:id="355" w:name="_Toc184314482"/>
      <w:bookmarkEnd w:id="355"/>
      <w:bookmarkStart w:id="356" w:name="_Toc184314468"/>
      <w:bookmarkEnd w:id="356"/>
      <w:bookmarkStart w:id="357" w:name="_Toc184308063"/>
      <w:bookmarkEnd w:id="357"/>
      <w:bookmarkStart w:id="358" w:name="_Toc184312067"/>
      <w:bookmarkEnd w:id="358"/>
      <w:bookmarkStart w:id="359" w:name="_Toc184310318"/>
      <w:bookmarkEnd w:id="359"/>
      <w:bookmarkStart w:id="360" w:name="_Toc184314449"/>
      <w:bookmarkEnd w:id="360"/>
      <w:bookmarkStart w:id="361" w:name="_Toc184312070"/>
      <w:bookmarkEnd w:id="361"/>
      <w:bookmarkStart w:id="362" w:name="_Toc184314460"/>
      <w:bookmarkEnd w:id="362"/>
      <w:bookmarkStart w:id="363" w:name="_Toc184313283"/>
      <w:bookmarkEnd w:id="363"/>
      <w:bookmarkStart w:id="364" w:name="_Toc184314455"/>
      <w:bookmarkEnd w:id="364"/>
      <w:bookmarkStart w:id="365" w:name="_Toc184312074"/>
      <w:bookmarkEnd w:id="365"/>
      <w:bookmarkStart w:id="366" w:name="_Toc184308044"/>
      <w:bookmarkEnd w:id="366"/>
      <w:bookmarkStart w:id="367" w:name="_Toc184312115"/>
      <w:bookmarkEnd w:id="367"/>
      <w:bookmarkStart w:id="368" w:name="_Toc184314420"/>
      <w:bookmarkEnd w:id="368"/>
      <w:bookmarkStart w:id="369" w:name="_Toc184313244"/>
      <w:bookmarkEnd w:id="369"/>
      <w:bookmarkStart w:id="370" w:name="_Toc184312101"/>
      <w:bookmarkEnd w:id="370"/>
      <w:bookmarkStart w:id="371" w:name="_Toc184313274"/>
      <w:bookmarkEnd w:id="371"/>
      <w:bookmarkStart w:id="372" w:name="_Toc184310343"/>
      <w:bookmarkEnd w:id="372"/>
      <w:bookmarkStart w:id="373" w:name="_Toc184308052"/>
      <w:bookmarkEnd w:id="373"/>
      <w:bookmarkStart w:id="374" w:name="_Toc184308039"/>
      <w:bookmarkEnd w:id="374"/>
      <w:bookmarkStart w:id="375" w:name="_Toc184314461"/>
      <w:bookmarkEnd w:id="375"/>
      <w:bookmarkStart w:id="376" w:name="_Toc184314428"/>
      <w:bookmarkEnd w:id="376"/>
      <w:bookmarkStart w:id="377" w:name="_Toc184313271"/>
      <w:bookmarkEnd w:id="377"/>
      <w:bookmarkStart w:id="378" w:name="_Toc184313256"/>
      <w:bookmarkEnd w:id="378"/>
      <w:bookmarkStart w:id="379" w:name="_Toc184310283"/>
      <w:bookmarkEnd w:id="379"/>
      <w:bookmarkStart w:id="380" w:name="_Toc184314414"/>
      <w:bookmarkEnd w:id="380"/>
      <w:bookmarkStart w:id="381" w:name="_Toc184313292"/>
      <w:bookmarkEnd w:id="381"/>
      <w:bookmarkStart w:id="382" w:name="_Toc184310302"/>
      <w:bookmarkEnd w:id="382"/>
      <w:bookmarkStart w:id="383" w:name="_Toc184314410"/>
      <w:bookmarkEnd w:id="383"/>
      <w:bookmarkStart w:id="384" w:name="_Toc184310289"/>
      <w:bookmarkEnd w:id="384"/>
      <w:bookmarkStart w:id="385" w:name="_Toc184310320"/>
      <w:bookmarkEnd w:id="385"/>
      <w:bookmarkStart w:id="386" w:name="_Toc184310316"/>
      <w:bookmarkEnd w:id="386"/>
      <w:bookmarkStart w:id="387" w:name="_Toc184312095"/>
      <w:bookmarkEnd w:id="387"/>
      <w:bookmarkStart w:id="388" w:name="_Toc184312103"/>
      <w:bookmarkEnd w:id="388"/>
      <w:bookmarkStart w:id="389" w:name="_Toc184310332"/>
      <w:bookmarkEnd w:id="389"/>
      <w:bookmarkStart w:id="390" w:name="_Toc184312093"/>
      <w:bookmarkEnd w:id="390"/>
      <w:bookmarkStart w:id="391" w:name="_Toc184314466"/>
      <w:bookmarkEnd w:id="391"/>
      <w:bookmarkStart w:id="392" w:name="_Toc184310279"/>
      <w:bookmarkEnd w:id="392"/>
      <w:bookmarkStart w:id="393" w:name="_Toc184308102"/>
      <w:bookmarkEnd w:id="393"/>
      <w:bookmarkStart w:id="394" w:name="_Toc184313297"/>
      <w:bookmarkEnd w:id="394"/>
      <w:bookmarkStart w:id="395" w:name="_Toc184312109"/>
      <w:bookmarkEnd w:id="395"/>
      <w:bookmarkStart w:id="396" w:name="_Toc184308053"/>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13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355"/>
        <w:gridCol w:w="7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535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评标标准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权重（分值）</w:t>
            </w:r>
          </w:p>
        </w:tc>
        <w:tc>
          <w:tcPr>
            <w:tcW w:w="1515" w:type="dxa"/>
          </w:tcPr>
          <w:p>
            <w:pPr>
              <w:snapToGrid w:val="0"/>
              <w:spacing w:line="360" w:lineRule="auto"/>
              <w:jc w:val="center"/>
              <w:rPr>
                <w:rFonts w:hint="eastAsia" w:ascii="宋体" w:hAnsi="宋体" w:eastAsia="宋体" w:cs="宋体"/>
                <w:color w:val="0000FF"/>
                <w:sz w:val="24"/>
                <w:szCs w:val="24"/>
              </w:rPr>
            </w:pPr>
            <w:r>
              <w:rPr>
                <w:rFonts w:hint="eastAsia" w:ascii="宋体" w:hAnsi="宋体" w:eastAsia="宋体" w:cs="宋体"/>
                <w:bCs/>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rPr>
              <w:t>1</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rPr>
              <w:t>具有ISO9001质量体系认证、ISO14001环境管理体系认证、</w:t>
            </w:r>
            <w:r>
              <w:rPr>
                <w:rFonts w:hint="eastAsia" w:ascii="宋体" w:hAnsi="宋体" w:eastAsia="宋体" w:cs="宋体"/>
                <w:color w:val="000000"/>
                <w:kern w:val="0"/>
                <w:sz w:val="24"/>
                <w:szCs w:val="24"/>
                <w:highlight w:val="none"/>
                <w:lang w:val="en-US" w:eastAsia="zh-CN"/>
              </w:rPr>
              <w:t>ISO45001</w:t>
            </w:r>
            <w:r>
              <w:rPr>
                <w:rFonts w:hint="eastAsia" w:ascii="宋体" w:hAnsi="宋体" w:eastAsia="宋体" w:cs="宋体"/>
                <w:color w:val="000000"/>
                <w:kern w:val="0"/>
                <w:sz w:val="24"/>
                <w:szCs w:val="24"/>
                <w:highlight w:val="none"/>
              </w:rPr>
              <w:t>职业健康安全管理体系认证，每具有一项体系认证证书得1分，没有不得分，最高得3分。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15" w:type="dxa"/>
            <w:vAlign w:val="center"/>
          </w:tcPr>
          <w:p>
            <w:pPr>
              <w:snapToGrid w:val="0"/>
              <w:jc w:val="center"/>
              <w:rPr>
                <w:rFonts w:hint="eastAsia" w:ascii="宋体" w:hAnsi="宋体" w:eastAsia="宋体" w:cs="宋体"/>
                <w:sz w:val="24"/>
                <w:szCs w:val="24"/>
              </w:rPr>
            </w:pPr>
          </w:p>
          <w:p>
            <w:pPr>
              <w:snapToGrid w:val="0"/>
              <w:jc w:val="center"/>
              <w:rPr>
                <w:rFonts w:hint="eastAsia" w:ascii="宋体" w:hAnsi="宋体" w:eastAsia="宋体" w:cs="宋体"/>
                <w:sz w:val="24"/>
                <w:szCs w:val="24"/>
              </w:rPr>
            </w:pPr>
            <w:r>
              <w:rPr>
                <w:rFonts w:hint="eastAsia" w:ascii="宋体" w:hAnsi="宋体" w:eastAsia="宋体" w:cs="宋体"/>
                <w:sz w:val="24"/>
                <w:szCs w:val="24"/>
              </w:rPr>
              <w:t>认证证书</w:t>
            </w:r>
          </w:p>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2</w:t>
            </w:r>
          </w:p>
        </w:tc>
        <w:tc>
          <w:tcPr>
            <w:tcW w:w="5355" w:type="dxa"/>
          </w:tcPr>
          <w:p>
            <w:pPr>
              <w:snapToGrid w:val="0"/>
              <w:spacing w:line="360" w:lineRule="auto"/>
              <w:jc w:val="left"/>
              <w:rPr>
                <w:rFonts w:hint="eastAsia" w:ascii="宋体" w:hAnsi="宋体" w:eastAsia="宋体" w:cs="宋体"/>
                <w:color w:val="000000"/>
                <w:kern w:val="0"/>
                <w:sz w:val="24"/>
                <w:szCs w:val="24"/>
              </w:rPr>
            </w:pPr>
            <w:r>
              <w:rPr>
                <w:rFonts w:hint="eastAsia" w:ascii="宋体" w:hAnsi="宋体" w:eastAsia="宋体" w:cs="宋体"/>
                <w:sz w:val="24"/>
                <w:szCs w:val="24"/>
              </w:rPr>
              <w:t>投标人自20</w:t>
            </w:r>
            <w:r>
              <w:rPr>
                <w:rFonts w:hint="default" w:ascii="宋体" w:hAnsi="宋体" w:cs="宋体"/>
                <w:sz w:val="24"/>
                <w:szCs w:val="24"/>
                <w:lang w:val="en-US"/>
              </w:rPr>
              <w:t>2</w:t>
            </w:r>
            <w:r>
              <w:rPr>
                <w:rFonts w:hint="eastAsia" w:ascii="宋体" w:hAnsi="宋体" w:cs="宋体"/>
                <w:sz w:val="24"/>
                <w:szCs w:val="24"/>
                <w:lang w:val="en-US" w:eastAsia="zh-CN"/>
              </w:rPr>
              <w:t>1</w:t>
            </w:r>
            <w:r>
              <w:rPr>
                <w:rFonts w:hint="eastAsia" w:ascii="宋体" w:hAnsi="宋体" w:eastAsia="宋体" w:cs="宋体"/>
                <w:sz w:val="24"/>
                <w:szCs w:val="24"/>
              </w:rPr>
              <w:t>年1月1日以来完成的同类案例。每个案例需提供合同</w:t>
            </w:r>
            <w:r>
              <w:rPr>
                <w:rFonts w:hint="eastAsia" w:ascii="宋体" w:hAnsi="宋体" w:cs="宋体"/>
                <w:sz w:val="24"/>
                <w:szCs w:val="24"/>
                <w:lang w:val="en-US" w:eastAsia="zh-CN"/>
              </w:rPr>
              <w:t>或</w:t>
            </w:r>
            <w:r>
              <w:rPr>
                <w:rFonts w:hint="eastAsia" w:ascii="宋体" w:hAnsi="宋体" w:eastAsia="宋体" w:cs="宋体"/>
                <w:sz w:val="24"/>
                <w:szCs w:val="24"/>
              </w:rPr>
              <w:t>验收报告</w:t>
            </w:r>
            <w:r>
              <w:rPr>
                <w:rFonts w:hint="eastAsia" w:ascii="宋体" w:hAnsi="宋体" w:eastAsia="宋体" w:cs="宋体"/>
                <w:sz w:val="24"/>
                <w:szCs w:val="24"/>
                <w:lang w:eastAsia="zh-CN"/>
              </w:rPr>
              <w:t>。</w:t>
            </w:r>
            <w:r>
              <w:rPr>
                <w:rFonts w:hint="eastAsia" w:ascii="宋体" w:hAnsi="宋体" w:eastAsia="宋体" w:cs="宋体"/>
                <w:sz w:val="24"/>
                <w:szCs w:val="24"/>
              </w:rPr>
              <w:t>每个</w:t>
            </w:r>
            <w:r>
              <w:rPr>
                <w:rFonts w:hint="eastAsia" w:ascii="宋体" w:hAnsi="宋体" w:eastAsia="宋体" w:cs="宋体"/>
                <w:sz w:val="24"/>
                <w:szCs w:val="24"/>
                <w:lang w:val="en-US" w:eastAsia="zh-CN"/>
              </w:rPr>
              <w:t>案例</w:t>
            </w:r>
            <w:r>
              <w:rPr>
                <w:rFonts w:hint="eastAsia" w:ascii="宋体" w:hAnsi="宋体" w:eastAsia="宋体" w:cs="宋体"/>
                <w:sz w:val="24"/>
                <w:szCs w:val="24"/>
              </w:rPr>
              <w:t>得1分，最高得</w:t>
            </w:r>
            <w:r>
              <w:rPr>
                <w:rFonts w:hint="eastAsia" w:ascii="宋体" w:hAnsi="宋体" w:eastAsia="宋体" w:cs="宋体"/>
                <w:sz w:val="24"/>
                <w:szCs w:val="24"/>
                <w:lang w:val="en-US"/>
              </w:rPr>
              <w:t>3</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否则不得分。</w:t>
            </w:r>
            <w:r>
              <w:rPr>
                <w:rFonts w:hint="eastAsia" w:ascii="宋体" w:hAnsi="宋体" w:eastAsia="宋体" w:cs="宋体"/>
                <w:b w:val="0"/>
                <w:bCs/>
                <w:sz w:val="24"/>
                <w:szCs w:val="24"/>
              </w:rPr>
              <w:t>（同类案例是指与采购标的同品类的产品案例）</w:t>
            </w:r>
          </w:p>
        </w:tc>
        <w:tc>
          <w:tcPr>
            <w:tcW w:w="79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3</w:t>
            </w:r>
          </w:p>
        </w:tc>
        <w:tc>
          <w:tcPr>
            <w:tcW w:w="1515" w:type="dxa"/>
            <w:vAlign w:val="center"/>
          </w:tcPr>
          <w:p>
            <w:pPr>
              <w:tabs>
                <w:tab w:val="left" w:pos="483"/>
              </w:tabs>
              <w:snapToGrid w:val="0"/>
              <w:spacing w:line="360" w:lineRule="auto"/>
              <w:jc w:val="left"/>
              <w:rPr>
                <w:rFonts w:hint="eastAsia" w:ascii="宋体" w:hAnsi="宋体" w:eastAsia="宋体" w:cs="宋体"/>
                <w:sz w:val="24"/>
                <w:szCs w:val="24"/>
              </w:rPr>
            </w:pPr>
            <w:r>
              <w:rPr>
                <w:rFonts w:hint="eastAsia" w:ascii="宋体" w:hAnsi="宋体" w:eastAsia="宋体" w:cs="宋体"/>
                <w:kern w:val="0"/>
                <w:sz w:val="24"/>
                <w:szCs w:val="24"/>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rPr>
            </w:pPr>
            <w:r>
              <w:rPr>
                <w:rFonts w:hint="default" w:ascii="宋体" w:hAnsi="宋体" w:cs="宋体"/>
                <w:sz w:val="24"/>
                <w:szCs w:val="24"/>
                <w:lang w:val="en-US"/>
              </w:rPr>
              <w:t>3</w:t>
            </w:r>
          </w:p>
        </w:tc>
        <w:tc>
          <w:tcPr>
            <w:tcW w:w="5355" w:type="dxa"/>
          </w:tcPr>
          <w:p>
            <w:pPr>
              <w:spacing w:line="360" w:lineRule="auto"/>
              <w:jc w:val="left"/>
              <w:rPr>
                <w:rFonts w:hint="eastAsia" w:ascii="宋体" w:hAnsi="宋体" w:eastAsia="宋体" w:cs="宋体"/>
                <w:sz w:val="24"/>
                <w:szCs w:val="24"/>
              </w:rPr>
            </w:pPr>
            <w:r>
              <w:rPr>
                <w:rFonts w:hint="eastAsia" w:ascii="宋体" w:hAnsi="宋体" w:cs="宋体"/>
                <w:color w:val="auto"/>
                <w:kern w:val="0"/>
                <w:sz w:val="24"/>
                <w:highlight w:val="none"/>
                <w:lang w:eastAsia="zh-CN"/>
              </w:rPr>
              <w:t>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eastAsia="zh-CN"/>
              </w:rPr>
              <w:t>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b w:val="0"/>
                <w:bCs w:val="0"/>
                <w:color w:val="auto"/>
                <w:sz w:val="24"/>
                <w:highlight w:val="none"/>
                <w:lang w:eastAsia="zh-CN"/>
              </w:rPr>
              <w:t>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465" w:type="dxa"/>
            <w:vAlign w:val="center"/>
          </w:tcPr>
          <w:p>
            <w:pPr>
              <w:snapToGrid w:val="0"/>
              <w:spacing w:line="360" w:lineRule="auto"/>
              <w:jc w:val="center"/>
              <w:rPr>
                <w:rFonts w:hint="eastAsia" w:ascii="宋体" w:hAnsi="宋体" w:eastAsia="宋体" w:cs="宋体"/>
                <w:sz w:val="24"/>
                <w:szCs w:val="24"/>
              </w:rPr>
            </w:pPr>
            <w:r>
              <w:rPr>
                <w:rFonts w:hint="default" w:ascii="宋体" w:hAnsi="宋体" w:cs="宋体"/>
                <w:sz w:val="24"/>
                <w:szCs w:val="24"/>
                <w:lang w:val="en-US"/>
              </w:rPr>
              <w:t>4</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投标产品的基本功能、技术指标与需求的吻合程度和偏差情况：招标文件中要求提供的相关证明材料，必须提供，否则一律视为负偏离。</w:t>
            </w:r>
          </w:p>
          <w:p>
            <w:pPr>
              <w:spacing w:line="360" w:lineRule="auto"/>
              <w:jc w:val="left"/>
              <w:rPr>
                <w:rFonts w:hint="eastAsia" w:ascii="宋体" w:hAnsi="宋体" w:eastAsia="宋体" w:cs="宋体"/>
                <w:sz w:val="24"/>
                <w:szCs w:val="24"/>
              </w:rPr>
            </w:pPr>
            <w:r>
              <w:rPr>
                <w:rFonts w:hint="eastAsia" w:ascii="宋体" w:hAnsi="宋体" w:eastAsia="宋体" w:cs="宋体"/>
                <w:sz w:val="24"/>
              </w:rPr>
              <w:t>其中加“▲”的技术参数为实质性要求，不符合的投标文件无效</w:t>
            </w:r>
            <w:r>
              <w:rPr>
                <w:rFonts w:hint="eastAsia" w:ascii="宋体" w:hAnsi="宋体" w:eastAsia="宋体" w:cs="宋体"/>
                <w:sz w:val="24"/>
                <w:lang w:eastAsia="zh-CN"/>
              </w:rPr>
              <w:t>；</w:t>
            </w:r>
            <w:r>
              <w:rPr>
                <w:rFonts w:hint="eastAsia" w:ascii="宋体" w:hAnsi="宋体" w:cs="宋体"/>
                <w:sz w:val="24"/>
                <w:szCs w:val="24"/>
                <w:lang w:val="en-US" w:eastAsia="zh-CN"/>
              </w:rPr>
              <w:t>加</w:t>
            </w:r>
            <w:r>
              <w:rPr>
                <w:rFonts w:hint="eastAsia" w:ascii="宋体" w:hAnsi="宋体" w:eastAsia="宋体" w:cs="宋体"/>
                <w:sz w:val="24"/>
                <w:szCs w:val="24"/>
              </w:rPr>
              <w:t>“★”的技术指标负偏离</w:t>
            </w:r>
            <w:r>
              <w:rPr>
                <w:rFonts w:hint="eastAsia" w:ascii="宋体" w:hAnsi="宋体" w:eastAsia="宋体" w:cs="宋体"/>
                <w:sz w:val="24"/>
                <w:szCs w:val="24"/>
                <w:lang w:val="en-US" w:eastAsia="zh-CN"/>
              </w:rPr>
              <w:t>每一</w:t>
            </w:r>
            <w:r>
              <w:rPr>
                <w:rFonts w:hint="eastAsia" w:ascii="宋体" w:hAnsi="宋体" w:eastAsia="宋体" w:cs="宋体"/>
                <w:sz w:val="24"/>
                <w:szCs w:val="24"/>
              </w:rPr>
              <w:t>项扣</w:t>
            </w:r>
            <w:r>
              <w:rPr>
                <w:rFonts w:hint="eastAsia" w:ascii="宋体" w:hAnsi="宋体" w:eastAsia="宋体" w:cs="宋体"/>
                <w:sz w:val="24"/>
                <w:szCs w:val="24"/>
                <w:lang w:val="en-US" w:eastAsia="zh-CN"/>
              </w:rPr>
              <w:t>减</w:t>
            </w:r>
            <w:r>
              <w:rPr>
                <w:rFonts w:hint="eastAsia" w:ascii="宋体" w:hAnsi="宋体" w:eastAsia="宋体" w:cs="宋体"/>
                <w:sz w:val="24"/>
                <w:szCs w:val="24"/>
                <w:highlight w:val="none"/>
              </w:rPr>
              <w:t>2分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其他技术指标负偏离每一项扣减1分，扣完为止。</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highlight w:val="none"/>
                <w:lang w:val="en-US" w:eastAsia="zh-CN"/>
              </w:rPr>
              <w:t>30</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投标产品的性能和功能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5355" w:type="dxa"/>
            <w:vAlign w:val="center"/>
          </w:tcPr>
          <w:p>
            <w:pPr>
              <w:snapToGrid w:val="0"/>
              <w:spacing w:line="360" w:lineRule="auto"/>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w:t>
            </w:r>
            <w:r>
              <w:rPr>
                <w:rFonts w:hint="eastAsia" w:asciiTheme="minorEastAsia" w:hAnsiTheme="minorEastAsia" w:eastAsiaTheme="minorEastAsia" w:cstheme="minorEastAsia"/>
                <w:b w:val="0"/>
                <w:bCs w:val="0"/>
                <w:sz w:val="24"/>
                <w:szCs w:val="24"/>
                <w:highlight w:val="none"/>
                <w:lang w:val="en-US" w:eastAsia="zh-CN"/>
              </w:rPr>
              <w:t xml:space="preserve"> ）全部</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r>
              <w:rPr>
                <w:rFonts w:hint="eastAsia" w:asciiTheme="minorEastAsia" w:hAnsiTheme="minorEastAsia" w:eastAsiaTheme="minorEastAsia" w:cstheme="minorEastAsia"/>
                <w:sz w:val="24"/>
                <w:szCs w:val="24"/>
                <w:highlight w:val="none"/>
                <w:lang w:val="en-US" w:eastAsia="zh-CN"/>
              </w:rPr>
              <w:t>的得1分，否则不得分；</w:t>
            </w:r>
          </w:p>
          <w:p>
            <w:pPr>
              <w:snapToGrid w:val="0"/>
              <w:spacing w:line="360" w:lineRule="auto"/>
              <w:jc w:val="left"/>
              <w:rPr>
                <w:rFonts w:hint="default" w:ascii="宋体" w:hAnsi="宋体" w:cs="宋体"/>
                <w:sz w:val="24"/>
                <w:highlight w:val="none"/>
                <w:lang w:val="en-US" w:eastAsia="zh-CN"/>
              </w:rPr>
            </w:pPr>
            <w:r>
              <w:rPr>
                <w:rFonts w:hint="eastAsia" w:ascii="宋体" w:hAnsi="宋体" w:cs="宋体"/>
                <w:sz w:val="24"/>
                <w:highlight w:val="none"/>
                <w:lang w:val="en-US" w:eastAsia="zh-CN"/>
              </w:rPr>
              <w:t>（2）室外机基本模块APF最大值≥5.7的得3分；APF最大值≥5.4的得1分，APF最大值＜5.4不得分。</w:t>
            </w:r>
          </w:p>
          <w:p>
            <w:pPr>
              <w:snapToGrid w:val="0"/>
              <w:spacing w:line="360" w:lineRule="auto"/>
              <w:jc w:val="left"/>
              <w:rPr>
                <w:rFonts w:hint="default" w:ascii="宋体" w:hAnsi="宋体" w:eastAsia="宋体" w:cs="宋体"/>
                <w:color w:val="000000"/>
                <w:kern w:val="0"/>
                <w:sz w:val="24"/>
                <w:szCs w:val="24"/>
                <w:highlight w:val="none"/>
                <w:lang w:val="en-US" w:eastAsia="zh-CN" w:bidi="ar-SA"/>
              </w:rPr>
            </w:pPr>
            <w:r>
              <w:rPr>
                <w:rFonts w:hint="eastAsia" w:ascii="宋体" w:hAnsi="宋体" w:cs="宋体"/>
                <w:b/>
                <w:bCs/>
                <w:sz w:val="24"/>
                <w:highlight w:val="none"/>
                <w:lang w:val="en-US" w:eastAsia="zh-CN"/>
              </w:rPr>
              <w:t>提供能效标识网截图和相关证明材料并加盖公章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515" w:type="dxa"/>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投标产品的能效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5355" w:type="dxa"/>
            <w:vAlign w:val="center"/>
          </w:tcPr>
          <w:p>
            <w:pPr>
              <w:snapToGrid w:val="0"/>
              <w:spacing w:line="360" w:lineRule="auto"/>
              <w:jc w:val="left"/>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投标产品是否具有①冷媒自动回收功能、②室内机掉电应急维修功能、③电控电路自动维护功能、④管路异常智能判断功能，具备一个功能得0.5分，共2分</w:t>
            </w:r>
            <w:r>
              <w:rPr>
                <w:rFonts w:hint="eastAsia" w:ascii="宋体" w:hAnsi="宋体" w:cs="宋体"/>
                <w:b w:val="0"/>
                <w:bCs w:val="0"/>
                <w:sz w:val="24"/>
                <w:highlight w:val="none"/>
                <w:lang w:val="en-US" w:eastAsia="zh-CN"/>
              </w:rPr>
              <w:t>。</w:t>
            </w:r>
          </w:p>
          <w:p>
            <w:pPr>
              <w:snapToGrid w:val="0"/>
              <w:spacing w:line="360" w:lineRule="auto"/>
              <w:jc w:val="left"/>
              <w:rPr>
                <w:rFonts w:hint="eastAsia" w:ascii="宋体" w:hAnsi="宋体" w:eastAsia="宋体" w:cs="宋体"/>
                <w:color w:val="000000"/>
                <w:kern w:val="0"/>
                <w:sz w:val="24"/>
                <w:szCs w:val="24"/>
                <w:highlight w:val="yellow"/>
                <w:lang w:val="en-US" w:eastAsia="zh-CN" w:bidi="ar-SA"/>
              </w:rPr>
            </w:pPr>
            <w:r>
              <w:rPr>
                <w:rFonts w:hint="eastAsia" w:ascii="宋体" w:hAnsi="宋体" w:eastAsia="宋体" w:cs="宋体"/>
                <w:b/>
                <w:bCs/>
                <w:color w:val="000000"/>
                <w:kern w:val="0"/>
                <w:sz w:val="24"/>
                <w:szCs w:val="24"/>
                <w:highlight w:val="none"/>
              </w:rPr>
              <w:t>提供</w:t>
            </w:r>
            <w:r>
              <w:rPr>
                <w:rFonts w:hint="eastAsia" w:ascii="宋体" w:hAnsi="宋体" w:cs="宋体"/>
                <w:b/>
                <w:bCs/>
                <w:color w:val="000000"/>
                <w:kern w:val="0"/>
                <w:sz w:val="24"/>
                <w:szCs w:val="24"/>
                <w:highlight w:val="none"/>
                <w:lang w:val="en-US" w:eastAsia="zh-CN"/>
              </w:rPr>
              <w:t>投标产品证明材料</w:t>
            </w:r>
            <w:r>
              <w:rPr>
                <w:rFonts w:hint="eastAsia" w:ascii="宋体" w:hAnsi="宋体" w:eastAsia="宋体" w:cs="宋体"/>
                <w:b/>
                <w:bCs/>
                <w:color w:val="000000"/>
                <w:kern w:val="0"/>
                <w:sz w:val="24"/>
                <w:szCs w:val="24"/>
                <w:highlight w:val="none"/>
              </w:rPr>
              <w:t>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default" w:ascii="宋体" w:hAnsi="宋体" w:eastAsia="宋体" w:cs="宋体"/>
                <w:sz w:val="24"/>
                <w:szCs w:val="24"/>
                <w:lang w:val="en-US"/>
              </w:rPr>
            </w:pPr>
            <w:r>
              <w:rPr>
                <w:rFonts w:hint="eastAsia" w:ascii="宋体" w:hAnsi="宋体" w:cs="宋体"/>
                <w:sz w:val="24"/>
                <w:lang w:val="en-US" w:eastAsia="zh-CN"/>
              </w:rPr>
              <w:t>投标产品的智能化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5355" w:type="dxa"/>
            <w:vAlign w:val="center"/>
          </w:tcPr>
          <w:p>
            <w:pPr>
              <w:snapToGrid w:val="0"/>
              <w:spacing w:line="360" w:lineRule="auto"/>
              <w:jc w:val="left"/>
              <w:rPr>
                <w:rFonts w:hint="eastAsia" w:ascii="宋体" w:hAnsi="宋体" w:cs="宋体"/>
                <w:b w:val="0"/>
                <w:bCs w:val="0"/>
                <w:sz w:val="24"/>
                <w:highlight w:val="none"/>
                <w:lang w:val="en-US" w:eastAsia="zh-CN"/>
              </w:rPr>
            </w:pPr>
            <w:r>
              <w:rPr>
                <w:rFonts w:hint="eastAsia" w:ascii="宋体" w:hAnsi="宋体" w:eastAsia="宋体" w:cs="宋体"/>
                <w:b w:val="0"/>
                <w:bCs w:val="0"/>
                <w:sz w:val="24"/>
                <w:highlight w:val="none"/>
                <w:lang w:val="en-US" w:eastAsia="zh-CN"/>
              </w:rPr>
              <w:t>多联机</w:t>
            </w:r>
            <w:r>
              <w:rPr>
                <w:rFonts w:hint="eastAsia" w:ascii="宋体" w:hAnsi="宋体" w:cs="宋体"/>
                <w:b w:val="0"/>
                <w:bCs w:val="0"/>
                <w:sz w:val="24"/>
                <w:highlight w:val="none"/>
                <w:lang w:val="en-US" w:eastAsia="zh-CN"/>
              </w:rPr>
              <w:t>全系</w:t>
            </w:r>
            <w:r>
              <w:rPr>
                <w:rFonts w:hint="eastAsia" w:ascii="宋体" w:hAnsi="宋体" w:eastAsia="宋体" w:cs="宋体"/>
                <w:b w:val="0"/>
                <w:bCs w:val="0"/>
                <w:sz w:val="24"/>
                <w:highlight w:val="none"/>
                <w:lang w:val="en-US" w:eastAsia="zh-CN"/>
              </w:rPr>
              <w:t>室外机压缩机</w:t>
            </w:r>
            <w:r>
              <w:rPr>
                <w:rFonts w:hint="eastAsia" w:ascii="宋体" w:hAnsi="宋体" w:cs="宋体"/>
                <w:b w:val="0"/>
                <w:bCs w:val="0"/>
                <w:sz w:val="24"/>
                <w:highlight w:val="none"/>
                <w:lang w:val="en-US" w:eastAsia="zh-CN"/>
              </w:rPr>
              <w:t>采用涡旋式压缩机并具有</w:t>
            </w:r>
            <w:r>
              <w:rPr>
                <w:rFonts w:hint="eastAsia" w:ascii="宋体" w:hAnsi="宋体" w:eastAsia="宋体" w:cs="宋体"/>
                <w:b w:val="0"/>
                <w:bCs w:val="0"/>
                <w:sz w:val="24"/>
                <w:highlight w:val="none"/>
                <w:lang w:val="en-US" w:eastAsia="zh-CN"/>
              </w:rPr>
              <w:t>喷气增焓技术</w:t>
            </w:r>
            <w:r>
              <w:rPr>
                <w:rFonts w:hint="eastAsia" w:ascii="宋体" w:hAnsi="宋体" w:cs="宋体"/>
                <w:b w:val="0"/>
                <w:bCs w:val="0"/>
                <w:sz w:val="24"/>
                <w:highlight w:val="none"/>
                <w:lang w:val="en-US" w:eastAsia="zh-CN"/>
              </w:rPr>
              <w:t>得2分，否则不得分。</w:t>
            </w:r>
          </w:p>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bCs/>
                <w:color w:val="000000"/>
                <w:kern w:val="0"/>
                <w:sz w:val="24"/>
                <w:szCs w:val="24"/>
                <w:highlight w:val="none"/>
                <w:lang w:val="en-US" w:eastAsia="zh-CN"/>
              </w:rPr>
              <w:t>提供投标产品节能认证证书</w:t>
            </w:r>
            <w:r>
              <w:rPr>
                <w:rFonts w:hint="eastAsia" w:ascii="宋体" w:hAnsi="宋体" w:eastAsia="宋体" w:cs="宋体"/>
                <w:b/>
                <w:bCs/>
                <w:color w:val="000000"/>
                <w:kern w:val="0"/>
                <w:sz w:val="24"/>
                <w:szCs w:val="24"/>
                <w:highlight w:val="none"/>
              </w:rPr>
              <w:t>复印件</w:t>
            </w: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lang w:val="en-US" w:eastAsia="zh-CN"/>
              </w:rPr>
              <w:t>必须带有受控部件/材料备案清单页面，能够体现压缩机带喷气增焓技术，并</w:t>
            </w:r>
            <w:r>
              <w:rPr>
                <w:rFonts w:hint="eastAsia" w:ascii="宋体" w:hAnsi="宋体" w:eastAsia="宋体" w:cs="宋体"/>
                <w:b/>
                <w:bCs/>
                <w:strike w:val="0"/>
                <w:dstrike w:val="0"/>
                <w:color w:val="000000"/>
                <w:kern w:val="0"/>
                <w:sz w:val="24"/>
                <w:szCs w:val="24"/>
                <w:highlight w:val="none"/>
              </w:rPr>
              <w:t>加盖公章</w:t>
            </w:r>
            <w:r>
              <w:rPr>
                <w:rFonts w:hint="eastAsia" w:ascii="宋体" w:hAnsi="宋体" w:eastAsia="宋体" w:cs="宋体"/>
                <w:b/>
                <w:bCs/>
                <w:color w:val="000000"/>
                <w:kern w:val="0"/>
                <w:sz w:val="24"/>
                <w:szCs w:val="24"/>
                <w:highlight w:val="none"/>
              </w:rPr>
              <w:t>。</w:t>
            </w:r>
          </w:p>
        </w:tc>
        <w:tc>
          <w:tcPr>
            <w:tcW w:w="79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cs="宋体"/>
                <w:sz w:val="24"/>
                <w:lang w:val="en-US" w:eastAsia="zh-CN"/>
              </w:rPr>
              <w:t>投标产品的技术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5355" w:type="dxa"/>
            <w:vAlign w:val="center"/>
          </w:tcPr>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安装材料、辅助材料</w:t>
            </w:r>
            <w:r>
              <w:rPr>
                <w:rFonts w:ascii="宋体" w:hAnsi="宋体" w:eastAsia="宋体" w:cs="宋体"/>
                <w:sz w:val="24"/>
                <w:highlight w:val="none"/>
              </w:rPr>
              <w:t>:</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1）</w:t>
            </w:r>
            <w:r>
              <w:rPr>
                <w:rFonts w:hint="eastAsia" w:ascii="宋体" w:hAnsi="宋体" w:eastAsia="宋体" w:cs="宋体"/>
                <w:sz w:val="24"/>
                <w:highlight w:val="none"/>
              </w:rPr>
              <w:t>铜管、支架满足招标文件要求及国标标准得</w:t>
            </w:r>
            <w:r>
              <w:rPr>
                <w:rFonts w:ascii="宋体" w:hAnsi="宋体" w:eastAsia="宋体" w:cs="宋体"/>
                <w:sz w:val="24"/>
                <w:highlight w:val="none"/>
              </w:rPr>
              <w:t xml:space="preserve">1分，提供相关证明文件， </w:t>
            </w:r>
            <w:r>
              <w:rPr>
                <w:rFonts w:hint="eastAsia" w:ascii="宋体" w:hAnsi="宋体" w:eastAsia="宋体" w:cs="宋体"/>
                <w:sz w:val="24"/>
                <w:highlight w:val="none"/>
              </w:rPr>
              <w:t>否则不得分。</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2）</w:t>
            </w:r>
            <w:r>
              <w:rPr>
                <w:rFonts w:hint="eastAsia" w:hAnsi="宋体" w:cs="宋体"/>
                <w:sz w:val="24"/>
                <w:highlight w:val="none"/>
              </w:rPr>
              <w:t>冷凝水管系统</w:t>
            </w:r>
            <w:r>
              <w:rPr>
                <w:rFonts w:hint="eastAsia" w:ascii="宋体" w:hAnsi="宋体" w:eastAsia="宋体" w:cs="宋体"/>
                <w:sz w:val="24"/>
                <w:highlight w:val="none"/>
              </w:rPr>
              <w:t>满足招标文件要求得</w:t>
            </w:r>
            <w:r>
              <w:rPr>
                <w:rFonts w:ascii="宋体" w:hAnsi="宋体" w:eastAsia="宋体" w:cs="宋体"/>
                <w:sz w:val="24"/>
                <w:highlight w:val="none"/>
              </w:rPr>
              <w:t>1分，</w:t>
            </w:r>
            <w:r>
              <w:rPr>
                <w:rFonts w:hint="eastAsia" w:ascii="宋体" w:hAnsi="宋体" w:eastAsia="宋体" w:cs="宋体"/>
                <w:sz w:val="24"/>
                <w:highlight w:val="none"/>
              </w:rPr>
              <w:t>提供相关证明文件，否则不得分。</w:t>
            </w:r>
          </w:p>
          <w:p>
            <w:pPr>
              <w:snapToGrid w:val="0"/>
              <w:spacing w:line="360" w:lineRule="auto"/>
              <w:jc w:val="left"/>
              <w:rPr>
                <w:rFonts w:hint="default" w:ascii="宋体" w:hAnsi="宋体" w:eastAsia="宋体" w:cs="宋体"/>
                <w:kern w:val="2"/>
                <w:sz w:val="24"/>
                <w:szCs w:val="24"/>
                <w:highlight w:val="none"/>
                <w:lang w:val="en-US" w:eastAsia="zh-CN" w:bidi="ar-SA"/>
              </w:rPr>
            </w:pPr>
            <w:r>
              <w:rPr>
                <w:rFonts w:hint="eastAsia" w:ascii="宋体" w:hAnsi="宋体" w:eastAsia="宋体" w:cs="宋体"/>
                <w:sz w:val="24"/>
                <w:highlight w:val="none"/>
              </w:rPr>
              <w:t>（</w:t>
            </w:r>
            <w:r>
              <w:rPr>
                <w:rFonts w:ascii="宋体" w:hAnsi="宋体" w:eastAsia="宋体" w:cs="宋体"/>
                <w:sz w:val="24"/>
                <w:highlight w:val="none"/>
              </w:rPr>
              <w:t>3）</w:t>
            </w:r>
            <w:r>
              <w:rPr>
                <w:rFonts w:hint="eastAsia" w:ascii="宋体" w:hAnsi="宋体" w:eastAsia="宋体" w:cs="宋体"/>
                <w:sz w:val="24"/>
                <w:highlight w:val="none"/>
              </w:rPr>
              <w:t>空调保温材料符合招标文件要求得</w:t>
            </w:r>
            <w:r>
              <w:rPr>
                <w:rFonts w:ascii="宋体" w:hAnsi="宋体" w:eastAsia="宋体" w:cs="宋体"/>
                <w:sz w:val="24"/>
                <w:highlight w:val="none"/>
              </w:rPr>
              <w:t>1分，</w:t>
            </w:r>
            <w:r>
              <w:rPr>
                <w:rFonts w:ascii="宋体" w:hAnsi="宋体" w:eastAsia="宋体" w:cs="宋体"/>
                <w:b w:val="0"/>
                <w:bCs w:val="0"/>
                <w:sz w:val="24"/>
                <w:highlight w:val="none"/>
              </w:rPr>
              <w:t>提供相关证明文件，否则不得分。</w:t>
            </w:r>
          </w:p>
        </w:tc>
        <w:tc>
          <w:tcPr>
            <w:tcW w:w="79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rPr>
              <w:t>安装材料、辅助材料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5355" w:type="dxa"/>
            <w:vAlign w:val="center"/>
          </w:tcPr>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1</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团队人员技术能力含有与项目实施相关的设备安装、质量管控、资料管理、材料管理、安全管理、高空作业的售后人员等并提供相关证明材料，</w:t>
            </w:r>
            <w:r>
              <w:rPr>
                <w:rFonts w:hint="eastAsia" w:ascii="宋体" w:hAnsi="宋体" w:cs="仿宋"/>
                <w:color w:val="auto"/>
                <w:sz w:val="24"/>
                <w:highlight w:val="none"/>
                <w:lang w:val="en-US" w:eastAsia="zh-CN"/>
              </w:rPr>
              <w:t>每提供一个证明材料得0.5分，最高得3分</w:t>
            </w:r>
            <w:r>
              <w:rPr>
                <w:rFonts w:hint="eastAsia" w:ascii="宋体" w:hAnsi="宋体" w:cs="仿宋"/>
                <w:color w:val="auto"/>
                <w:sz w:val="24"/>
                <w:highlight w:val="none"/>
              </w:rPr>
              <w:t xml:space="preserve">； </w:t>
            </w:r>
          </w:p>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团队人员数量配置大于等于</w:t>
            </w:r>
            <w:r>
              <w:rPr>
                <w:rFonts w:hint="eastAsia" w:ascii="宋体" w:hAnsi="宋体" w:cs="仿宋"/>
                <w:color w:val="auto"/>
                <w:sz w:val="24"/>
                <w:highlight w:val="none"/>
                <w:lang w:val="en-US" w:eastAsia="zh-CN"/>
              </w:rPr>
              <w:t>20</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2</w:t>
            </w:r>
            <w:r>
              <w:rPr>
                <w:rFonts w:hint="eastAsia" w:ascii="宋体" w:hAnsi="宋体" w:cs="仿宋"/>
                <w:color w:val="auto"/>
                <w:sz w:val="24"/>
                <w:highlight w:val="none"/>
              </w:rPr>
              <w:t>分，人员数量配置10至1</w:t>
            </w:r>
            <w:r>
              <w:rPr>
                <w:rFonts w:hint="eastAsia" w:ascii="宋体" w:hAnsi="宋体" w:cs="仿宋"/>
                <w:color w:val="auto"/>
                <w:sz w:val="24"/>
                <w:highlight w:val="none"/>
                <w:lang w:val="en-US" w:eastAsia="zh-CN"/>
              </w:rPr>
              <w:t>9</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1</w:t>
            </w:r>
            <w:r>
              <w:rPr>
                <w:rFonts w:hint="eastAsia" w:ascii="宋体" w:hAnsi="宋体" w:cs="仿宋"/>
                <w:color w:val="auto"/>
                <w:sz w:val="24"/>
                <w:highlight w:val="none"/>
              </w:rPr>
              <w:t>分，人员数量配置少于10人的不得分。</w:t>
            </w:r>
          </w:p>
          <w:p>
            <w:pPr>
              <w:numPr>
                <w:ilvl w:val="0"/>
                <w:numId w:val="0"/>
              </w:numPr>
              <w:snapToGrid w:val="0"/>
              <w:spacing w:line="360" w:lineRule="auto"/>
              <w:ind w:left="0" w:leftChars="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cs="仿宋"/>
                <w:b/>
                <w:bCs/>
                <w:color w:val="auto"/>
                <w:sz w:val="24"/>
                <w:highlight w:val="none"/>
              </w:rPr>
              <w:t>以上需同时提供人员相关证明材料及在投标人单位的社保缴纳证明方有效，否则此项不得分。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5" w:type="dxa"/>
            <w:vAlign w:val="center"/>
          </w:tcPr>
          <w:p>
            <w:pPr>
              <w:snapToGrid w:val="0"/>
              <w:spacing w:line="360" w:lineRule="auto"/>
              <w:jc w:val="center"/>
              <w:rPr>
                <w:rFonts w:hint="default" w:eastAsia="宋体"/>
                <w:lang w:val="en-US" w:eastAsia="zh-CN"/>
              </w:rPr>
            </w:pPr>
            <w:r>
              <w:rPr>
                <w:rFonts w:hint="eastAsia" w:ascii="宋体" w:hAnsi="宋体" w:cs="宋体"/>
                <w:sz w:val="24"/>
                <w:szCs w:val="24"/>
                <w:lang w:val="en-US" w:eastAsia="zh-CN"/>
              </w:rPr>
              <w:t>10</w:t>
            </w:r>
          </w:p>
        </w:tc>
        <w:tc>
          <w:tcPr>
            <w:tcW w:w="5355" w:type="dxa"/>
            <w:vAlign w:val="center"/>
          </w:tcPr>
          <w:p>
            <w:pPr>
              <w:snapToGrid w:val="0"/>
              <w:spacing w:line="360" w:lineRule="auto"/>
              <w:jc w:val="left"/>
              <w:rPr>
                <w:rFonts w:hint="eastAsia" w:ascii="宋体" w:hAnsi="宋体" w:eastAsia="宋体" w:cs="宋体"/>
                <w:sz w:val="24"/>
                <w:highlight w:val="none"/>
              </w:rPr>
            </w:pPr>
            <w:r>
              <w:rPr>
                <w:rFonts w:hint="eastAsia" w:ascii="宋体" w:hAnsi="宋体" w:cs="宋体"/>
                <w:sz w:val="24"/>
                <w:highlight w:val="none"/>
                <w:lang w:val="en-US" w:eastAsia="zh-CN"/>
              </w:rPr>
              <w:t>投标人根据采购需求提供</w:t>
            </w:r>
            <w:r>
              <w:rPr>
                <w:rFonts w:hint="eastAsia" w:ascii="宋体" w:hAnsi="宋体" w:eastAsia="宋体" w:cs="宋体"/>
                <w:sz w:val="24"/>
                <w:highlight w:val="none"/>
              </w:rPr>
              <w:t>项目组织实施方案：（1）提供项目实施、安装方案；（2）提供功能测试、试运行及验收方案；（3）提供培训人员</w:t>
            </w:r>
            <w:r>
              <w:rPr>
                <w:rFonts w:hint="eastAsia" w:ascii="宋体" w:hAnsi="宋体" w:cs="宋体"/>
                <w:sz w:val="24"/>
                <w:highlight w:val="none"/>
                <w:lang w:val="en-US" w:eastAsia="zh-CN"/>
              </w:rPr>
              <w:t>及</w:t>
            </w:r>
            <w:r>
              <w:rPr>
                <w:rFonts w:hint="eastAsia" w:ascii="宋体" w:hAnsi="宋体" w:eastAsia="宋体" w:cs="宋体"/>
                <w:sz w:val="24"/>
                <w:highlight w:val="none"/>
              </w:rPr>
              <w:t>培训方案；（4）供货进度实施及进度保障措施方案。</w:t>
            </w:r>
          </w:p>
          <w:p>
            <w:pPr>
              <w:pStyle w:val="22"/>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以上</w:t>
            </w:r>
            <w:r>
              <w:rPr>
                <w:rFonts w:hint="eastAsia" w:ascii="宋体" w:hAnsi="宋体" w:cs="宋体"/>
                <w:sz w:val="24"/>
                <w:highlight w:val="none"/>
                <w:lang w:val="en-US" w:eastAsia="zh-CN"/>
              </w:rPr>
              <w:t>每条</w:t>
            </w:r>
            <w:r>
              <w:rPr>
                <w:rFonts w:hint="eastAsia" w:ascii="宋体" w:hAnsi="宋体" w:eastAsia="宋体" w:cs="宋体"/>
                <w:sz w:val="24"/>
                <w:highlight w:val="none"/>
              </w:rPr>
              <w:t>，工作思路和要点内容完全符合得1分；部分符合得0.5分；不符合得0分。</w:t>
            </w:r>
          </w:p>
        </w:tc>
        <w:tc>
          <w:tcPr>
            <w:tcW w:w="795" w:type="dxa"/>
            <w:vAlign w:val="center"/>
          </w:tcPr>
          <w:p>
            <w:pPr>
              <w:snapToGrid w:val="0"/>
              <w:spacing w:line="360" w:lineRule="auto"/>
              <w:jc w:val="center"/>
              <w:rPr>
                <w:rFonts w:hint="default" w:ascii="宋体" w:hAnsi="宋体" w:cs="宋体"/>
                <w:b/>
                <w:bCs/>
                <w:sz w:val="24"/>
                <w:lang w:val="en-US" w:eastAsia="zh-CN"/>
              </w:rPr>
            </w:pPr>
            <w:r>
              <w:rPr>
                <w:rFonts w:hint="eastAsia" w:ascii="宋体" w:hAnsi="宋体" w:cs="宋体"/>
                <w:b w:val="0"/>
                <w:bCs w:val="0"/>
                <w:sz w:val="24"/>
                <w:lang w:val="en-US" w:eastAsia="zh-CN"/>
              </w:rPr>
              <w:t>4</w:t>
            </w:r>
          </w:p>
        </w:tc>
        <w:tc>
          <w:tcPr>
            <w:tcW w:w="1515" w:type="dxa"/>
            <w:vAlign w:val="center"/>
          </w:tcPr>
          <w:p>
            <w:pPr>
              <w:snapToGrid w:val="0"/>
              <w:spacing w:line="360" w:lineRule="auto"/>
              <w:jc w:val="left"/>
              <w:rPr>
                <w:rFonts w:hint="default" w:ascii="宋体" w:hAnsi="宋体" w:cs="宋体"/>
                <w:b/>
                <w:bCs/>
                <w:sz w:val="24"/>
                <w:lang w:val="en-US" w:eastAsia="zh-CN"/>
              </w:rPr>
            </w:pPr>
            <w:r>
              <w:rPr>
                <w:rFonts w:hint="eastAsia" w:ascii="宋体" w:hAnsi="宋体" w:cs="宋体"/>
                <w:b w:val="0"/>
                <w:bCs w:val="0"/>
                <w:sz w:val="24"/>
                <w:lang w:val="en-US" w:eastAsia="zh-CN"/>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5355" w:type="dxa"/>
            <w:vAlign w:val="top"/>
          </w:tcPr>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w:t>
            </w:r>
            <w:r>
              <w:rPr>
                <w:rFonts w:hint="eastAsia" w:ascii="宋体" w:hAnsi="宋体" w:cs="宋体"/>
                <w:color w:val="auto"/>
                <w:sz w:val="24"/>
                <w:highlight w:val="none"/>
                <w:lang w:eastAsia="zh-CN"/>
              </w:rPr>
              <w:t>质量控制</w:t>
            </w:r>
            <w:r>
              <w:rPr>
                <w:rFonts w:hint="eastAsia" w:ascii="宋体" w:hAnsi="宋体" w:cs="宋体"/>
                <w:color w:val="auto"/>
                <w:sz w:val="24"/>
                <w:highlight w:val="none"/>
              </w:rPr>
              <w:t>方案④项目</w:t>
            </w:r>
            <w:r>
              <w:rPr>
                <w:rFonts w:hint="eastAsia" w:ascii="宋体" w:hAnsi="宋体" w:cs="宋体"/>
                <w:color w:val="auto"/>
                <w:sz w:val="24"/>
                <w:highlight w:val="none"/>
                <w:lang w:eastAsia="zh-CN"/>
              </w:rPr>
              <w:t>安装</w:t>
            </w:r>
            <w:r>
              <w:rPr>
                <w:rFonts w:hint="eastAsia" w:ascii="宋体" w:hAnsi="宋体" w:cs="宋体"/>
                <w:color w:val="auto"/>
                <w:sz w:val="24"/>
                <w:highlight w:val="none"/>
              </w:rPr>
              <w:t>方案⑤</w:t>
            </w:r>
            <w:r>
              <w:rPr>
                <w:rFonts w:hint="eastAsia" w:ascii="宋体" w:hAnsi="宋体" w:cs="宋体"/>
                <w:color w:val="auto"/>
                <w:sz w:val="24"/>
                <w:highlight w:val="none"/>
                <w:lang w:eastAsia="zh-CN"/>
              </w:rPr>
              <w:t>项目验收方案。</w:t>
            </w:r>
            <w:r>
              <w:rPr>
                <w:rFonts w:hint="eastAsia" w:ascii="宋体" w:hAnsi="宋体" w:eastAsia="宋体" w:cs="仿宋"/>
                <w:sz w:val="24"/>
                <w:highlight w:val="none"/>
              </w:rPr>
              <w:t>方案完整、合理，有针对性视为符合要求；</w:t>
            </w:r>
            <w:r>
              <w:rPr>
                <w:rFonts w:hint="eastAsia" w:ascii="宋体" w:hAnsi="宋体" w:cs="宋体"/>
                <w:sz w:val="24"/>
                <w:szCs w:val="24"/>
                <w:highlight w:val="none"/>
                <w:lang w:eastAsia="zh-CN"/>
              </w:rPr>
              <w:t>每符合一项得</w:t>
            </w:r>
            <w:r>
              <w:rPr>
                <w:rFonts w:hint="default" w:ascii="宋体" w:hAnsi="宋体" w:cs="宋体"/>
                <w:sz w:val="24"/>
                <w:szCs w:val="24"/>
                <w:highlight w:val="none"/>
                <w:lang w:val="en-US" w:eastAsia="zh-CN"/>
              </w:rPr>
              <w:t>1</w:t>
            </w:r>
            <w:r>
              <w:rPr>
                <w:rFonts w:hint="eastAsia" w:ascii="宋体" w:hAnsi="宋体" w:cs="宋体"/>
                <w:sz w:val="24"/>
                <w:szCs w:val="24"/>
                <w:highlight w:val="none"/>
                <w:lang w:eastAsia="zh-CN"/>
              </w:rPr>
              <w:t>分，部分符合得</w:t>
            </w:r>
            <w:r>
              <w:rPr>
                <w:rFonts w:hint="default" w:ascii="宋体" w:hAnsi="宋体" w:cs="宋体"/>
                <w:sz w:val="24"/>
                <w:szCs w:val="24"/>
                <w:highlight w:val="none"/>
                <w:lang w:val="en-US" w:eastAsia="zh-CN"/>
              </w:rPr>
              <w:t>0.5</w:t>
            </w:r>
            <w:r>
              <w:rPr>
                <w:rFonts w:hint="eastAsia" w:ascii="宋体" w:hAnsi="宋体" w:cs="宋体"/>
                <w:sz w:val="24"/>
                <w:szCs w:val="24"/>
                <w:highlight w:val="none"/>
                <w:lang w:eastAsia="zh-CN"/>
              </w:rPr>
              <w:t>分，不符合不得分。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sz w:val="24"/>
                <w:highlight w:val="none"/>
                <w:lang w:val="en-US" w:eastAsia="zh-CN"/>
              </w:rPr>
              <w:t>投标人是否</w:t>
            </w:r>
            <w:r>
              <w:rPr>
                <w:rFonts w:hint="eastAsia" w:ascii="宋体" w:hAnsi="宋体" w:cs="宋体"/>
                <w:b w:val="0"/>
                <w:bCs w:val="0"/>
                <w:sz w:val="24"/>
                <w:highlight w:val="none"/>
              </w:rPr>
              <w:t>提供所有（整机）免费质保</w:t>
            </w:r>
            <w:r>
              <w:rPr>
                <w:rFonts w:hint="eastAsia" w:ascii="宋体" w:hAnsi="宋体" w:cs="宋体"/>
                <w:b w:val="0"/>
                <w:bCs w:val="0"/>
                <w:sz w:val="24"/>
                <w:highlight w:val="none"/>
                <w:lang w:val="en-US" w:eastAsia="zh-CN"/>
              </w:rPr>
              <w:t>3</w:t>
            </w:r>
            <w:r>
              <w:rPr>
                <w:rFonts w:hint="eastAsia" w:ascii="宋体" w:hAnsi="宋体" w:cs="宋体"/>
                <w:b w:val="0"/>
                <w:bCs w:val="0"/>
                <w:sz w:val="24"/>
                <w:highlight w:val="none"/>
              </w:rPr>
              <w:t>年</w:t>
            </w:r>
            <w:r>
              <w:rPr>
                <w:rFonts w:hint="eastAsia" w:ascii="宋体" w:hAnsi="宋体" w:cs="宋体"/>
                <w:b w:val="0"/>
                <w:bCs w:val="0"/>
                <w:sz w:val="24"/>
                <w:highlight w:val="none"/>
                <w:lang w:val="en-US" w:eastAsia="zh-CN"/>
              </w:rPr>
              <w:t>的承诺函</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提供承诺函的得</w:t>
            </w:r>
            <w:r>
              <w:rPr>
                <w:rFonts w:hint="default" w:ascii="宋体" w:hAnsi="宋体" w:cs="宋体"/>
                <w:b w:val="0"/>
                <w:bCs w:val="0"/>
                <w:sz w:val="24"/>
                <w:highlight w:val="none"/>
                <w:lang w:val="en-US" w:eastAsia="zh-CN"/>
              </w:rPr>
              <w:t>2</w:t>
            </w:r>
            <w:r>
              <w:rPr>
                <w:rFonts w:hint="eastAsia" w:ascii="宋体" w:hAnsi="宋体" w:cs="宋体"/>
                <w:b w:val="0"/>
                <w:bCs w:val="0"/>
                <w:sz w:val="24"/>
                <w:highlight w:val="none"/>
                <w:lang w:val="en-US" w:eastAsia="zh-CN"/>
              </w:rPr>
              <w:t>分，不提供的不得分。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snapToGrid w:val="0"/>
              <w:spacing w:line="360" w:lineRule="auto"/>
              <w:jc w:val="center"/>
              <w:rPr>
                <w:rFonts w:hint="default" w:ascii="宋体" w:hAnsi="宋体" w:eastAsia="宋体" w:cs="宋体"/>
                <w:sz w:val="24"/>
                <w:szCs w:val="24"/>
                <w:lang w:val="en-US" w:eastAsia="zh-CN"/>
              </w:rPr>
            </w:pP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i w:val="0"/>
                <w:iCs w:val="0"/>
                <w:color w:val="auto"/>
                <w:kern w:val="2"/>
                <w:sz w:val="24"/>
                <w:szCs w:val="24"/>
                <w:highlight w:val="none"/>
                <w:lang w:val="en-US" w:eastAsia="zh-CN" w:bidi="ar-SA"/>
              </w:rPr>
              <w:t>投标人所提供的售后技术支持和维修响应时间（维修点须提供至少24小时服务，而且维修人员须在接到维修电话后2小时内赶到现场，提供不间断服务直到故障排除）是否满足采购需求，满足的得</w:t>
            </w:r>
            <w:r>
              <w:rPr>
                <w:rFonts w:hint="default" w:ascii="宋体" w:hAnsi="宋体" w:cs="宋体"/>
                <w:b w:val="0"/>
                <w:bCs w:val="0"/>
                <w:i w:val="0"/>
                <w:iCs w:val="0"/>
                <w:color w:val="auto"/>
                <w:kern w:val="2"/>
                <w:sz w:val="24"/>
                <w:szCs w:val="24"/>
                <w:highlight w:val="none"/>
                <w:lang w:val="en-US" w:eastAsia="zh-CN" w:bidi="ar-SA"/>
              </w:rPr>
              <w:t>2</w:t>
            </w:r>
            <w:r>
              <w:rPr>
                <w:rFonts w:hint="eastAsia" w:ascii="宋体" w:hAnsi="宋体" w:cs="宋体"/>
                <w:b w:val="0"/>
                <w:bCs w:val="0"/>
                <w:i w:val="0"/>
                <w:iCs w:val="0"/>
                <w:color w:val="auto"/>
                <w:kern w:val="2"/>
                <w:sz w:val="24"/>
                <w:szCs w:val="24"/>
                <w:highlight w:val="none"/>
                <w:lang w:val="en-US" w:eastAsia="zh-CN" w:bidi="ar-SA"/>
              </w:rPr>
              <w:t>分，不满足或不提供的不得分。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continue"/>
            <w:vAlign w:val="center"/>
          </w:tcPr>
          <w:p>
            <w:pPr>
              <w:snapToGrid w:val="0"/>
              <w:spacing w:line="360" w:lineRule="auto"/>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6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13</w:t>
            </w:r>
          </w:p>
        </w:tc>
        <w:tc>
          <w:tcPr>
            <w:tcW w:w="5355" w:type="dxa"/>
            <w:vAlign w:val="top"/>
          </w:tcPr>
          <w:p>
            <w:pPr>
              <w:widowControl/>
              <w:spacing w:line="360" w:lineRule="auto"/>
              <w:textAlignment w:val="center"/>
              <w:rPr>
                <w:rFonts w:hint="eastAsia" w:ascii="宋体" w:hAnsi="宋体" w:eastAsia="宋体" w:cs="宋体"/>
                <w:sz w:val="24"/>
                <w:szCs w:val="24"/>
                <w:highlight w:val="none"/>
                <w:lang w:eastAsia="zh-CN"/>
              </w:rPr>
            </w:pPr>
            <w:r>
              <w:rPr>
                <w:rFonts w:hint="eastAsia" w:ascii="宋体" w:hAnsi="宋体" w:eastAsia="宋体" w:cs="宋体"/>
                <w:sz w:val="24"/>
                <w:highlight w:val="none"/>
              </w:rPr>
              <w:t>根据投标单位提供的备品备件情况，备品备件清单内容完整、规格产地清楚，得1分；否则</w:t>
            </w:r>
            <w:r>
              <w:rPr>
                <w:rFonts w:hint="eastAsia" w:ascii="宋体" w:hAnsi="宋体" w:eastAsia="宋体" w:cs="宋体"/>
                <w:spacing w:val="-6"/>
                <w:sz w:val="24"/>
                <w:highlight w:val="none"/>
              </w:rPr>
              <w:t>不得分</w:t>
            </w:r>
            <w:r>
              <w:rPr>
                <w:rFonts w:hint="eastAsia" w:ascii="宋体" w:hAnsi="宋体" w:cs="宋体"/>
                <w:spacing w:val="-6"/>
                <w:sz w:val="24"/>
                <w:highlight w:val="none"/>
                <w:lang w:eastAsia="zh-CN"/>
              </w:rPr>
              <w:t>。</w:t>
            </w:r>
          </w:p>
        </w:tc>
        <w:tc>
          <w:tcPr>
            <w:tcW w:w="79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151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备品备件与优惠承诺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465" w:type="dxa"/>
            <w:vMerge w:val="continue"/>
            <w:vAlign w:val="center"/>
          </w:tcPr>
          <w:p>
            <w:pPr>
              <w:snapToGrid w:val="0"/>
              <w:spacing w:line="360" w:lineRule="auto"/>
              <w:jc w:val="left"/>
            </w:pPr>
          </w:p>
        </w:tc>
        <w:tc>
          <w:tcPr>
            <w:tcW w:w="5355" w:type="dxa"/>
            <w:vAlign w:val="top"/>
          </w:tcPr>
          <w:p>
            <w:pPr>
              <w:snapToGri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针对本次项目所有空调设备，质保期内每年上门服务一次，进行制冷剂添补和室内外机热交换器的清洗、消毒、冷媒系统气密性检测、冷凝排水系统的检测等维护保养（费用包含在投标报价中），承诺得2分，否则不得分。</w:t>
            </w:r>
          </w:p>
        </w:tc>
        <w:tc>
          <w:tcPr>
            <w:tcW w:w="795" w:type="dxa"/>
            <w:vMerge w:val="continue"/>
            <w:vAlign w:val="center"/>
          </w:tcPr>
          <w:p>
            <w:pPr>
              <w:snapToGrid w:val="0"/>
              <w:spacing w:line="360" w:lineRule="auto"/>
              <w:jc w:val="center"/>
              <w:rPr>
                <w:rFonts w:hint="eastAsia" w:ascii="宋体" w:hAnsi="宋体" w:eastAsia="宋体" w:cs="宋体"/>
                <w:sz w:val="24"/>
                <w:highlight w:val="yellow"/>
                <w:lang w:val="en-US" w:eastAsia="zh-CN"/>
              </w:rPr>
            </w:pPr>
          </w:p>
        </w:tc>
        <w:tc>
          <w:tcPr>
            <w:tcW w:w="1515" w:type="dxa"/>
            <w:vMerge w:val="continue"/>
            <w:vAlign w:val="center"/>
          </w:tcPr>
          <w:p>
            <w:pPr>
              <w:snapToGrid w:val="0"/>
              <w:spacing w:line="360" w:lineRule="auto"/>
              <w:jc w:val="left"/>
              <w:rPr>
                <w:rFonts w:hint="eastAsia" w:ascii="宋体" w:hAnsi="宋体" w:eastAsia="宋体" w:cs="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5355" w:type="dxa"/>
            <w:vAlign w:val="top"/>
          </w:tcPr>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eastAsia" w:ascii="宋体" w:hAnsi="宋体" w:eastAsia="宋体" w:cs="宋体"/>
                <w:sz w:val="24"/>
                <w:szCs w:val="24"/>
                <w:highlight w:val="none"/>
                <w:lang w:val="en-US"/>
              </w:rPr>
              <w:t>30</w:t>
            </w:r>
            <w:r>
              <w:rPr>
                <w:rFonts w:hint="eastAsia" w:ascii="宋体" w:hAnsi="宋体" w:eastAsia="宋体" w:cs="宋体"/>
                <w:sz w:val="24"/>
                <w:szCs w:val="24"/>
                <w:highlight w:val="none"/>
              </w:rPr>
              <w:t>］的计算公式计算。</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sz w:val="24"/>
                <w:szCs w:val="24"/>
                <w:highlight w:val="none"/>
                <w:u w:val="single"/>
                <w:lang w:val="en-US"/>
              </w:rPr>
              <w:t>2</w:t>
            </w:r>
            <w:r>
              <w:rPr>
                <w:rFonts w:hint="eastAsia" w:ascii="宋体" w:hAnsi="宋体" w:eastAsia="宋体" w:cs="宋体"/>
                <w:b/>
                <w:sz w:val="24"/>
                <w:szCs w:val="24"/>
                <w:highlight w:val="none"/>
                <w:u w:val="single"/>
              </w:rPr>
              <w:t>0%</w:t>
            </w:r>
            <w:r>
              <w:rPr>
                <w:rFonts w:hint="eastAsia" w:ascii="宋体" w:hAnsi="宋体" w:eastAsia="宋体" w:cs="宋体"/>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b/>
                <w:sz w:val="24"/>
                <w:szCs w:val="24"/>
                <w:highlight w:val="none"/>
                <w:u w:val="single"/>
                <w:lang w:val="en-US"/>
              </w:rPr>
              <w:t>6</w:t>
            </w:r>
            <w:r>
              <w:rPr>
                <w:rFonts w:hint="eastAsia" w:ascii="宋体" w:hAnsi="宋体" w:eastAsia="宋体" w:cs="宋体"/>
                <w:b/>
                <w:sz w:val="24"/>
                <w:szCs w:val="24"/>
                <w:highlight w:val="none"/>
                <w:u w:val="single"/>
              </w:rPr>
              <w:t>%</w:t>
            </w:r>
            <w:r>
              <w:rPr>
                <w:rFonts w:hint="eastAsia" w:ascii="宋体" w:hAnsi="宋体" w:eastAsia="宋体" w:cs="宋体"/>
                <w:sz w:val="24"/>
                <w:szCs w:val="24"/>
                <w:highlight w:val="none"/>
              </w:rPr>
              <w:t>的扣除，用扣除后的价格参加评审。</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14</w:t>
      </w:r>
      <w:r>
        <w:rPr>
          <w:rFonts w:hint="eastAsia" w:ascii="宋体" w:hAnsi="宋体" w:cs="宋体"/>
          <w:color w:val="auto"/>
          <w:kern w:val="0"/>
          <w:sz w:val="24"/>
        </w:rPr>
        <w:t xml:space="preserve">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15</w:t>
      </w:r>
      <w:r>
        <w:rPr>
          <w:rFonts w:hint="eastAsia" w:ascii="宋体" w:hAnsi="宋体" w:cs="宋体"/>
          <w:color w:val="auto"/>
          <w:kern w:val="0"/>
          <w:sz w:val="24"/>
        </w:rPr>
        <w:t>法律、法规、规章（适用本市的）及省级以上规范性文件（适用本市的）规定的其他无效情形。</w:t>
      </w:r>
    </w:p>
    <w:p>
      <w:pPr>
        <w:pStyle w:val="26"/>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6"/>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6"/>
        <w:snapToGrid w:val="0"/>
        <w:spacing w:line="360" w:lineRule="auto"/>
        <w:rPr>
          <w:rFonts w:cs="宋体"/>
          <w:color w:val="auto"/>
        </w:rPr>
      </w:pPr>
      <w:r>
        <w:rPr>
          <w:rFonts w:hint="eastAsia" w:cs="宋体"/>
          <w:color w:val="auto"/>
        </w:rPr>
        <w:t>5.2出现影响采购公正的违法、违规行为的；</w:t>
      </w:r>
    </w:p>
    <w:p>
      <w:pPr>
        <w:pStyle w:val="26"/>
        <w:snapToGrid w:val="0"/>
        <w:spacing w:line="360" w:lineRule="auto"/>
        <w:rPr>
          <w:rFonts w:cs="宋体"/>
          <w:color w:val="auto"/>
        </w:rPr>
      </w:pPr>
      <w:r>
        <w:rPr>
          <w:rFonts w:hint="eastAsia" w:cs="宋体"/>
          <w:color w:val="auto"/>
        </w:rPr>
        <w:t>5.3投标人的报价均超过了采购预算，采购人不能支付的；</w:t>
      </w:r>
    </w:p>
    <w:p>
      <w:pPr>
        <w:pStyle w:val="26"/>
        <w:snapToGrid w:val="0"/>
        <w:spacing w:line="360" w:lineRule="auto"/>
        <w:rPr>
          <w:rFonts w:cs="宋体"/>
          <w:color w:val="auto"/>
        </w:rPr>
      </w:pPr>
      <w:r>
        <w:rPr>
          <w:rFonts w:hint="eastAsia" w:cs="宋体"/>
          <w:color w:val="auto"/>
        </w:rPr>
        <w:t>5.4因重大变故，采购任务取消的。</w:t>
      </w:r>
    </w:p>
    <w:p>
      <w:pPr>
        <w:pStyle w:val="26"/>
        <w:snapToGrid w:val="0"/>
        <w:spacing w:line="360" w:lineRule="auto"/>
        <w:rPr>
          <w:rFonts w:cs="宋体"/>
          <w:color w:val="auto"/>
        </w:rPr>
      </w:pPr>
      <w:r>
        <w:rPr>
          <w:rFonts w:hint="eastAsia" w:cs="宋体"/>
          <w:color w:val="auto"/>
        </w:rPr>
        <w:t>废标后，采购机构应当将废标理由通知所有投标人。</w:t>
      </w:r>
    </w:p>
    <w:p>
      <w:pPr>
        <w:pStyle w:val="26"/>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6"/>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6"/>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6"/>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rPr>
      </w:pPr>
    </w:p>
    <w:bookmarkEnd w:id="31"/>
    <w:p>
      <w:pPr>
        <w:rPr>
          <w:rFonts w:hint="eastAsia" w:ascii="宋体" w:hAnsi="宋体" w:cs="宋体"/>
          <w:b/>
          <w:color w:val="auto"/>
          <w:sz w:val="36"/>
          <w:szCs w:val="36"/>
        </w:rPr>
      </w:pPr>
      <w:bookmarkStart w:id="397" w:name="第五部分"/>
      <w:bookmarkStart w:id="398" w:name="_Toc86217003"/>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2"/>
        <w:rPr>
          <w:rFonts w:hint="eastAsia" w:ascii="宋体" w:hAnsi="宋体" w:cs="宋体"/>
          <w:b/>
          <w:color w:val="auto"/>
          <w:sz w:val="36"/>
          <w:szCs w:val="36"/>
        </w:rPr>
      </w:pPr>
    </w:p>
    <w:p>
      <w:pPr>
        <w:pStyle w:val="4"/>
        <w:rPr>
          <w:rFonts w:hint="eastAsia"/>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sz w:val="36"/>
          <w:szCs w:val="36"/>
        </w:rPr>
      </w:pPr>
    </w:p>
    <w:p>
      <w:pPr>
        <w:pStyle w:val="2"/>
        <w:rPr>
          <w:rFonts w:hint="eastAsia" w:ascii="宋体" w:hAnsi="宋体" w:cs="宋体"/>
          <w:b/>
          <w:sz w:val="36"/>
          <w:szCs w:val="36"/>
        </w:rPr>
      </w:pPr>
    </w:p>
    <w:p>
      <w:pPr>
        <w:pStyle w:val="4"/>
        <w:rPr>
          <w:rFonts w:hint="eastAsia" w:ascii="宋体" w:hAnsi="宋体" w:cs="宋体"/>
          <w:b/>
          <w:sz w:val="36"/>
          <w:szCs w:val="36"/>
        </w:rPr>
      </w:pPr>
    </w:p>
    <w:p>
      <w:pPr>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276"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u w:val="single"/>
        </w:rPr>
        <w:t xml:space="preserve">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（中标供应商名称）</w:t>
      </w:r>
      <w:r>
        <w:rPr>
          <w:rFonts w:hint="eastAsia" w:ascii="宋体" w:hAnsi="宋体" w:cs="宋体"/>
          <w:color w:val="auto"/>
          <w:sz w:val="24"/>
        </w:rPr>
        <w:t>为该项目中</w:t>
      </w:r>
      <w:r>
        <w:rPr>
          <w:rFonts w:hint="eastAsia" w:ascii="宋体" w:hAnsi="宋体" w:cs="宋体"/>
          <w:sz w:val="24"/>
        </w:rPr>
        <w:t>标供应商。现于中标通知书发出之日起10个工作日内，按照采购文件确定的事项签订本合同。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w:t>
      </w:r>
      <w:r>
        <w:rPr>
          <w:rFonts w:hint="eastAsia" w:ascii="宋体" w:hAnsi="宋体" w:cs="宋体"/>
          <w:sz w:val="24"/>
          <w:u w:val="single"/>
          <w:lang w:eastAsia="zh-CN"/>
        </w:rPr>
        <w:t>杭州市公安局西湖区分局</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4059"/>
      <w:bookmarkStart w:id="400" w:name="_Toc2232"/>
      <w:bookmarkStart w:id="401" w:name="_Toc3029"/>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7126"/>
      <w:bookmarkStart w:id="403" w:name="_Toc21295"/>
      <w:bookmarkStart w:id="404" w:name="_Toc24300"/>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5" w:name="_Toc21551"/>
      <w:bookmarkStart w:id="406" w:name="_Toc23292"/>
      <w:bookmarkStart w:id="407" w:name="_Toc21631"/>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408" w:name="_Toc10340"/>
      <w:bookmarkStart w:id="409" w:name="_Toc22618"/>
      <w:bookmarkStart w:id="410" w:name="_Toc1814"/>
      <w:r>
        <w:rPr>
          <w:rFonts w:hint="eastAsia" w:ascii="宋体" w:hAnsi="宋体" w:cs="宋体"/>
          <w:b/>
          <w:sz w:val="24"/>
        </w:rPr>
        <w:t>1.4 付款</w:t>
      </w:r>
      <w:bookmarkEnd w:id="408"/>
      <w:bookmarkEnd w:id="409"/>
      <w:bookmarkEnd w:id="410"/>
      <w:r>
        <w:rPr>
          <w:rFonts w:hint="eastAsia" w:ascii="宋体" w:hAnsi="宋体" w:cs="宋体"/>
          <w:b/>
          <w:sz w:val="24"/>
        </w:rPr>
        <w:t>方式、时间和条件</w:t>
      </w:r>
    </w:p>
    <w:p>
      <w:pPr>
        <w:pStyle w:val="957"/>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411" w:name="_Toc2846"/>
      <w:bookmarkStart w:id="412" w:name="_Toc19304"/>
      <w:bookmarkStart w:id="413" w:name="_Toc32071"/>
      <w:r>
        <w:rPr>
          <w:rFonts w:hint="eastAsia" w:ascii="宋体" w:hAnsi="宋体" w:cs="宋体"/>
          <w:b/>
          <w:sz w:val="24"/>
        </w:rPr>
        <w:t>1.5 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7250"/>
      <w:bookmarkStart w:id="415" w:name="_Toc21423"/>
      <w:bookmarkStart w:id="416" w:name="_Toc19554"/>
      <w:r>
        <w:rPr>
          <w:rFonts w:hint="eastAsia" w:ascii="宋体" w:hAnsi="宋体" w:cs="宋体"/>
          <w:b/>
          <w:sz w:val="24"/>
        </w:rPr>
        <w:t>1.6 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w:t>
      </w:r>
      <w:r>
        <w:rPr>
          <w:rFonts w:hint="eastAsia" w:ascii="宋体" w:hAnsi="宋体" w:cs="宋体"/>
          <w:sz w:val="24"/>
          <w:lang w:eastAsia="zh-CN"/>
        </w:rPr>
        <w:t>的</w:t>
      </w:r>
      <w:r>
        <w:rPr>
          <w:rFonts w:hint="eastAsia" w:ascii="宋体" w:hAnsi="宋体" w:cs="宋体"/>
          <w:sz w:val="24"/>
        </w:rPr>
        <w:t>，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28375"/>
      <w:bookmarkStart w:id="418" w:name="_Toc16021"/>
      <w:bookmarkStart w:id="419" w:name="_Toc15583"/>
      <w:r>
        <w:rPr>
          <w:rFonts w:hint="eastAsia" w:ascii="宋体" w:hAnsi="宋体" w:cs="宋体"/>
          <w:b/>
          <w:sz w:val="24"/>
        </w:rPr>
        <w:t>1.7 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15322"/>
      <w:bookmarkStart w:id="421" w:name="_Toc7245"/>
      <w:bookmarkStart w:id="422" w:name="_Toc11173"/>
      <w:r>
        <w:rPr>
          <w:rFonts w:hint="eastAsia" w:ascii="宋体" w:hAnsi="宋体" w:cs="宋体"/>
          <w:b/>
          <w:sz w:val="24"/>
        </w:rPr>
        <w:t>1.8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23" w:name="_Toc331685783"/>
    </w:p>
    <w:p>
      <w:pPr>
        <w:widowControl/>
        <w:adjustRightInd/>
        <w:jc w:val="left"/>
        <w:rPr>
          <w:rFonts w:ascii="宋体" w:hAnsi="宋体" w:cs="宋体"/>
          <w:b/>
          <w:sz w:val="24"/>
        </w:rPr>
      </w:pPr>
      <w:r>
        <w:rPr>
          <w:rFonts w:ascii="宋体" w:hAnsi="宋体" w:cs="宋体"/>
          <w:b/>
        </w:rPr>
        <w:br w:type="page"/>
      </w: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23"/>
    </w:p>
    <w:p>
      <w:pPr>
        <w:spacing w:line="560" w:lineRule="exact"/>
        <w:ind w:firstLine="482" w:firstLineChars="200"/>
        <w:outlineLvl w:val="0"/>
        <w:rPr>
          <w:rFonts w:ascii="宋体" w:hAnsi="宋体" w:cs="宋体"/>
          <w:b/>
          <w:sz w:val="24"/>
        </w:rPr>
      </w:pPr>
      <w:bookmarkStart w:id="424" w:name="_Ref467378499"/>
      <w:bookmarkStart w:id="425" w:name="_Ref467379109"/>
      <w:bookmarkStart w:id="426" w:name="_Ref467379101"/>
      <w:bookmarkStart w:id="427" w:name="_Ref467379205"/>
      <w:bookmarkStart w:id="428" w:name="_Ref467379195"/>
      <w:bookmarkStart w:id="429" w:name="_Toc259093669"/>
      <w:bookmarkStart w:id="430" w:name="_Ref467378463"/>
      <w:bookmarkStart w:id="431" w:name="_Ref467379094"/>
      <w:bookmarkStart w:id="432" w:name="_Ref467379214"/>
      <w:bookmarkStart w:id="433" w:name="_Toc487900349"/>
      <w:bookmarkStart w:id="434" w:name="_Toc28763"/>
      <w:bookmarkStart w:id="435" w:name="_Ref467379225"/>
      <w:bookmarkStart w:id="436" w:name="_Toc279701240"/>
      <w:bookmarkStart w:id="437" w:name="_Ref467378404"/>
      <w:bookmarkStart w:id="438" w:name="_Toc19614"/>
      <w:bookmarkStart w:id="439" w:name="_Toc16917"/>
      <w:r>
        <w:rPr>
          <w:rFonts w:hint="eastAsia" w:ascii="宋体" w:hAnsi="宋体" w:cs="宋体"/>
          <w:b/>
          <w:sz w:val="24"/>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0" w:name="_Ref467378840"/>
      <w:r>
        <w:rPr>
          <w:rFonts w:hint="eastAsia" w:ascii="宋体" w:hAnsi="宋体" w:cs="宋体"/>
          <w:sz w:val="24"/>
        </w:rPr>
        <w:t>2.1.4 “甲方”系指与中标供应商签署合同的采购人</w:t>
      </w:r>
      <w:bookmarkEnd w:id="440"/>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1" w:name="_Ref467379400"/>
      <w:r>
        <w:rPr>
          <w:rFonts w:hint="eastAsia" w:ascii="宋体" w:hAnsi="宋体" w:cs="宋体"/>
          <w:sz w:val="24"/>
        </w:rPr>
        <w:t>2.1.5 “乙方”系指根据合同约定交付货物的中标供应商</w:t>
      </w:r>
      <w:bookmarkEnd w:id="441"/>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2" w:name="_Ref467379436"/>
      <w:r>
        <w:rPr>
          <w:rFonts w:hint="eastAsia" w:ascii="宋体" w:hAnsi="宋体" w:cs="宋体"/>
          <w:sz w:val="24"/>
        </w:rPr>
        <w:t>2.1.6 “现场”系指合同约定货物将要运至或者安装的地点。</w:t>
      </w:r>
      <w:bookmarkEnd w:id="442"/>
    </w:p>
    <w:p>
      <w:pPr>
        <w:spacing w:line="560" w:lineRule="exact"/>
        <w:ind w:firstLine="482" w:firstLineChars="200"/>
        <w:outlineLvl w:val="0"/>
        <w:rPr>
          <w:rFonts w:ascii="宋体" w:hAnsi="宋体" w:cs="宋体"/>
          <w:b/>
          <w:sz w:val="24"/>
        </w:rPr>
      </w:pPr>
      <w:bookmarkStart w:id="443" w:name="_Toc13336"/>
      <w:bookmarkStart w:id="444" w:name="_Toc259093670"/>
      <w:bookmarkStart w:id="445" w:name="_Toc279701241"/>
      <w:bookmarkStart w:id="446" w:name="_Toc27635"/>
      <w:bookmarkStart w:id="447" w:name="_Toc32504"/>
      <w:bookmarkStart w:id="448" w:name="_Toc487900350"/>
      <w:r>
        <w:rPr>
          <w:rFonts w:hint="eastAsia" w:ascii="宋体" w:hAnsi="宋体" w:cs="宋体"/>
          <w:b/>
          <w:sz w:val="24"/>
        </w:rPr>
        <w:t>2.2 技术规范</w:t>
      </w:r>
      <w:bookmarkEnd w:id="443"/>
      <w:bookmarkEnd w:id="444"/>
      <w:bookmarkEnd w:id="445"/>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9" w:name="_Toc279701242"/>
      <w:bookmarkStart w:id="450" w:name="_Toc9829"/>
      <w:bookmarkStart w:id="451" w:name="_Toc259093671"/>
      <w:bookmarkStart w:id="452" w:name="_Toc487900351"/>
      <w:bookmarkStart w:id="453" w:name="_Toc31634"/>
      <w:bookmarkStart w:id="454" w:name="_Toc27853"/>
      <w:r>
        <w:rPr>
          <w:rFonts w:hint="eastAsia" w:ascii="宋体" w:hAnsi="宋体" w:cs="宋体"/>
          <w:b/>
          <w:sz w:val="24"/>
        </w:rPr>
        <w:t>2.3 知识产权</w:t>
      </w:r>
      <w:bookmarkEnd w:id="449"/>
      <w:bookmarkEnd w:id="450"/>
      <w:bookmarkEnd w:id="451"/>
      <w:bookmarkEnd w:id="452"/>
      <w:bookmarkEnd w:id="453"/>
      <w:bookmarkEnd w:id="454"/>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5" w:name="_Toc11932"/>
      <w:bookmarkStart w:id="456" w:name="_Toc29149"/>
      <w:bookmarkStart w:id="457" w:name="_Toc4194"/>
      <w:r>
        <w:rPr>
          <w:rFonts w:hint="eastAsia" w:ascii="宋体" w:hAnsi="宋体" w:cs="宋体"/>
          <w:b/>
          <w:sz w:val="24"/>
        </w:rPr>
        <w:t>2.4 包装和装运</w:t>
      </w:r>
      <w:bookmarkEnd w:id="455"/>
      <w:bookmarkEnd w:id="456"/>
      <w:bookmarkEnd w:id="457"/>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8" w:name="_Ref467379542"/>
      <w:bookmarkStart w:id="459" w:name="_Ref467378541"/>
      <w:bookmarkStart w:id="460" w:name="_Ref467379536"/>
      <w:bookmarkStart w:id="461" w:name="_Toc259093674"/>
      <w:bookmarkStart w:id="462" w:name="_Ref467378591"/>
      <w:bookmarkStart w:id="463" w:name="_Ref467379527"/>
      <w:bookmarkStart w:id="464" w:name="_Toc487900354"/>
      <w:bookmarkStart w:id="465" w:name="_Toc279701245"/>
      <w:bookmarkStart w:id="466" w:name="_Toc26182"/>
      <w:bookmarkStart w:id="467" w:name="_Toc19074"/>
      <w:bookmarkStart w:id="468" w:name="_Toc30272"/>
      <w:r>
        <w:rPr>
          <w:rFonts w:hint="eastAsia" w:ascii="宋体" w:hAnsi="宋体" w:cs="宋体"/>
          <w:b/>
          <w:sz w:val="24"/>
        </w:rPr>
        <w:t>2.</w:t>
      </w:r>
      <w:bookmarkEnd w:id="458"/>
      <w:bookmarkEnd w:id="459"/>
      <w:bookmarkEnd w:id="460"/>
      <w:bookmarkEnd w:id="461"/>
      <w:bookmarkEnd w:id="462"/>
      <w:bookmarkEnd w:id="463"/>
      <w:bookmarkEnd w:id="464"/>
      <w:bookmarkEnd w:id="465"/>
      <w:r>
        <w:rPr>
          <w:rFonts w:hint="eastAsia" w:ascii="宋体" w:hAnsi="宋体" w:cs="宋体"/>
          <w:b/>
          <w:sz w:val="24"/>
        </w:rPr>
        <w:t>5 履约检查和问题反馈</w:t>
      </w:r>
      <w:bookmarkEnd w:id="466"/>
      <w:bookmarkEnd w:id="467"/>
      <w:bookmarkEnd w:id="468"/>
    </w:p>
    <w:p>
      <w:pPr>
        <w:spacing w:line="560" w:lineRule="exact"/>
        <w:ind w:firstLine="480" w:firstLineChars="200"/>
        <w:rPr>
          <w:rFonts w:ascii="宋体" w:hAnsi="宋体" w:cs="宋体"/>
          <w:sz w:val="24"/>
        </w:rPr>
      </w:pPr>
      <w:bookmarkStart w:id="469" w:name="_Ref467379657"/>
      <w:r>
        <w:rPr>
          <w:rFonts w:hint="eastAsia" w:ascii="宋体" w:hAnsi="宋体" w:cs="宋体"/>
          <w:sz w:val="24"/>
        </w:rPr>
        <w:t>2.5.1</w:t>
      </w:r>
      <w:bookmarkEnd w:id="469"/>
      <w:bookmarkStart w:id="470" w:name="_Toc186431854"/>
      <w:bookmarkStart w:id="471" w:name="_Toc259093676"/>
      <w:bookmarkStart w:id="472" w:name="_Ref467379793"/>
      <w:bookmarkStart w:id="473" w:name="_Toc487900357"/>
      <w:bookmarkStart w:id="474" w:name="_Toc279701247"/>
      <w:bookmarkStart w:id="475"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0"/>
      <w:bookmarkStart w:id="476" w:name="_Toc186431855"/>
      <w:r>
        <w:rPr>
          <w:rFonts w:hint="eastAsia" w:ascii="宋体" w:hAnsi="宋体" w:cs="宋体"/>
          <w:sz w:val="24"/>
        </w:rPr>
        <w:t>。</w:t>
      </w:r>
    </w:p>
    <w:bookmarkEnd w:id="471"/>
    <w:bookmarkEnd w:id="472"/>
    <w:bookmarkEnd w:id="473"/>
    <w:bookmarkEnd w:id="474"/>
    <w:bookmarkEnd w:id="475"/>
    <w:bookmarkEnd w:id="476"/>
    <w:p>
      <w:pPr>
        <w:spacing w:line="560" w:lineRule="exact"/>
        <w:ind w:firstLine="482" w:firstLineChars="200"/>
        <w:outlineLvl w:val="0"/>
        <w:rPr>
          <w:rFonts w:ascii="宋体" w:hAnsi="宋体" w:cs="宋体"/>
          <w:b/>
          <w:sz w:val="24"/>
        </w:rPr>
      </w:pPr>
      <w:bookmarkStart w:id="477" w:name="_Toc259093677"/>
      <w:bookmarkStart w:id="478" w:name="_Ref467379852"/>
      <w:bookmarkStart w:id="479" w:name="_Toc487900358"/>
      <w:bookmarkStart w:id="480" w:name="_Toc279701248"/>
      <w:bookmarkStart w:id="481" w:name="_Ref467379923"/>
      <w:bookmarkStart w:id="482" w:name="_Ref467379863"/>
      <w:bookmarkStart w:id="483" w:name="_Toc774"/>
      <w:bookmarkStart w:id="484" w:name="_Toc3225"/>
      <w:bookmarkStart w:id="485" w:name="_Toc16110"/>
      <w:r>
        <w:rPr>
          <w:rFonts w:hint="eastAsia" w:ascii="宋体" w:hAnsi="宋体" w:cs="宋体"/>
          <w:b/>
          <w:sz w:val="24"/>
        </w:rPr>
        <w:t>2.6 技术资料</w:t>
      </w:r>
      <w:bookmarkEnd w:id="477"/>
      <w:bookmarkEnd w:id="478"/>
      <w:bookmarkEnd w:id="479"/>
      <w:bookmarkEnd w:id="480"/>
      <w:bookmarkEnd w:id="481"/>
      <w:bookmarkEnd w:id="482"/>
      <w:r>
        <w:rPr>
          <w:rFonts w:hint="eastAsia" w:ascii="宋体" w:hAnsi="宋体" w:cs="宋体"/>
          <w:b/>
          <w:sz w:val="24"/>
        </w:rPr>
        <w:t>和保密义务</w:t>
      </w:r>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6" w:name="_Toc7860"/>
      <w:r>
        <w:rPr>
          <w:rFonts w:hint="eastAsia" w:ascii="宋体" w:hAnsi="宋体" w:cs="宋体"/>
          <w:b/>
          <w:sz w:val="24"/>
        </w:rPr>
        <w:t>2.7 质量保证</w:t>
      </w:r>
      <w:bookmarkEnd w:id="486"/>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7" w:name="_Toc17244"/>
      <w:bookmarkStart w:id="488" w:name="_Toc279701252"/>
      <w:bookmarkStart w:id="489" w:name="_Toc259093681"/>
      <w:bookmarkStart w:id="490" w:name="_Toc487900362"/>
      <w:r>
        <w:rPr>
          <w:rFonts w:hint="eastAsia" w:ascii="宋体" w:hAnsi="宋体" w:cs="宋体"/>
          <w:b/>
          <w:sz w:val="24"/>
        </w:rPr>
        <w:t>2.8 货物的风险负担</w:t>
      </w:r>
      <w:bookmarkEnd w:id="487"/>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1" w:name="_Toc14055"/>
      <w:r>
        <w:rPr>
          <w:rFonts w:hint="eastAsia" w:ascii="宋体" w:hAnsi="宋体" w:cs="宋体"/>
          <w:b/>
          <w:sz w:val="24"/>
        </w:rPr>
        <w:t>2.9 延迟交货</w:t>
      </w:r>
      <w:bookmarkEnd w:id="488"/>
      <w:bookmarkEnd w:id="489"/>
      <w:bookmarkEnd w:id="490"/>
      <w:bookmarkEnd w:id="491"/>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2" w:name="_Toc7502"/>
      <w:bookmarkStart w:id="493" w:name="_Ref467378121"/>
      <w:bookmarkStart w:id="494" w:name="_Toc487900364"/>
      <w:bookmarkStart w:id="495" w:name="_Toc259093683"/>
      <w:bookmarkStart w:id="496" w:name="_Toc279701254"/>
      <w:r>
        <w:rPr>
          <w:rFonts w:hint="eastAsia" w:ascii="宋体" w:hAnsi="宋体" w:cs="宋体"/>
          <w:b/>
          <w:sz w:val="24"/>
        </w:rPr>
        <w:t>2.10 合同变更</w:t>
      </w:r>
      <w:bookmarkEnd w:id="492"/>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7" w:name="_Toc487900369"/>
      <w:bookmarkStart w:id="498" w:name="_Toc279701259"/>
      <w:bookmarkStart w:id="499" w:name="_Toc259093688"/>
    </w:p>
    <w:p>
      <w:pPr>
        <w:spacing w:line="560" w:lineRule="exact"/>
        <w:ind w:firstLine="482" w:firstLineChars="200"/>
        <w:outlineLvl w:val="0"/>
        <w:rPr>
          <w:rFonts w:ascii="宋体" w:hAnsi="宋体" w:cs="宋体"/>
          <w:b/>
          <w:sz w:val="24"/>
        </w:rPr>
      </w:pPr>
      <w:bookmarkStart w:id="500" w:name="_Toc22955"/>
      <w:bookmarkStart w:id="501" w:name="_Toc15237"/>
      <w:bookmarkStart w:id="502" w:name="_Toc10366"/>
      <w:r>
        <w:rPr>
          <w:rFonts w:hint="eastAsia" w:ascii="宋体" w:hAnsi="宋体" w:cs="宋体"/>
          <w:b/>
          <w:sz w:val="24"/>
        </w:rPr>
        <w:t>2.11 合同转让</w:t>
      </w:r>
      <w:bookmarkEnd w:id="497"/>
      <w:bookmarkEnd w:id="498"/>
      <w:bookmarkEnd w:id="499"/>
      <w:r>
        <w:rPr>
          <w:rFonts w:hint="eastAsia" w:ascii="宋体" w:hAnsi="宋体" w:cs="宋体"/>
          <w:b/>
          <w:sz w:val="24"/>
        </w:rPr>
        <w:t>和分包</w:t>
      </w:r>
      <w:bookmarkEnd w:id="500"/>
      <w:bookmarkEnd w:id="501"/>
      <w:bookmarkEnd w:id="502"/>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3" w:name="_Toc14066"/>
      <w:bookmarkStart w:id="504" w:name="_Toc13566"/>
      <w:bookmarkStart w:id="505" w:name="_Toc16508"/>
      <w:r>
        <w:rPr>
          <w:rFonts w:hint="eastAsia" w:ascii="宋体" w:hAnsi="宋体" w:cs="宋体"/>
          <w:b/>
          <w:sz w:val="24"/>
        </w:rPr>
        <w:t>2.12 不可抗力</w:t>
      </w:r>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w:t>
      </w:r>
      <w:r>
        <w:rPr>
          <w:rFonts w:hint="eastAsia" w:ascii="宋体" w:hAnsi="宋体" w:cs="宋体"/>
          <w:sz w:val="24"/>
          <w:lang w:eastAsia="zh-CN"/>
        </w:rPr>
        <w:t>的</w:t>
      </w:r>
      <w:r>
        <w:rPr>
          <w:rFonts w:hint="eastAsia" w:ascii="宋体" w:hAnsi="宋体" w:cs="宋体"/>
          <w:sz w:val="24"/>
        </w:rPr>
        <w:t>，当事人可以解除合同；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6" w:name="_Toc30676"/>
      <w:bookmarkStart w:id="507" w:name="_Toc6969"/>
      <w:bookmarkStart w:id="508" w:name="_Toc689"/>
      <w:bookmarkStart w:id="509" w:name="_Toc259093684"/>
      <w:bookmarkStart w:id="510" w:name="_Toc487900365"/>
      <w:bookmarkStart w:id="511" w:name="_Toc279701255"/>
      <w:r>
        <w:rPr>
          <w:rFonts w:hint="eastAsia" w:ascii="宋体" w:hAnsi="宋体" w:cs="宋体"/>
          <w:b/>
          <w:sz w:val="24"/>
        </w:rPr>
        <w:t>2.13 税费</w:t>
      </w:r>
      <w:bookmarkEnd w:id="506"/>
      <w:bookmarkEnd w:id="507"/>
      <w:bookmarkEnd w:id="508"/>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2" w:name="_Toc279701258"/>
      <w:bookmarkStart w:id="513" w:name="_Toc259093687"/>
      <w:bookmarkStart w:id="514" w:name="_Toc8298"/>
      <w:bookmarkStart w:id="515" w:name="_Toc487900368"/>
      <w:bookmarkStart w:id="516" w:name="_Toc16959"/>
      <w:bookmarkStart w:id="517" w:name="_Toc7102"/>
      <w:r>
        <w:rPr>
          <w:rFonts w:hint="eastAsia" w:ascii="宋体" w:hAnsi="宋体" w:cs="宋体"/>
          <w:b/>
          <w:sz w:val="24"/>
        </w:rPr>
        <w:t>2.14乙方破产</w:t>
      </w:r>
      <w:bookmarkEnd w:id="512"/>
      <w:bookmarkEnd w:id="513"/>
      <w:bookmarkEnd w:id="514"/>
      <w:bookmarkEnd w:id="515"/>
      <w:bookmarkEnd w:id="516"/>
      <w:bookmarkEnd w:id="517"/>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8" w:name="_Toc6134"/>
      <w:bookmarkStart w:id="519" w:name="_Toc15387"/>
      <w:bookmarkStart w:id="520" w:name="_Toc29333"/>
      <w:r>
        <w:rPr>
          <w:rFonts w:hint="eastAsia" w:ascii="宋体" w:hAnsi="宋体" w:cs="宋体"/>
          <w:b/>
          <w:sz w:val="24"/>
        </w:rPr>
        <w:t>2.15 合同中止、终止</w:t>
      </w:r>
      <w:bookmarkEnd w:id="518"/>
      <w:bookmarkEnd w:id="519"/>
      <w:bookmarkEnd w:id="520"/>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1" w:name="_Toc1125"/>
      <w:bookmarkStart w:id="522" w:name="_Toc14563"/>
      <w:bookmarkStart w:id="523" w:name="_Toc6596"/>
      <w:r>
        <w:rPr>
          <w:rFonts w:hint="eastAsia" w:ascii="宋体" w:hAnsi="宋体" w:cs="宋体"/>
          <w:b/>
          <w:sz w:val="24"/>
        </w:rPr>
        <w:t>2.16检验和验收</w:t>
      </w:r>
      <w:bookmarkEnd w:id="521"/>
      <w:bookmarkEnd w:id="522"/>
      <w:bookmarkEnd w:id="523"/>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3"/>
    <w:bookmarkEnd w:id="494"/>
    <w:bookmarkEnd w:id="495"/>
    <w:bookmarkEnd w:id="496"/>
    <w:p>
      <w:pPr>
        <w:spacing w:line="560" w:lineRule="exact"/>
        <w:ind w:firstLine="482" w:firstLineChars="200"/>
        <w:outlineLvl w:val="0"/>
        <w:rPr>
          <w:rFonts w:ascii="宋体" w:hAnsi="宋体" w:cs="宋体"/>
          <w:b/>
          <w:sz w:val="24"/>
        </w:rPr>
      </w:pPr>
      <w:bookmarkStart w:id="524" w:name="_Toc487900371"/>
      <w:bookmarkStart w:id="525" w:name="_Toc279701261"/>
      <w:bookmarkStart w:id="526" w:name="_Toc259093690"/>
      <w:bookmarkStart w:id="527" w:name="_Toc19604"/>
      <w:bookmarkStart w:id="528" w:name="_Toc11284"/>
      <w:bookmarkStart w:id="529" w:name="_Toc25182"/>
      <w:r>
        <w:rPr>
          <w:rFonts w:hint="eastAsia" w:ascii="宋体" w:hAnsi="宋体" w:cs="宋体"/>
          <w:b/>
          <w:sz w:val="24"/>
        </w:rPr>
        <w:t>2.17 通知</w:t>
      </w:r>
      <w:bookmarkEnd w:id="524"/>
      <w:bookmarkEnd w:id="525"/>
      <w:bookmarkEnd w:id="526"/>
      <w:r>
        <w:rPr>
          <w:rFonts w:hint="eastAsia" w:ascii="宋体" w:hAnsi="宋体" w:cs="宋体"/>
          <w:b/>
          <w:sz w:val="24"/>
        </w:rPr>
        <w:t>和送达</w:t>
      </w:r>
      <w:bookmarkEnd w:id="527"/>
      <w:bookmarkEnd w:id="528"/>
      <w:bookmarkEnd w:id="529"/>
    </w:p>
    <w:p>
      <w:pPr>
        <w:spacing w:line="560" w:lineRule="exact"/>
        <w:ind w:firstLine="480" w:firstLineChars="200"/>
        <w:rPr>
          <w:rFonts w:ascii="宋体" w:hAnsi="宋体" w:cs="宋体"/>
          <w:sz w:val="24"/>
        </w:rPr>
      </w:pPr>
      <w:bookmarkStart w:id="530" w:name="_Toc3135"/>
      <w:bookmarkStart w:id="531" w:name="_Toc6698"/>
      <w:bookmarkStart w:id="532" w:name="_Toc487900372"/>
      <w:bookmarkStart w:id="533" w:name="_Toc259093691"/>
      <w:bookmarkStart w:id="534"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宋体" w:hAnsi="宋体" w:cs="宋体"/>
          <w:sz w:val="24"/>
        </w:rPr>
      </w:pPr>
      <w:bookmarkStart w:id="535" w:name="_Toc23128"/>
      <w:bookmarkStart w:id="536"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pacing w:line="560" w:lineRule="exact"/>
        <w:ind w:firstLine="482" w:firstLineChars="200"/>
        <w:outlineLvl w:val="0"/>
        <w:rPr>
          <w:rFonts w:ascii="宋体" w:hAnsi="宋体" w:cs="宋体"/>
          <w:b/>
          <w:sz w:val="24"/>
        </w:rPr>
      </w:pPr>
      <w:bookmarkStart w:id="537" w:name="_Toc4355"/>
      <w:bookmarkStart w:id="538" w:name="_Toc18540"/>
      <w:bookmarkStart w:id="539" w:name="_Toc30599"/>
      <w:r>
        <w:rPr>
          <w:rFonts w:hint="eastAsia" w:ascii="宋体" w:hAnsi="宋体" w:cs="宋体"/>
          <w:b/>
          <w:sz w:val="24"/>
        </w:rPr>
        <w:t>2.18 计量单位</w:t>
      </w:r>
      <w:bookmarkEnd w:id="532"/>
      <w:bookmarkEnd w:id="533"/>
      <w:bookmarkEnd w:id="534"/>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0" w:name="_Toc259093692"/>
      <w:bookmarkStart w:id="541" w:name="_Toc10330"/>
      <w:bookmarkStart w:id="542" w:name="_Toc18567"/>
      <w:bookmarkStart w:id="543" w:name="_Toc12773"/>
      <w:bookmarkStart w:id="544" w:name="_Toc487900373"/>
      <w:bookmarkStart w:id="545" w:name="_Toc279701263"/>
      <w:r>
        <w:rPr>
          <w:rFonts w:hint="eastAsia" w:ascii="宋体" w:hAnsi="宋体" w:cs="宋体"/>
          <w:b/>
          <w:sz w:val="24"/>
        </w:rPr>
        <w:t>2.19 合同使用的文字和适用的法律</w:t>
      </w:r>
      <w:bookmarkEnd w:id="540"/>
      <w:bookmarkEnd w:id="541"/>
      <w:bookmarkEnd w:id="542"/>
      <w:bookmarkEnd w:id="543"/>
      <w:bookmarkEnd w:id="544"/>
      <w:bookmarkEnd w:id="545"/>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6" w:name="_Toc259093693"/>
      <w:bookmarkStart w:id="547" w:name="_Toc279701264"/>
      <w:bookmarkStart w:id="548" w:name="_Toc16673"/>
      <w:bookmarkStart w:id="549" w:name="_Toc12004"/>
      <w:bookmarkStart w:id="550" w:name="_Toc3148"/>
      <w:bookmarkStart w:id="551" w:name="_Toc487900374"/>
      <w:r>
        <w:rPr>
          <w:rFonts w:hint="eastAsia" w:ascii="宋体" w:hAnsi="宋体" w:cs="宋体"/>
          <w:b/>
          <w:sz w:val="24"/>
        </w:rPr>
        <w:t>2.20 履约保证金</w:t>
      </w:r>
      <w:bookmarkEnd w:id="546"/>
      <w:bookmarkEnd w:id="547"/>
      <w:bookmarkEnd w:id="548"/>
      <w:bookmarkEnd w:id="549"/>
      <w:bookmarkEnd w:id="550"/>
    </w:p>
    <w:p>
      <w:pPr>
        <w:pStyle w:val="957"/>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w:t>
      </w:r>
      <w:r>
        <w:rPr>
          <w:rFonts w:hint="eastAsia"/>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ascii="宋体" w:hAnsi="宋体" w:cs="宋体"/>
          <w:sz w:val="24"/>
        </w:rPr>
        <w:t xml:space="preserve">2.20.2  </w:t>
      </w:r>
      <w:r>
        <w:rPr>
          <w:rFonts w:hint="eastAsia" w:ascii="宋体" w:hAnsi="宋体" w:cs="宋体"/>
          <w:sz w:val="24"/>
        </w:rPr>
        <w:t>甲方在项目验收结束后及时退还履约保证金。甲方在项目通过验收之日起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rPr>
      </w:pPr>
      <w:r>
        <w:rPr>
          <w:rFonts w:hint="eastAsia" w:ascii="宋体" w:hAnsi="宋体" w:cs="宋体"/>
          <w:sz w:val="24"/>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51"/>
    <w:p>
      <w:pPr>
        <w:spacing w:line="560" w:lineRule="exact"/>
        <w:ind w:firstLine="482" w:firstLineChars="200"/>
        <w:outlineLvl w:val="0"/>
        <w:rPr>
          <w:rFonts w:ascii="宋体" w:hAnsi="宋体" w:cs="宋体"/>
          <w:b/>
          <w:sz w:val="24"/>
        </w:rPr>
      </w:pPr>
      <w:bookmarkStart w:id="552" w:name="_Toc6885"/>
      <w:bookmarkStart w:id="553" w:name="_Toc19890"/>
      <w:bookmarkStart w:id="554" w:name="_Toc14001"/>
      <w:r>
        <w:rPr>
          <w:rFonts w:hint="eastAsia" w:ascii="宋体" w:hAnsi="宋体" w:cs="宋体"/>
          <w:b/>
          <w:sz w:val="24"/>
        </w:rPr>
        <w:t>2.22合同份数</w:t>
      </w:r>
      <w:bookmarkEnd w:id="552"/>
      <w:bookmarkEnd w:id="553"/>
      <w:bookmarkEnd w:id="554"/>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bookmarkStart w:id="555" w:name="_Toc331685784"/>
      <w:r>
        <w:rPr>
          <w:rFonts w:hint="eastAsia" w:ascii="宋体" w:hAnsi="宋体" w:cs="宋体"/>
          <w:b/>
          <w:sz w:val="32"/>
          <w:szCs w:val="20"/>
        </w:rPr>
        <w:t xml:space="preserve"> </w:t>
      </w:r>
      <w:bookmarkEnd w:id="555"/>
      <w:r>
        <w:rPr>
          <w:rFonts w:hint="eastAsia" w:ascii="宋体" w:hAnsi="宋体" w:cs="宋体"/>
          <w:b/>
          <w:sz w:val="32"/>
          <w:szCs w:val="20"/>
        </w:rPr>
        <w:t>第三部分  合同专用条款</w:t>
      </w:r>
    </w:p>
    <w:p>
      <w:pPr>
        <w:spacing w:line="560" w:lineRule="exact"/>
        <w:ind w:left="-420" w:leftChars="-200" w:right="-420" w:rightChars="-200" w:firstLine="480" w:firstLineChars="200"/>
        <w:rPr>
          <w:rFonts w:hint="eastAsia"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widowControl/>
              <w:adjustRightInd/>
              <w:jc w:val="left"/>
              <w:rPr>
                <w:rFonts w:ascii="宋体" w:hAnsi="宋体" w:cs="宋体"/>
                <w:b/>
                <w:sz w:val="24"/>
              </w:rPr>
            </w:pPr>
            <w:r>
              <w:rPr>
                <w:rFonts w:ascii="宋体" w:hAnsi="宋体" w:cs="宋体"/>
                <w:b/>
                <w:sz w:val="36"/>
                <w:szCs w:val="20"/>
              </w:rPr>
              <w:br w:type="page"/>
            </w: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资金支付的方式：分期付款；</w:t>
            </w:r>
          </w:p>
          <w:p>
            <w:pPr>
              <w:spacing w:line="360" w:lineRule="auto"/>
              <w:rPr>
                <w:rFonts w:ascii="宋体" w:hAnsi="宋体" w:cs="宋体"/>
                <w:sz w:val="24"/>
              </w:rPr>
            </w:pPr>
            <w:r>
              <w:rPr>
                <w:rFonts w:hint="eastAsia" w:asciiTheme="minorEastAsia" w:hAnsiTheme="minorEastAsia" w:eastAsiaTheme="minorEastAsia" w:cstheme="minorEastAsia"/>
                <w:sz w:val="24"/>
                <w:highlight w:val="none"/>
              </w:rPr>
              <w:t>时间和条件：</w:t>
            </w:r>
            <w:r>
              <w:rPr>
                <w:rFonts w:hint="eastAsia" w:asciiTheme="minorEastAsia" w:hAnsiTheme="minorEastAsia" w:eastAsiaTheme="minorEastAsia" w:cstheme="minorEastAsia"/>
                <w:sz w:val="24"/>
                <w:highlight w:val="none"/>
                <w:lang w:eastAsia="zh-CN"/>
              </w:rPr>
              <w:t>合同签订后</w:t>
            </w:r>
            <w:r>
              <w:rPr>
                <w:rFonts w:hint="eastAsia" w:asciiTheme="minorEastAsia" w:hAnsiTheme="minorEastAsia" w:eastAsiaTheme="minorEastAsia" w:cstheme="minorEastAsia"/>
                <w:sz w:val="24"/>
                <w:highlight w:val="none"/>
                <w:lang w:val="en-US" w:eastAsia="zh-CN"/>
              </w:rPr>
              <w:t>10个工作日内</w:t>
            </w:r>
            <w:r>
              <w:rPr>
                <w:rFonts w:hint="eastAsia" w:asciiTheme="minorEastAsia" w:hAnsiTheme="minorEastAsia" w:eastAsiaTheme="minorEastAsia" w:cstheme="minorEastAsia"/>
                <w:sz w:val="24"/>
                <w:highlight w:val="none"/>
              </w:rPr>
              <w:t>，付合同金额40％的预付款，计   元；</w:t>
            </w:r>
            <w:r>
              <w:rPr>
                <w:rFonts w:hint="eastAsia" w:asciiTheme="minorEastAsia" w:hAnsiTheme="minorEastAsia" w:eastAsiaTheme="minorEastAsia" w:cstheme="minorEastAsia"/>
                <w:sz w:val="24"/>
                <w:highlight w:val="none"/>
                <w:lang w:val="en-US" w:eastAsia="zh-CN"/>
              </w:rPr>
              <w:t>供货完成，付合同金额的40%款项，验收合格后</w:t>
            </w:r>
            <w:r>
              <w:rPr>
                <w:rFonts w:hint="eastAsia" w:asciiTheme="minorEastAsia" w:hAnsiTheme="minorEastAsia" w:eastAsiaTheme="minorEastAsia" w:cstheme="minorEastAsia"/>
                <w:sz w:val="24"/>
                <w:highlight w:val="none"/>
              </w:rPr>
              <w:t>（货到安装无任何质量问题，凭双方签字盖章的验收意见、验收小组签字的验收报告及公示截图）,支付合同余款。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pStyle w:val="59"/>
              <w:snapToGrid w:val="0"/>
              <w:spacing w:before="0" w:beforeAutospacing="0" w:after="0" w:afterAutospacing="0" w:line="300" w:lineRule="auto"/>
            </w:pPr>
            <w:r>
              <w:rPr>
                <w:rFonts w:hint="eastAsia" w:asciiTheme="minorEastAsia" w:hAnsiTheme="minorEastAsia" w:eastAsiaTheme="minorEastAsia" w:cstheme="minorEastAsia"/>
              </w:rPr>
              <w:t>接甲方通知之日起入场，</w:t>
            </w:r>
            <w:r>
              <w:rPr>
                <w:rFonts w:hint="eastAsia" w:asciiTheme="minorEastAsia" w:hAnsiTheme="minorEastAsia" w:eastAsiaTheme="minorEastAsia" w:cstheme="minorEastAsia"/>
                <w:lang w:val="en-US" w:eastAsia="zh-CN"/>
              </w:rPr>
              <w:t>180</w:t>
            </w:r>
            <w:r>
              <w:rPr>
                <w:rFonts w:hint="eastAsia" w:asciiTheme="minorEastAsia" w:hAnsiTheme="minorEastAsia" w:eastAsiaTheme="minorEastAsia" w:cstheme="minorEastAsia"/>
              </w:rPr>
              <w:t>日历天</w:t>
            </w:r>
            <w:r>
              <w:rPr>
                <w:rFonts w:hint="eastAsia"/>
              </w:rPr>
              <w:t>内完成供货、安装和调试交付验收，如在规定的时间内由于乙方的原因不能完成安装和调试，乙方应承担由此给甲方造成的损失。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现场交付</w:t>
            </w:r>
          </w:p>
          <w:p>
            <w:pPr>
              <w:spacing w:line="300" w:lineRule="auto"/>
            </w:pPr>
            <w:r>
              <w:rPr>
                <w:rFonts w:hint="eastAsia" w:ascii="宋体" w:hAnsi="宋体"/>
                <w:kern w:val="0"/>
                <w:sz w:val="24"/>
              </w:rPr>
              <w:t>乙方在货物发运手续办理完毕后24小时内或货到甲方48小时前通知甲方，以准备接货。货物在交付甲方前发生的风险均由乙方负责。货物在规定的交付期限内由乙方送达甲方指定的地点视为交付，乙方同时需通知甲方货物已送达。对其在制造、购置、运输、存放及交货过程中的丢失或损坏进行全面保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00" w:lineRule="auto"/>
              <w:rPr>
                <w:rFonts w:ascii="宋体" w:hAnsi="宋体" w:cs="宋体"/>
                <w:sz w:val="24"/>
              </w:rPr>
            </w:pPr>
            <w:r>
              <w:rPr>
                <w:rFonts w:hint="eastAsia" w:ascii="宋体" w:hAnsi="宋体" w:cs="宋体"/>
                <w:sz w:val="24"/>
              </w:rPr>
              <w:t>其他违约条款（可自行补充）</w:t>
            </w:r>
          </w:p>
          <w:p>
            <w:pPr>
              <w:numPr>
                <w:ilvl w:val="0"/>
                <w:numId w:val="4"/>
              </w:numPr>
              <w:spacing w:line="300" w:lineRule="auto"/>
              <w:ind w:firstLine="240" w:firstLineChars="100"/>
              <w:rPr>
                <w:rFonts w:ascii="宋体" w:hAnsi="宋体" w:cs="宋体"/>
                <w:sz w:val="24"/>
              </w:rPr>
            </w:pPr>
            <w:r>
              <w:rPr>
                <w:rFonts w:hint="eastAsia" w:ascii="宋体" w:hAnsi="宋体"/>
                <w:sz w:val="24"/>
              </w:rPr>
              <w:t>甲方有权对质量不合格产品进行拒收，由此产生的损失由乙方承担；</w:t>
            </w:r>
          </w:p>
          <w:p>
            <w:pPr>
              <w:numPr>
                <w:ilvl w:val="0"/>
                <w:numId w:val="4"/>
              </w:numPr>
              <w:spacing w:line="300" w:lineRule="auto"/>
              <w:ind w:firstLine="240" w:firstLineChars="100"/>
              <w:rPr>
                <w:rFonts w:ascii="宋体" w:hAnsi="宋体" w:cs="宋体"/>
                <w:sz w:val="24"/>
              </w:rPr>
            </w:pPr>
            <w:r>
              <w:rPr>
                <w:rFonts w:ascii="宋体" w:hAnsi="宋体" w:cs="宋体"/>
                <w:sz w:val="24"/>
              </w:rPr>
              <w:t>乙方所交的货物品种、型号、规格、技术参数、质量不符合合同规定及招投标文件规定标准的，或项目经验收不合格的，甲方有权拒收该货物，乙方愿意更换货物但逾期交货的，按乙方逾期交货处理。乙方拒绝更换货物的，甲方可单方面解除合同，同时乙方应按合同价款的10%承担违约金，并退还全部已收款项。</w:t>
            </w:r>
          </w:p>
          <w:p>
            <w:pPr>
              <w:numPr>
                <w:ilvl w:val="0"/>
                <w:numId w:val="4"/>
              </w:numPr>
              <w:spacing w:line="300" w:lineRule="auto"/>
              <w:ind w:firstLine="240" w:firstLineChars="100"/>
              <w:rPr>
                <w:rFonts w:ascii="宋体" w:hAnsi="宋体" w:cs="宋体"/>
                <w:sz w:val="24"/>
              </w:rPr>
            </w:pPr>
            <w:r>
              <w:rPr>
                <w:rFonts w:ascii="宋体" w:hAnsi="宋体" w:cs="宋体"/>
                <w:sz w:val="24"/>
              </w:rPr>
              <w:t>上述第</w:t>
            </w:r>
            <w:r>
              <w:rPr>
                <w:rFonts w:hint="eastAsia" w:ascii="宋体" w:hAnsi="宋体" w:cs="宋体"/>
                <w:sz w:val="24"/>
              </w:rPr>
              <w:t>2</w:t>
            </w:r>
            <w:r>
              <w:rPr>
                <w:rFonts w:ascii="宋体" w:hAnsi="宋体" w:cs="宋体"/>
                <w:sz w:val="24"/>
              </w:rPr>
              <w:t>项应退回或更换的货物，由乙方在验收后一周内运离安装地点，所需费用由乙方承担。如乙方在二周内不处理（搬走）的，视为乙方放弃，甲方有权自行处置（包括废物处理）。</w:t>
            </w:r>
          </w:p>
          <w:p>
            <w:pPr>
              <w:numPr>
                <w:ilvl w:val="0"/>
                <w:numId w:val="4"/>
              </w:numPr>
              <w:spacing w:line="300" w:lineRule="auto"/>
              <w:ind w:firstLine="240" w:firstLineChars="100"/>
              <w:rPr>
                <w:rFonts w:ascii="宋体" w:hAnsi="宋体" w:cs="宋体"/>
                <w:sz w:val="24"/>
              </w:rPr>
            </w:pPr>
            <w:r>
              <w:rPr>
                <w:rFonts w:ascii="宋体" w:hAnsi="宋体" w:cs="宋体"/>
                <w:sz w:val="24"/>
              </w:rPr>
              <w:t>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p>
          <w:p>
            <w:pPr>
              <w:spacing w:line="360" w:lineRule="auto"/>
              <w:rPr>
                <w:rFonts w:ascii="宋体" w:hAnsi="宋体" w:cs="宋体"/>
                <w:sz w:val="24"/>
              </w:rPr>
            </w:pPr>
            <w:r>
              <w:rPr>
                <w:rFonts w:hint="eastAsia" w:ascii="宋体" w:hAnsi="宋体" w:cs="宋体"/>
                <w:kern w:val="0"/>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r>
              <w:rPr>
                <w:rFonts w:hint="eastAsia" w:ascii="宋体" w:hAnsi="宋体" w:cs="宋体"/>
                <w:sz w:val="24"/>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r>
              <w:rPr>
                <w:rFonts w:hint="eastAsia" w:ascii="宋体" w:hAnsi="宋体" w:cs="宋体"/>
                <w:sz w:val="24"/>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sz w:val="24"/>
              </w:rPr>
              <w:t>乙方应保证提供服务过程中不会侵犯任何第三方的知识产权。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8275" w:type="dxa"/>
            <w:vAlign w:val="center"/>
          </w:tcPr>
          <w:p>
            <w:pPr>
              <w:spacing w:line="30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8275" w:type="dxa"/>
          </w:tcPr>
          <w:p>
            <w:pPr>
              <w:spacing w:line="300" w:lineRule="auto"/>
              <w:rPr>
                <w:rFonts w:ascii="宋体" w:hAnsi="宋体" w:cs="宋体"/>
                <w:sz w:val="24"/>
              </w:rPr>
            </w:pPr>
            <w:r>
              <w:rPr>
                <w:rFonts w:hint="eastAsia" w:ascii="宋体" w:hAnsi="宋体" w:cs="宋体"/>
                <w:sz w:val="24"/>
              </w:rPr>
              <w:t>非甲方人为故意损坏情况外，均由乙方承担。货物到达甲方指点地点至安装交付前均由乙方做好防护工作，直至验收合格移交甲方。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不可抗力时间发生后7天内，14天内；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8275" w:type="dxa"/>
            <w:vAlign w:val="center"/>
          </w:tcPr>
          <w:p>
            <w:pPr>
              <w:spacing w:line="300" w:lineRule="auto"/>
              <w:rPr>
                <w:rFonts w:ascii="宋体" w:hAnsi="宋体" w:cs="宋体"/>
                <w:sz w:val="24"/>
              </w:rPr>
            </w:pPr>
            <w:r>
              <w:rPr>
                <w:rFonts w:hint="eastAsia" w:ascii="宋体" w:hAnsi="宋体" w:cs="宋体"/>
                <w:sz w:val="24"/>
              </w:rPr>
              <w:t>乙方提交验收申请</w:t>
            </w:r>
            <w:r>
              <w:rPr>
                <w:rFonts w:ascii="宋体" w:hAnsi="宋体" w:cs="宋体"/>
                <w:sz w:val="24"/>
              </w:rPr>
              <w:t>30天内组织验收会议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8275" w:type="dxa"/>
            <w:vAlign w:val="center"/>
          </w:tcPr>
          <w:p>
            <w:pPr>
              <w:spacing w:line="300" w:lineRule="auto"/>
              <w:rPr>
                <w:rFonts w:ascii="宋体" w:hAnsi="宋体" w:cs="宋体"/>
                <w:sz w:val="24"/>
              </w:rPr>
            </w:pPr>
            <w:r>
              <w:rPr>
                <w:rFonts w:hint="eastAsia" w:ascii="宋体" w:hAnsi="宋体"/>
                <w:sz w:val="24"/>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8275" w:type="dxa"/>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2.22 </w:t>
            </w:r>
          </w:p>
        </w:tc>
        <w:tc>
          <w:tcPr>
            <w:tcW w:w="8275" w:type="dxa"/>
            <w:vAlign w:val="center"/>
          </w:tcPr>
          <w:p>
            <w:pPr>
              <w:spacing w:line="360" w:lineRule="auto"/>
              <w:rPr>
                <w:rFonts w:ascii="宋体" w:hAnsi="宋体" w:cs="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2.23</w:t>
            </w:r>
          </w:p>
        </w:tc>
        <w:tc>
          <w:tcPr>
            <w:tcW w:w="8275" w:type="dxa"/>
            <w:vAlign w:val="center"/>
          </w:tcPr>
          <w:p>
            <w:pPr>
              <w:tabs>
                <w:tab w:val="left" w:pos="0"/>
              </w:tabs>
              <w:spacing w:line="300" w:lineRule="auto"/>
              <w:ind w:firstLine="240" w:firstLineChars="100"/>
              <w:rPr>
                <w:rFonts w:ascii="宋体" w:hAnsi="宋体"/>
                <w:sz w:val="24"/>
              </w:rPr>
            </w:pPr>
            <w:r>
              <w:rPr>
                <w:rFonts w:hint="eastAsia" w:ascii="宋体" w:hAnsi="宋体"/>
                <w:sz w:val="24"/>
              </w:rPr>
              <w:t>甲乙双方的权利和义务</w:t>
            </w:r>
          </w:p>
          <w:p>
            <w:pPr>
              <w:tabs>
                <w:tab w:val="left" w:pos="0"/>
              </w:tabs>
              <w:spacing w:line="300" w:lineRule="auto"/>
              <w:ind w:firstLine="240" w:firstLineChars="100"/>
              <w:rPr>
                <w:sz w:val="24"/>
              </w:rPr>
            </w:pPr>
            <w:r>
              <w:rPr>
                <w:rFonts w:hint="eastAsia"/>
                <w:sz w:val="24"/>
              </w:rPr>
              <w:t>一、甲方</w:t>
            </w:r>
            <w:r>
              <w:rPr>
                <w:rFonts w:hint="eastAsia" w:ascii="宋体" w:hAnsi="宋体"/>
                <w:sz w:val="24"/>
              </w:rPr>
              <w:t>权利和义务</w:t>
            </w:r>
          </w:p>
          <w:p>
            <w:pPr>
              <w:tabs>
                <w:tab w:val="left" w:pos="0"/>
              </w:tabs>
              <w:spacing w:line="300" w:lineRule="auto"/>
              <w:ind w:firstLine="240" w:firstLineChars="100"/>
              <w:rPr>
                <w:rFonts w:ascii="宋体" w:hAnsi="宋体"/>
                <w:sz w:val="24"/>
              </w:rPr>
            </w:pPr>
            <w:r>
              <w:rPr>
                <w:rFonts w:hint="eastAsia" w:ascii="宋体" w:hAnsi="宋体"/>
                <w:sz w:val="24"/>
              </w:rPr>
              <w:t>1、为乙方工作提供良好的外部条件，并按照合同约定支付款项；</w:t>
            </w:r>
          </w:p>
          <w:p>
            <w:pPr>
              <w:tabs>
                <w:tab w:val="left" w:pos="0"/>
              </w:tabs>
              <w:spacing w:line="300" w:lineRule="auto"/>
              <w:ind w:firstLine="240" w:firstLineChars="100"/>
              <w:rPr>
                <w:rFonts w:ascii="宋体" w:hAnsi="宋体"/>
                <w:sz w:val="24"/>
              </w:rPr>
            </w:pPr>
            <w:r>
              <w:rPr>
                <w:rFonts w:hint="eastAsia" w:ascii="宋体" w:hAnsi="宋体"/>
                <w:sz w:val="24"/>
              </w:rPr>
              <w:t>2、甲方按双方约定的内容和时间，向乙方提供与项目有关的可以提供的资料；</w:t>
            </w:r>
          </w:p>
          <w:p>
            <w:pPr>
              <w:tabs>
                <w:tab w:val="left" w:pos="0"/>
              </w:tabs>
              <w:spacing w:line="300" w:lineRule="auto"/>
              <w:ind w:firstLine="240" w:firstLineChars="100"/>
              <w:rPr>
                <w:rFonts w:ascii="宋体" w:hAnsi="宋体"/>
                <w:sz w:val="24"/>
              </w:rPr>
            </w:pPr>
            <w:r>
              <w:rPr>
                <w:rFonts w:hint="eastAsia" w:ascii="宋体" w:hAnsi="宋体"/>
                <w:sz w:val="24"/>
              </w:rPr>
              <w:t>3、甲方授权一名熟悉本项目情况的代表，负责与乙方联系，更换代表前将提前通知乙方；</w:t>
            </w:r>
          </w:p>
          <w:p>
            <w:pPr>
              <w:tabs>
                <w:tab w:val="left" w:pos="0"/>
              </w:tabs>
              <w:spacing w:line="300" w:lineRule="auto"/>
              <w:ind w:firstLine="240" w:firstLineChars="100"/>
              <w:rPr>
                <w:rFonts w:ascii="宋体" w:hAnsi="宋体"/>
                <w:sz w:val="24"/>
              </w:rPr>
            </w:pPr>
            <w:r>
              <w:rPr>
                <w:rFonts w:hint="eastAsia" w:ascii="宋体" w:hAnsi="宋体"/>
                <w:sz w:val="24"/>
              </w:rPr>
              <w:t>4、甲方对乙方提供的项目工作方案具有审定权、修改权，并有权要求乙方按甲方的要求修改方案,乙方不得以此为由要求增加任何费用；</w:t>
            </w:r>
          </w:p>
          <w:p>
            <w:pPr>
              <w:tabs>
                <w:tab w:val="left" w:pos="0"/>
              </w:tabs>
              <w:spacing w:line="300" w:lineRule="auto"/>
              <w:ind w:firstLine="240" w:firstLineChars="100"/>
              <w:rPr>
                <w:sz w:val="24"/>
              </w:rPr>
            </w:pPr>
            <w:r>
              <w:rPr>
                <w:rFonts w:hint="eastAsia" w:ascii="宋体" w:hAnsi="宋体"/>
                <w:sz w:val="24"/>
              </w:rPr>
              <w:t>5、根据实际情况，甲方有权要求乙方对已经确认的方案进行修改、变通，乙方应当配合执行，以保证项目顺利进行；</w:t>
            </w:r>
          </w:p>
          <w:p>
            <w:pPr>
              <w:tabs>
                <w:tab w:val="left" w:pos="0"/>
              </w:tabs>
              <w:spacing w:line="300" w:lineRule="auto"/>
              <w:ind w:firstLine="240" w:firstLineChars="100"/>
              <w:rPr>
                <w:rFonts w:ascii="宋体" w:hAnsi="宋体"/>
                <w:sz w:val="24"/>
              </w:rPr>
            </w:pPr>
            <w:r>
              <w:rPr>
                <w:rFonts w:hint="eastAsia" w:ascii="宋体" w:hAnsi="宋体"/>
                <w:sz w:val="24"/>
              </w:rPr>
              <w:t>6、甲方有权对质量不合格产品进行拒收。</w:t>
            </w:r>
          </w:p>
          <w:p>
            <w:pPr>
              <w:tabs>
                <w:tab w:val="left" w:pos="0"/>
              </w:tabs>
              <w:spacing w:line="300" w:lineRule="auto"/>
              <w:ind w:firstLine="240" w:firstLineChars="100"/>
              <w:rPr>
                <w:rFonts w:ascii="宋体" w:hAnsi="宋体"/>
                <w:sz w:val="24"/>
              </w:rPr>
            </w:pPr>
            <w:r>
              <w:rPr>
                <w:rFonts w:hint="eastAsia" w:ascii="宋体" w:hAnsi="宋体"/>
                <w:sz w:val="24"/>
              </w:rPr>
              <w:t>二、乙方权利和义务</w:t>
            </w:r>
          </w:p>
          <w:p>
            <w:pPr>
              <w:tabs>
                <w:tab w:val="left" w:pos="0"/>
              </w:tabs>
              <w:spacing w:line="300" w:lineRule="auto"/>
              <w:ind w:firstLine="240" w:firstLineChars="100"/>
              <w:rPr>
                <w:rFonts w:ascii="宋体" w:hAnsi="宋体"/>
                <w:sz w:val="24"/>
              </w:rPr>
            </w:pPr>
            <w:r>
              <w:rPr>
                <w:rFonts w:hint="eastAsia" w:ascii="宋体" w:hAnsi="宋体"/>
                <w:sz w:val="24"/>
              </w:rPr>
              <w:t>1、根据投标文件的承诺，乙方向甲方委派项目组人员，人员应当固定。乙方更换人员必须经甲方书面同意，否则甲方有权解除本合同；</w:t>
            </w:r>
          </w:p>
          <w:p>
            <w:pPr>
              <w:tabs>
                <w:tab w:val="left" w:pos="0"/>
              </w:tabs>
              <w:spacing w:line="300" w:lineRule="auto"/>
              <w:ind w:firstLine="240" w:firstLineChars="100"/>
              <w:rPr>
                <w:rFonts w:ascii="宋体" w:hAnsi="宋体"/>
                <w:sz w:val="24"/>
              </w:rPr>
            </w:pPr>
            <w:r>
              <w:rPr>
                <w:rFonts w:hint="eastAsia" w:ascii="宋体" w:hAnsi="宋体"/>
                <w:sz w:val="24"/>
              </w:rPr>
              <w:t>2、乙方针对该项目出具的工作方案，均须事先经甲方书面确认后方可实施。乙方应当负责本项目的所有外部关系联系与协调；</w:t>
            </w:r>
          </w:p>
          <w:p>
            <w:pPr>
              <w:tabs>
                <w:tab w:val="left" w:pos="0"/>
              </w:tabs>
              <w:spacing w:line="300" w:lineRule="auto"/>
              <w:ind w:firstLine="240" w:firstLineChars="100"/>
              <w:rPr>
                <w:rFonts w:ascii="宋体" w:hAnsi="宋体"/>
                <w:sz w:val="24"/>
              </w:rPr>
            </w:pPr>
            <w:r>
              <w:rPr>
                <w:rFonts w:hint="eastAsia" w:ascii="宋体" w:hAnsi="宋体"/>
                <w:sz w:val="24"/>
              </w:rPr>
              <w:t>3、乙方应指派一名授权项目代表，负责与甲方的联络。代表更换应至少提前两天通知甲方。项目</w:t>
            </w:r>
            <w:r>
              <w:rPr>
                <w:rFonts w:hint="eastAsia"/>
                <w:sz w:val="24"/>
              </w:rPr>
              <w:t>负责人：</w:t>
            </w:r>
            <w:r>
              <w:rPr>
                <w:rFonts w:hint="eastAsia"/>
                <w:sz w:val="24"/>
                <w:u w:val="single"/>
              </w:rPr>
              <w:t xml:space="preserve">     </w:t>
            </w:r>
            <w:r>
              <w:rPr>
                <w:rFonts w:hint="eastAsia"/>
                <w:sz w:val="24"/>
              </w:rPr>
              <w:t>；联系电话：</w:t>
            </w:r>
            <w:r>
              <w:rPr>
                <w:rFonts w:hint="eastAsia"/>
                <w:sz w:val="24"/>
                <w:u w:val="single"/>
              </w:rPr>
              <w:t xml:space="preserve">     </w:t>
            </w:r>
            <w:r>
              <w:rPr>
                <w:rFonts w:hint="eastAsia"/>
                <w:sz w:val="24"/>
              </w:rPr>
              <w:t>；邮箱：</w:t>
            </w:r>
            <w:r>
              <w:rPr>
                <w:rFonts w:hint="eastAsia"/>
                <w:sz w:val="24"/>
                <w:u w:val="single"/>
              </w:rPr>
              <w:t xml:space="preserve">     </w:t>
            </w:r>
            <w:r>
              <w:rPr>
                <w:rFonts w:hint="eastAsia"/>
                <w:sz w:val="24"/>
              </w:rPr>
              <w:t>。</w:t>
            </w:r>
          </w:p>
          <w:p>
            <w:pPr>
              <w:tabs>
                <w:tab w:val="left" w:pos="0"/>
              </w:tabs>
              <w:spacing w:line="300" w:lineRule="auto"/>
              <w:ind w:firstLine="240" w:firstLineChars="100"/>
              <w:rPr>
                <w:rFonts w:ascii="宋体" w:hAnsi="宋体"/>
                <w:sz w:val="24"/>
              </w:rPr>
            </w:pPr>
            <w:r>
              <w:rPr>
                <w:rFonts w:hint="eastAsia" w:ascii="宋体" w:hAnsi="宋体"/>
                <w:sz w:val="24"/>
              </w:rPr>
              <w:t>4、乙方承诺按照招标文件要求和投标文件承诺提供各项服务；</w:t>
            </w:r>
          </w:p>
          <w:p>
            <w:pPr>
              <w:tabs>
                <w:tab w:val="left" w:pos="0"/>
              </w:tabs>
              <w:spacing w:line="300" w:lineRule="auto"/>
              <w:ind w:firstLine="240" w:firstLineChars="100"/>
              <w:rPr>
                <w:rFonts w:ascii="宋体" w:hAnsi="宋体"/>
                <w:sz w:val="24"/>
              </w:rPr>
            </w:pPr>
            <w:r>
              <w:rPr>
                <w:rFonts w:hint="eastAsia" w:ascii="宋体" w:hAnsi="宋体"/>
                <w:sz w:val="24"/>
              </w:rPr>
              <w:t>5、乙方提供</w:t>
            </w:r>
            <w:r>
              <w:rPr>
                <w:rFonts w:ascii="宋体" w:hAnsi="宋体" w:cs="仿宋_GB2312"/>
                <w:sz w:val="24"/>
              </w:rPr>
              <w:t>通风场地进行货物存放，且保证货物质量，接到</w:t>
            </w:r>
            <w:r>
              <w:rPr>
                <w:rFonts w:hint="eastAsia" w:ascii="宋体" w:hAnsi="宋体" w:cs="仿宋_GB2312"/>
                <w:sz w:val="24"/>
              </w:rPr>
              <w:t>甲方</w:t>
            </w:r>
            <w:r>
              <w:rPr>
                <w:rFonts w:ascii="宋体" w:hAnsi="宋体" w:cs="仿宋_GB2312"/>
                <w:sz w:val="24"/>
              </w:rPr>
              <w:t>发货通知后配合发货及安装</w:t>
            </w:r>
            <w:r>
              <w:rPr>
                <w:rFonts w:hint="eastAsia" w:ascii="宋体" w:hAnsi="宋体" w:cs="仿宋_GB2312"/>
                <w:sz w:val="24"/>
              </w:rPr>
              <w:t>；</w:t>
            </w:r>
          </w:p>
          <w:p>
            <w:pPr>
              <w:tabs>
                <w:tab w:val="left" w:pos="0"/>
              </w:tabs>
              <w:spacing w:line="300" w:lineRule="auto"/>
              <w:ind w:firstLine="240" w:firstLineChars="100"/>
              <w:rPr>
                <w:rFonts w:ascii="宋体" w:hAnsi="宋体"/>
                <w:sz w:val="24"/>
              </w:rPr>
            </w:pPr>
            <w:r>
              <w:rPr>
                <w:rFonts w:hint="eastAsia" w:ascii="宋体" w:hAnsi="宋体"/>
                <w:sz w:val="24"/>
              </w:rPr>
              <w:t>6、乙方提供的所有产品均应符合质量合格标准；</w:t>
            </w:r>
          </w:p>
          <w:p>
            <w:pPr>
              <w:tabs>
                <w:tab w:val="left" w:pos="0"/>
              </w:tabs>
              <w:spacing w:line="300" w:lineRule="auto"/>
              <w:ind w:firstLine="240" w:firstLineChars="100"/>
              <w:rPr>
                <w:rFonts w:ascii="宋体" w:hAnsi="宋体"/>
                <w:sz w:val="24"/>
              </w:rPr>
            </w:pPr>
            <w:r>
              <w:rPr>
                <w:rFonts w:hint="eastAsia" w:ascii="宋体" w:hAnsi="宋体"/>
                <w:sz w:val="24"/>
              </w:rPr>
              <w:t>7、乙方必须在规定期间内完成招标文件要求和投标文件承诺的服务内容，并通过甲方的验收，否则甲方有权终止合同，并索回全部支付的货款，赔偿延误的损失。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2.24</w:t>
            </w:r>
          </w:p>
        </w:tc>
        <w:tc>
          <w:tcPr>
            <w:tcW w:w="8275" w:type="dxa"/>
            <w:vAlign w:val="center"/>
          </w:tcPr>
          <w:p>
            <w:pPr>
              <w:spacing w:line="300" w:lineRule="auto"/>
              <w:rPr>
                <w:sz w:val="24"/>
              </w:rPr>
            </w:pPr>
            <w:r>
              <w:rPr>
                <w:rFonts w:hint="eastAsia"/>
                <w:sz w:val="24"/>
              </w:rPr>
              <w:t xml:space="preserve">质保期： </w:t>
            </w:r>
            <w:r>
              <w:rPr>
                <w:sz w:val="24"/>
              </w:rPr>
              <w:t>质保期为验收合格之日起</w:t>
            </w:r>
            <w:r>
              <w:rPr>
                <w:rFonts w:hint="eastAsia"/>
                <w:sz w:val="24"/>
                <w:u w:val="single"/>
              </w:rPr>
              <w:t xml:space="preserve">    </w:t>
            </w:r>
            <w:r>
              <w:rPr>
                <w:sz w:val="24"/>
              </w:rPr>
              <w:t>年。</w:t>
            </w:r>
          </w:p>
          <w:p>
            <w:pPr>
              <w:spacing w:line="300" w:lineRule="auto"/>
              <w:rPr>
                <w:sz w:val="24"/>
              </w:rPr>
            </w:pPr>
            <w:r>
              <w:rPr>
                <w:rFonts w:hint="eastAsia"/>
                <w:sz w:val="24"/>
              </w:rPr>
              <w:t>质保范围：</w:t>
            </w:r>
            <w:r>
              <w:rPr>
                <w:rFonts w:hint="eastAsia" w:ascii="宋体" w:hAnsi="宋体"/>
                <w:sz w:val="24"/>
              </w:rPr>
              <w:t>保修期内产品因设计、质量出现问题，均由乙方即时解决（包括更换配件耗材）。</w:t>
            </w:r>
          </w:p>
          <w:p>
            <w:pPr>
              <w:tabs>
                <w:tab w:val="left" w:pos="0"/>
              </w:tabs>
              <w:spacing w:line="300" w:lineRule="auto"/>
              <w:rPr>
                <w:rFonts w:ascii="宋体" w:hAnsi="宋体"/>
                <w:sz w:val="24"/>
              </w:rPr>
            </w:pPr>
            <w:r>
              <w:rPr>
                <w:rFonts w:hint="eastAsia"/>
                <w:sz w:val="24"/>
              </w:rPr>
              <w:t>售后服务内容：（根据投标响应补充）</w:t>
            </w:r>
          </w:p>
        </w:tc>
      </w:tr>
    </w:tbl>
    <w:p>
      <w:pPr>
        <w:pStyle w:val="6"/>
      </w:pPr>
    </w:p>
    <w:p>
      <w:pPr>
        <w:pStyle w:val="2"/>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pPr>
    </w:p>
    <w:p>
      <w:pPr>
        <w:pStyle w:val="2"/>
        <w:rPr>
          <w:rFonts w:ascii="宋体" w:hAnsi="宋体" w:cs="宋体"/>
          <w:color w:val="auto"/>
          <w:sz w:val="24"/>
        </w:rPr>
      </w:pPr>
    </w:p>
    <w:p>
      <w:pPr>
        <w:rPr>
          <w:rFonts w:ascii="宋体" w:hAnsi="宋体" w:cs="宋体"/>
          <w:color w:val="auto"/>
          <w:sz w:val="24"/>
        </w:rPr>
      </w:pPr>
    </w:p>
    <w:p>
      <w:pPr>
        <w:pStyle w:val="3"/>
      </w:pPr>
    </w:p>
    <w:p>
      <w:pPr>
        <w:pStyle w:val="2"/>
        <w:rPr>
          <w:rFonts w:ascii="宋体" w:hAnsi="宋体" w:cs="宋体"/>
          <w:color w:val="auto"/>
          <w:sz w:val="24"/>
        </w:rPr>
      </w:pPr>
    </w:p>
    <w:p>
      <w:pPr>
        <w:spacing w:line="360" w:lineRule="auto"/>
        <w:ind w:right="-420" w:rightChars="-200"/>
        <w:jc w:val="both"/>
        <w:outlineLvl w:val="0"/>
        <w:rPr>
          <w:rFonts w:ascii="宋体" w:hAnsi="宋体" w:cs="宋体"/>
          <w:color w:val="auto"/>
          <w:sz w:val="24"/>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pStyle w:val="6"/>
        <w:ind w:left="0" w:leftChars="0" w:firstLine="0" w:firstLineChars="0"/>
        <w:rPr>
          <w:color w:val="auto"/>
        </w:rPr>
      </w:pPr>
    </w:p>
    <w:p>
      <w:pPr>
        <w:snapToGrid w:val="0"/>
        <w:spacing w:line="360" w:lineRule="auto"/>
        <w:ind w:right="480" w:firstLine="559" w:firstLineChars="233"/>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rPr>
          <w:rFonts w:ascii="宋体" w:hAnsi="宋体" w:cs="宋体"/>
          <w:color w:val="auto"/>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pStyle w:val="6"/>
        <w:rPr>
          <w:color w:val="auto"/>
          <w:lang w:val="en-US"/>
        </w:rPr>
      </w:pPr>
    </w:p>
    <w:p>
      <w:pPr>
        <w:rPr>
          <w:color w:val="auto"/>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highlight w:val="cyan"/>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bookmarkStart w:id="556"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556"/>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pStyle w:val="6"/>
        <w:rPr>
          <w:color w:val="auto"/>
          <w:lang w:val="en-US"/>
        </w:rPr>
      </w:pPr>
    </w:p>
    <w:p>
      <w:pPr>
        <w:rPr>
          <w:color w:val="auto"/>
        </w:rPr>
      </w:pPr>
    </w:p>
    <w:p>
      <w:pPr>
        <w:pStyle w:val="6"/>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1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130"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335"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kern w:val="0"/>
          <w:sz w:val="24"/>
          <w:lang w:val="zh-CN"/>
        </w:rPr>
        <w:t>【招标编号：</w:t>
      </w:r>
      <w:r>
        <w:rPr>
          <w:rFonts w:hint="eastAsia" w:ascii="宋体" w:hAnsi="宋体" w:cs="宋体"/>
          <w:color w:val="auto"/>
          <w:sz w:val="24"/>
          <w:lang w:eastAsia="zh-CN"/>
        </w:rPr>
        <w:t>XHZFCG-2024-G-09</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43"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311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993"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5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98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3119"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是否为中小企业</w:t>
            </w:r>
          </w:p>
        </w:tc>
        <w:tc>
          <w:tcPr>
            <w:tcW w:w="7655" w:type="dxa"/>
            <w:gridSpan w:val="4"/>
            <w:vAlign w:val="center"/>
          </w:tcPr>
          <w:p>
            <w:pPr>
              <w:spacing w:line="360" w:lineRule="auto"/>
              <w:jc w:val="center"/>
              <w:rPr>
                <w:rFonts w:hint="eastAsia" w:ascii="宋体" w:hAnsi="宋体" w:eastAsia="宋体" w:cs="宋体"/>
                <w:color w:val="auto"/>
                <w:sz w:val="24"/>
                <w:lang w:val="en-US" w:eastAsia="zh-CN"/>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是</w:t>
            </w:r>
            <w:r>
              <w:rPr>
                <w:rFonts w:hint="default" w:ascii="宋体" w:hAnsi="宋体" w:cs="宋体"/>
                <w:color w:val="auto"/>
                <w:kern w:val="0"/>
                <w:sz w:val="24"/>
                <w:lang w:val="en-US" w:eastAsia="zh-CN"/>
              </w:rPr>
              <w:t xml:space="preserve">      </w:t>
            </w: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否</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557" w:name="_Hlk101259491"/>
      <w:r>
        <w:rPr>
          <w:rFonts w:hint="eastAsia" w:ascii="宋体" w:hAnsi="宋体" w:eastAsia="宋体" w:cs="宋体"/>
          <w:color w:val="auto"/>
          <w:sz w:val="32"/>
          <w:szCs w:val="32"/>
        </w:rPr>
        <w:t>（如果有）</w:t>
      </w:r>
      <w:bookmarkEnd w:id="55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bookmarkStart w:id="558" w:name="_Toc465665161"/>
      <w:r>
        <w:rPr>
          <w:rFonts w:hint="eastAsia" w:ascii="宋体" w:hAnsi="宋体" w:cs="宋体"/>
          <w:color w:val="auto"/>
        </w:rPr>
        <w:t>附件</w:t>
      </w:r>
      <w:bookmarkEnd w:id="558"/>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59" w:name="OLE_LINK14"/>
      <w:bookmarkStart w:id="560" w:name="OLE_LINK13"/>
      <w:r>
        <w:rPr>
          <w:rFonts w:hint="eastAsia" w:ascii="宋体" w:hAnsi="宋体" w:cs="宋体"/>
          <w:b/>
          <w:color w:val="auto"/>
          <w:spacing w:val="6"/>
          <w:sz w:val="32"/>
          <w:szCs w:val="32"/>
        </w:rPr>
        <w:t>残疾人福利性单位声明函</w:t>
      </w:r>
    </w:p>
    <w:bookmarkEnd w:id="559"/>
    <w:bookmarkEnd w:id="56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eastAsia="zh-CN"/>
        </w:rPr>
        <w:t>杭州市公安局西湖区分局</w:t>
      </w:r>
      <w:r>
        <w:rPr>
          <w:rFonts w:hint="eastAsia" w:ascii="宋体" w:hAnsi="宋体" w:cs="宋体"/>
          <w:color w:val="auto"/>
          <w:sz w:val="24"/>
        </w:rPr>
        <w:t>单位的</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w:t>
      </w:r>
      <w:r>
        <w:rPr>
          <w:rFonts w:hint="eastAsia" w:ascii="宋体" w:hAnsi="宋体" w:cs="宋体"/>
          <w:color w:val="auto"/>
          <w:sz w:val="24"/>
          <w:u w:val="single"/>
          <w:lang w:eastAsia="zh-CN"/>
        </w:rPr>
        <w:t>杭州市西湖区政府采购中心</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561"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bookmarkEnd w:id="561"/>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（联合体成员</w:t>
      </w:r>
      <w:r>
        <w:rPr>
          <w:rFonts w:ascii="宋体" w:hAnsi="宋体" w:cs="宋体"/>
          <w:color w:val="auto"/>
          <w:kern w:val="0"/>
          <w:sz w:val="24"/>
          <w:u w:val="single"/>
        </w:rPr>
        <w:t>X,</w:t>
      </w:r>
      <w:r>
        <w:rPr>
          <w:rFonts w:hint="eastAsia" w:ascii="宋体" w:hAnsi="宋体" w:cs="宋体"/>
          <w:color w:val="auto"/>
          <w:kern w:val="0"/>
          <w:sz w:val="24"/>
          <w:u w:val="single"/>
        </w:rPr>
        <w:t>……）</w:t>
      </w:r>
      <w:r>
        <w:rPr>
          <w:rFonts w:hint="eastAsia" w:ascii="宋体" w:hAnsi="宋体" w:cs="宋体"/>
          <w:color w:val="auto"/>
          <w:kern w:val="0"/>
          <w:sz w:val="24"/>
        </w:rPr>
        <w:t>提供的全部货物由小微企业制造，其合同份额占到合同总金额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要求以联合体形式参加的项目或采购包，供应商按招标文件第一部分招标公告申请人的资格要求中规定的联合协议中中小企业、其中小微企业合同金额应当达到的比例要求填写。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pStyle w:val="26"/>
        <w:rPr>
          <w:rFonts w:ascii="宋体" w:hAnsi="宋体" w:cs="宋体"/>
          <w:b/>
          <w:color w:val="auto"/>
          <w:spacing w:val="6"/>
          <w:sz w:val="32"/>
          <w:szCs w:val="32"/>
        </w:rPr>
      </w:pPr>
    </w:p>
    <w:p>
      <w:pPr>
        <w:pStyle w:val="27"/>
        <w:rPr>
          <w:rFonts w:ascii="宋体" w:hAnsi="宋体" w:cs="宋体"/>
          <w:b/>
          <w:color w:val="auto"/>
          <w:spacing w:val="6"/>
          <w:sz w:val="32"/>
          <w:szCs w:val="32"/>
        </w:rPr>
      </w:pPr>
    </w:p>
    <w:p>
      <w:pPr>
        <w:rPr>
          <w:rFonts w:ascii="宋体" w:hAnsi="宋体" w:cs="宋体"/>
          <w:b/>
          <w:color w:val="auto"/>
          <w:spacing w:val="6"/>
          <w:sz w:val="32"/>
          <w:szCs w:val="32"/>
        </w:rPr>
      </w:pPr>
    </w:p>
    <w:p>
      <w:pPr>
        <w:pStyle w:val="26"/>
        <w:rPr>
          <w:rFonts w:ascii="宋体" w:hAnsi="宋体" w:cs="宋体"/>
          <w:b/>
          <w:color w:val="auto"/>
          <w:spacing w:val="6"/>
          <w:sz w:val="32"/>
          <w:szCs w:val="32"/>
        </w:rPr>
      </w:pPr>
    </w:p>
    <w:p>
      <w:pPr>
        <w:pStyle w:val="27"/>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6"/>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62"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中中小企业、其中小微企业合同金额应当达到的比例要求填写。</w:t>
      </w:r>
      <w:r>
        <w:rPr>
          <w:rFonts w:hint="eastAsia" w:ascii="宋体" w:hAnsi="宋体" w:cs="宋体"/>
          <w:b/>
          <w:bCs/>
          <w:color w:val="auto"/>
          <w:kern w:val="0"/>
          <w:sz w:val="24"/>
          <w:lang w:val="zh-CN"/>
        </w:rPr>
        <w:t>）</w:t>
      </w:r>
      <w:bookmarkEnd w:id="56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outlineLvl w:val="0"/>
        <w:rPr>
          <w:rFonts w:ascii="宋体" w:hAnsi="宋体" w:cs="宋体"/>
          <w:b/>
          <w:color w:val="auto"/>
          <w:kern w:val="0"/>
          <w:sz w:val="44"/>
          <w:szCs w:val="44"/>
        </w:rPr>
      </w:pPr>
      <w:r>
        <w:rPr>
          <w:rFonts w:hint="eastAsia" w:ascii="宋体" w:hAnsi="宋体" w:cs="宋体"/>
          <w:b/>
          <w:color w:val="auto"/>
          <w:kern w:val="0"/>
          <w:sz w:val="44"/>
          <w:szCs w:val="44"/>
        </w:rPr>
        <w:t>附件</w:t>
      </w:r>
      <w:r>
        <w:rPr>
          <w:rFonts w:ascii="宋体" w:hAnsi="宋体" w:cs="宋体"/>
          <w:b/>
          <w:color w:val="auto"/>
          <w:kern w:val="0"/>
          <w:sz w:val="44"/>
          <w:szCs w:val="44"/>
        </w:rPr>
        <w:t>7</w:t>
      </w:r>
      <w:r>
        <w:rPr>
          <w:rFonts w:hint="eastAsia" w:ascii="宋体" w:hAnsi="宋体" w:cs="宋体"/>
          <w:b/>
          <w:color w:val="auto"/>
          <w:kern w:val="0"/>
          <w:sz w:val="44"/>
          <w:szCs w:val="44"/>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 xml:space="preserve">的 </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jc w:val="left"/>
        <w:rPr>
          <w:rFonts w:ascii="宋体" w:hAnsi="宋体" w:cs="宋体"/>
          <w:color w:val="auto"/>
          <w:sz w:val="18"/>
          <w:szCs w:val="18"/>
        </w:rPr>
      </w:pPr>
      <w:r>
        <w:rPr>
          <w:rFonts w:hint="eastAsia" w:ascii="宋体" w:hAnsi="宋体" w:cs="宋体"/>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3" w:name="_Toc91899912"/>
    <w:bookmarkStart w:id="564" w:name="_Toc164085800"/>
    <w:bookmarkStart w:id="565" w:name="_Toc36110187"/>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rPr>
        <w:rFonts w:hint="eastAsia"/>
        <w:lang w:eastAsia="zh-CN"/>
      </w:rPr>
      <w:t>西湖区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rPr>
        <w:rFonts w:hint="default"/>
        <w:lang w:val="en-US"/>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B0E57"/>
    <w:multiLevelType w:val="singleLevel"/>
    <w:tmpl w:val="96DB0E57"/>
    <w:lvl w:ilvl="0" w:tentative="0">
      <w:start w:val="3"/>
      <w:numFmt w:val="chineseCounting"/>
      <w:suff w:val="space"/>
      <w:lvlText w:val="第%1部分"/>
      <w:lvlJc w:val="left"/>
      <w:rPr>
        <w:rFonts w:hint="eastAsia"/>
      </w:rPr>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119B76E8"/>
    <w:multiLevelType w:val="singleLevel"/>
    <w:tmpl w:val="119B76E8"/>
    <w:lvl w:ilvl="0" w:tentative="0">
      <w:start w:val="15"/>
      <w:numFmt w:val="chineseCounting"/>
      <w:suff w:val="nothing"/>
      <w:lvlText w:val="%1、"/>
      <w:lvlJc w:val="left"/>
      <w:rPr>
        <w:rFonts w:hint="eastAsia"/>
      </w:rPr>
    </w:lvl>
  </w:abstractNum>
  <w:abstractNum w:abstractNumId="3">
    <w:nsid w:val="1ED75EF4"/>
    <w:multiLevelType w:val="multilevel"/>
    <w:tmpl w:val="1ED75EF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ZTRhZjhkOWI2MGYzYWYzNTNmY2MxZDkzMzk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90A"/>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41A"/>
    <w:rsid w:val="00050656"/>
    <w:rsid w:val="00050A19"/>
    <w:rsid w:val="000511B6"/>
    <w:rsid w:val="00051B00"/>
    <w:rsid w:val="00051C2A"/>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7C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26"/>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76"/>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2C"/>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00"/>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452"/>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06A"/>
    <w:rsid w:val="001A79A2"/>
    <w:rsid w:val="001A7FA5"/>
    <w:rsid w:val="001B06A6"/>
    <w:rsid w:val="001B13BF"/>
    <w:rsid w:val="001B15B9"/>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787"/>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78"/>
    <w:rsid w:val="00242F79"/>
    <w:rsid w:val="0024415B"/>
    <w:rsid w:val="0024496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1DF"/>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8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4E2"/>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653"/>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809"/>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D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2C"/>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CDB"/>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95"/>
    <w:rsid w:val="006673B9"/>
    <w:rsid w:val="0066790C"/>
    <w:rsid w:val="00667A67"/>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1FF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6FC"/>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5397"/>
    <w:rsid w:val="007C60A8"/>
    <w:rsid w:val="007C6158"/>
    <w:rsid w:val="007C660F"/>
    <w:rsid w:val="007C6664"/>
    <w:rsid w:val="007C66FF"/>
    <w:rsid w:val="007C69AE"/>
    <w:rsid w:val="007C6FE9"/>
    <w:rsid w:val="007C7688"/>
    <w:rsid w:val="007C76E3"/>
    <w:rsid w:val="007C76F3"/>
    <w:rsid w:val="007C7DD9"/>
    <w:rsid w:val="007D03BC"/>
    <w:rsid w:val="007D0418"/>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88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03"/>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004"/>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80A"/>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27"/>
    <w:rsid w:val="00867501"/>
    <w:rsid w:val="00867D8E"/>
    <w:rsid w:val="008700C0"/>
    <w:rsid w:val="0087058B"/>
    <w:rsid w:val="008705AA"/>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75"/>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1B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39"/>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27FC4"/>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118"/>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CB"/>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700"/>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DD1"/>
    <w:rsid w:val="00B55F64"/>
    <w:rsid w:val="00B56ECA"/>
    <w:rsid w:val="00B57093"/>
    <w:rsid w:val="00B574DA"/>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3D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0AA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E10"/>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6C7"/>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FA"/>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37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18F"/>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38"/>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2D"/>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DA1"/>
    <w:rsid w:val="00DE6E4D"/>
    <w:rsid w:val="00DE7498"/>
    <w:rsid w:val="00DE75EF"/>
    <w:rsid w:val="00DE7611"/>
    <w:rsid w:val="00DE7D19"/>
    <w:rsid w:val="00DF05A0"/>
    <w:rsid w:val="00DF1162"/>
    <w:rsid w:val="00DF1BA8"/>
    <w:rsid w:val="00DF1DDB"/>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584"/>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587E"/>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A"/>
    <w:rsid w:val="00ED71BA"/>
    <w:rsid w:val="00ED728F"/>
    <w:rsid w:val="00ED73A1"/>
    <w:rsid w:val="00ED7CA2"/>
    <w:rsid w:val="00EE04F9"/>
    <w:rsid w:val="00EE05E0"/>
    <w:rsid w:val="00EE0FF6"/>
    <w:rsid w:val="00EE13DA"/>
    <w:rsid w:val="00EE1595"/>
    <w:rsid w:val="00EE1E71"/>
    <w:rsid w:val="00EE2087"/>
    <w:rsid w:val="00EE20C2"/>
    <w:rsid w:val="00EE224D"/>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3510"/>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C32AB"/>
    <w:rsid w:val="011F6449"/>
    <w:rsid w:val="01236AFB"/>
    <w:rsid w:val="01541149"/>
    <w:rsid w:val="015A6250"/>
    <w:rsid w:val="019F7441"/>
    <w:rsid w:val="01A8449D"/>
    <w:rsid w:val="01B37585"/>
    <w:rsid w:val="01D55165"/>
    <w:rsid w:val="01DF6BF8"/>
    <w:rsid w:val="01EC2C57"/>
    <w:rsid w:val="020042DE"/>
    <w:rsid w:val="025F0711"/>
    <w:rsid w:val="026B2E25"/>
    <w:rsid w:val="02824D4D"/>
    <w:rsid w:val="02BF44C0"/>
    <w:rsid w:val="02DC4B10"/>
    <w:rsid w:val="02DD76CE"/>
    <w:rsid w:val="02F36323"/>
    <w:rsid w:val="02F5619C"/>
    <w:rsid w:val="0326446A"/>
    <w:rsid w:val="032D5555"/>
    <w:rsid w:val="033339B0"/>
    <w:rsid w:val="034304B1"/>
    <w:rsid w:val="03490016"/>
    <w:rsid w:val="036634D2"/>
    <w:rsid w:val="03BE6034"/>
    <w:rsid w:val="03DD35E4"/>
    <w:rsid w:val="04076900"/>
    <w:rsid w:val="041A5A3B"/>
    <w:rsid w:val="042311BA"/>
    <w:rsid w:val="04291FE2"/>
    <w:rsid w:val="042B157A"/>
    <w:rsid w:val="044D2C6F"/>
    <w:rsid w:val="046720D6"/>
    <w:rsid w:val="048F763B"/>
    <w:rsid w:val="049F330E"/>
    <w:rsid w:val="04AA775C"/>
    <w:rsid w:val="04AF1889"/>
    <w:rsid w:val="04DC3E6F"/>
    <w:rsid w:val="04F66F48"/>
    <w:rsid w:val="05251E14"/>
    <w:rsid w:val="058014BF"/>
    <w:rsid w:val="058D4998"/>
    <w:rsid w:val="05A16594"/>
    <w:rsid w:val="05A7762D"/>
    <w:rsid w:val="05BA7B35"/>
    <w:rsid w:val="060E5941"/>
    <w:rsid w:val="06110FAF"/>
    <w:rsid w:val="06493CA7"/>
    <w:rsid w:val="065A6178"/>
    <w:rsid w:val="066F1CF3"/>
    <w:rsid w:val="06930BB8"/>
    <w:rsid w:val="07245D42"/>
    <w:rsid w:val="07264C62"/>
    <w:rsid w:val="0779354C"/>
    <w:rsid w:val="07954D83"/>
    <w:rsid w:val="08061376"/>
    <w:rsid w:val="08167E10"/>
    <w:rsid w:val="08452D77"/>
    <w:rsid w:val="086401F8"/>
    <w:rsid w:val="08751CAA"/>
    <w:rsid w:val="087E4C40"/>
    <w:rsid w:val="08A871D0"/>
    <w:rsid w:val="08CC1098"/>
    <w:rsid w:val="08D66AD6"/>
    <w:rsid w:val="08DA33A3"/>
    <w:rsid w:val="08DE4CB4"/>
    <w:rsid w:val="08E80F13"/>
    <w:rsid w:val="091F118A"/>
    <w:rsid w:val="09335624"/>
    <w:rsid w:val="0944690F"/>
    <w:rsid w:val="09535675"/>
    <w:rsid w:val="095F057D"/>
    <w:rsid w:val="09642282"/>
    <w:rsid w:val="09733572"/>
    <w:rsid w:val="09772C16"/>
    <w:rsid w:val="098353B5"/>
    <w:rsid w:val="09A92330"/>
    <w:rsid w:val="09B06B87"/>
    <w:rsid w:val="09C13146"/>
    <w:rsid w:val="09E04166"/>
    <w:rsid w:val="0A0C33AA"/>
    <w:rsid w:val="0A1C0718"/>
    <w:rsid w:val="0A3E7710"/>
    <w:rsid w:val="0A5B7E63"/>
    <w:rsid w:val="0AA374A5"/>
    <w:rsid w:val="0AAB7649"/>
    <w:rsid w:val="0ABC5606"/>
    <w:rsid w:val="0B30404E"/>
    <w:rsid w:val="0B4C6C14"/>
    <w:rsid w:val="0B547599"/>
    <w:rsid w:val="0B631A88"/>
    <w:rsid w:val="0B683D45"/>
    <w:rsid w:val="0B7F3F11"/>
    <w:rsid w:val="0B884417"/>
    <w:rsid w:val="0BBE2D2D"/>
    <w:rsid w:val="0BF6188C"/>
    <w:rsid w:val="0BF73C91"/>
    <w:rsid w:val="0C170175"/>
    <w:rsid w:val="0C571A41"/>
    <w:rsid w:val="0C5C1171"/>
    <w:rsid w:val="0C5E1CBC"/>
    <w:rsid w:val="0C615B50"/>
    <w:rsid w:val="0C743B3F"/>
    <w:rsid w:val="0C8445DA"/>
    <w:rsid w:val="0C87121B"/>
    <w:rsid w:val="0CC007F7"/>
    <w:rsid w:val="0CC617AC"/>
    <w:rsid w:val="0CE618DF"/>
    <w:rsid w:val="0CFE707A"/>
    <w:rsid w:val="0D063BDA"/>
    <w:rsid w:val="0D08375F"/>
    <w:rsid w:val="0D184CFB"/>
    <w:rsid w:val="0D4A7419"/>
    <w:rsid w:val="0D7A1432"/>
    <w:rsid w:val="0D827401"/>
    <w:rsid w:val="0D84094E"/>
    <w:rsid w:val="0D8A00E9"/>
    <w:rsid w:val="0D8D589E"/>
    <w:rsid w:val="0DA01C73"/>
    <w:rsid w:val="0DD63300"/>
    <w:rsid w:val="0DF50604"/>
    <w:rsid w:val="0DF702FE"/>
    <w:rsid w:val="0E060E51"/>
    <w:rsid w:val="0E5604B2"/>
    <w:rsid w:val="0E6D5D79"/>
    <w:rsid w:val="0E9D0089"/>
    <w:rsid w:val="0EB803EE"/>
    <w:rsid w:val="0EEE180C"/>
    <w:rsid w:val="0EF94D4B"/>
    <w:rsid w:val="0F4958DC"/>
    <w:rsid w:val="0F515DF7"/>
    <w:rsid w:val="0F596BA8"/>
    <w:rsid w:val="0F6248D2"/>
    <w:rsid w:val="0F693536"/>
    <w:rsid w:val="0F7B0511"/>
    <w:rsid w:val="0F7B76D9"/>
    <w:rsid w:val="0F816ACD"/>
    <w:rsid w:val="0F9832DB"/>
    <w:rsid w:val="0FB87C99"/>
    <w:rsid w:val="0FBF3FD2"/>
    <w:rsid w:val="0FBF7FF3"/>
    <w:rsid w:val="0FC915BF"/>
    <w:rsid w:val="0FEE3B90"/>
    <w:rsid w:val="10646583"/>
    <w:rsid w:val="107D4B15"/>
    <w:rsid w:val="10863291"/>
    <w:rsid w:val="108A3C80"/>
    <w:rsid w:val="10BB15FD"/>
    <w:rsid w:val="10C26171"/>
    <w:rsid w:val="10C70674"/>
    <w:rsid w:val="10CD54FC"/>
    <w:rsid w:val="10F33360"/>
    <w:rsid w:val="10FC16EA"/>
    <w:rsid w:val="110F1D40"/>
    <w:rsid w:val="111D5782"/>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53717E"/>
    <w:rsid w:val="146124BC"/>
    <w:rsid w:val="14675654"/>
    <w:rsid w:val="146D271E"/>
    <w:rsid w:val="14982588"/>
    <w:rsid w:val="149A5AD9"/>
    <w:rsid w:val="14A7619D"/>
    <w:rsid w:val="150536C3"/>
    <w:rsid w:val="150C1963"/>
    <w:rsid w:val="151447A0"/>
    <w:rsid w:val="154A6454"/>
    <w:rsid w:val="15762120"/>
    <w:rsid w:val="1598015F"/>
    <w:rsid w:val="160D3FF7"/>
    <w:rsid w:val="16394074"/>
    <w:rsid w:val="165441AB"/>
    <w:rsid w:val="167E36CC"/>
    <w:rsid w:val="16A8729C"/>
    <w:rsid w:val="16AD69F8"/>
    <w:rsid w:val="16B33777"/>
    <w:rsid w:val="16BC70A7"/>
    <w:rsid w:val="16C6339E"/>
    <w:rsid w:val="171B1445"/>
    <w:rsid w:val="172F2D79"/>
    <w:rsid w:val="17557BEF"/>
    <w:rsid w:val="17BA5112"/>
    <w:rsid w:val="17C72D48"/>
    <w:rsid w:val="17D349C1"/>
    <w:rsid w:val="1830729E"/>
    <w:rsid w:val="183717E0"/>
    <w:rsid w:val="18534811"/>
    <w:rsid w:val="1870062C"/>
    <w:rsid w:val="18817102"/>
    <w:rsid w:val="18830A15"/>
    <w:rsid w:val="18852B28"/>
    <w:rsid w:val="188B5321"/>
    <w:rsid w:val="18D3683E"/>
    <w:rsid w:val="19932372"/>
    <w:rsid w:val="19A20DD5"/>
    <w:rsid w:val="19AE03F1"/>
    <w:rsid w:val="19E971DB"/>
    <w:rsid w:val="1A071A03"/>
    <w:rsid w:val="1A0C56B9"/>
    <w:rsid w:val="1A1F16AE"/>
    <w:rsid w:val="1A2B5DAD"/>
    <w:rsid w:val="1A3B5C77"/>
    <w:rsid w:val="1A3D6B40"/>
    <w:rsid w:val="1A984BAD"/>
    <w:rsid w:val="1AB8220E"/>
    <w:rsid w:val="1AE4166C"/>
    <w:rsid w:val="1AF06CFB"/>
    <w:rsid w:val="1AF11B8D"/>
    <w:rsid w:val="1B11359C"/>
    <w:rsid w:val="1B2A271F"/>
    <w:rsid w:val="1B530544"/>
    <w:rsid w:val="1B6537C0"/>
    <w:rsid w:val="1B713184"/>
    <w:rsid w:val="1B83082F"/>
    <w:rsid w:val="1BA209CF"/>
    <w:rsid w:val="1BA87030"/>
    <w:rsid w:val="1BB4777D"/>
    <w:rsid w:val="1BD75AB8"/>
    <w:rsid w:val="1C0459C2"/>
    <w:rsid w:val="1C1B3B4A"/>
    <w:rsid w:val="1C88086E"/>
    <w:rsid w:val="1CB11B06"/>
    <w:rsid w:val="1CB6711D"/>
    <w:rsid w:val="1CCE26B8"/>
    <w:rsid w:val="1D266CE1"/>
    <w:rsid w:val="1D3963AF"/>
    <w:rsid w:val="1D55566A"/>
    <w:rsid w:val="1D6A673C"/>
    <w:rsid w:val="1D9247AE"/>
    <w:rsid w:val="1DB567EC"/>
    <w:rsid w:val="1DE97BF0"/>
    <w:rsid w:val="1DF51A98"/>
    <w:rsid w:val="1E3D060F"/>
    <w:rsid w:val="1E3F7D2E"/>
    <w:rsid w:val="1E4134E4"/>
    <w:rsid w:val="1E5062B3"/>
    <w:rsid w:val="1E523514"/>
    <w:rsid w:val="1E714A66"/>
    <w:rsid w:val="1E802593"/>
    <w:rsid w:val="1E8B6156"/>
    <w:rsid w:val="1EA703CC"/>
    <w:rsid w:val="1EB7330C"/>
    <w:rsid w:val="1F0A0FF3"/>
    <w:rsid w:val="1F1D7927"/>
    <w:rsid w:val="1F5771FF"/>
    <w:rsid w:val="1FE868A9"/>
    <w:rsid w:val="20034907"/>
    <w:rsid w:val="200B09FB"/>
    <w:rsid w:val="20173E4B"/>
    <w:rsid w:val="202251F5"/>
    <w:rsid w:val="204E48BC"/>
    <w:rsid w:val="208921B3"/>
    <w:rsid w:val="20973DEB"/>
    <w:rsid w:val="20B26522"/>
    <w:rsid w:val="20B44310"/>
    <w:rsid w:val="211116EB"/>
    <w:rsid w:val="213D5397"/>
    <w:rsid w:val="216133FC"/>
    <w:rsid w:val="21D56769"/>
    <w:rsid w:val="21E52EF3"/>
    <w:rsid w:val="21FB5D7B"/>
    <w:rsid w:val="22015E94"/>
    <w:rsid w:val="220B1C3D"/>
    <w:rsid w:val="221D1D20"/>
    <w:rsid w:val="22334A87"/>
    <w:rsid w:val="22BE6801"/>
    <w:rsid w:val="23051C9D"/>
    <w:rsid w:val="233500BF"/>
    <w:rsid w:val="23377FF7"/>
    <w:rsid w:val="23486D58"/>
    <w:rsid w:val="234926A2"/>
    <w:rsid w:val="234D3A9E"/>
    <w:rsid w:val="236553F8"/>
    <w:rsid w:val="236B425F"/>
    <w:rsid w:val="236F0FEC"/>
    <w:rsid w:val="23836192"/>
    <w:rsid w:val="23901F29"/>
    <w:rsid w:val="239C0061"/>
    <w:rsid w:val="23B908A4"/>
    <w:rsid w:val="23E95BEF"/>
    <w:rsid w:val="23FD0064"/>
    <w:rsid w:val="24476BBD"/>
    <w:rsid w:val="245375B0"/>
    <w:rsid w:val="24642C0A"/>
    <w:rsid w:val="249F3CC1"/>
    <w:rsid w:val="24B22173"/>
    <w:rsid w:val="24B95AD9"/>
    <w:rsid w:val="24BE24DA"/>
    <w:rsid w:val="24CF5825"/>
    <w:rsid w:val="24D663E6"/>
    <w:rsid w:val="24D665B3"/>
    <w:rsid w:val="24D77F2B"/>
    <w:rsid w:val="254D1199"/>
    <w:rsid w:val="258B00E2"/>
    <w:rsid w:val="25A917A6"/>
    <w:rsid w:val="25AD01C7"/>
    <w:rsid w:val="25BE27CC"/>
    <w:rsid w:val="25C27D12"/>
    <w:rsid w:val="25CC175F"/>
    <w:rsid w:val="25E80F36"/>
    <w:rsid w:val="25F74A5C"/>
    <w:rsid w:val="2628662C"/>
    <w:rsid w:val="262D45DE"/>
    <w:rsid w:val="26871DC8"/>
    <w:rsid w:val="26A53EF9"/>
    <w:rsid w:val="26A94201"/>
    <w:rsid w:val="26AC274F"/>
    <w:rsid w:val="26B50F9F"/>
    <w:rsid w:val="27044A29"/>
    <w:rsid w:val="271D34C8"/>
    <w:rsid w:val="27406D45"/>
    <w:rsid w:val="276142BF"/>
    <w:rsid w:val="27687AED"/>
    <w:rsid w:val="27783712"/>
    <w:rsid w:val="27907362"/>
    <w:rsid w:val="281E0FFA"/>
    <w:rsid w:val="28333E1D"/>
    <w:rsid w:val="28454BD6"/>
    <w:rsid w:val="28455253"/>
    <w:rsid w:val="28551971"/>
    <w:rsid w:val="285B1C53"/>
    <w:rsid w:val="289F7086"/>
    <w:rsid w:val="28A636E9"/>
    <w:rsid w:val="28C32028"/>
    <w:rsid w:val="28CC490F"/>
    <w:rsid w:val="28DE40AA"/>
    <w:rsid w:val="28ED35C6"/>
    <w:rsid w:val="29345E77"/>
    <w:rsid w:val="29363ABF"/>
    <w:rsid w:val="294C65AD"/>
    <w:rsid w:val="29806583"/>
    <w:rsid w:val="298B3C4C"/>
    <w:rsid w:val="29DE7FE9"/>
    <w:rsid w:val="29F26D24"/>
    <w:rsid w:val="2A15033F"/>
    <w:rsid w:val="2A157B78"/>
    <w:rsid w:val="2A1662C1"/>
    <w:rsid w:val="2A1C7367"/>
    <w:rsid w:val="2A2815FA"/>
    <w:rsid w:val="2A6D6092"/>
    <w:rsid w:val="2A7D76B4"/>
    <w:rsid w:val="2A9E2ED5"/>
    <w:rsid w:val="2AA5616D"/>
    <w:rsid w:val="2ABC4D4D"/>
    <w:rsid w:val="2B437463"/>
    <w:rsid w:val="2B4D3342"/>
    <w:rsid w:val="2B4D50F0"/>
    <w:rsid w:val="2B7807EE"/>
    <w:rsid w:val="2BA50BF7"/>
    <w:rsid w:val="2BBF00EC"/>
    <w:rsid w:val="2BC37CFD"/>
    <w:rsid w:val="2BD5237F"/>
    <w:rsid w:val="2BE536CE"/>
    <w:rsid w:val="2BE758D9"/>
    <w:rsid w:val="2C09049E"/>
    <w:rsid w:val="2C0A653C"/>
    <w:rsid w:val="2C191F85"/>
    <w:rsid w:val="2C8366DD"/>
    <w:rsid w:val="2CA945A8"/>
    <w:rsid w:val="2CCD7D38"/>
    <w:rsid w:val="2CE82D6F"/>
    <w:rsid w:val="2CFF5663"/>
    <w:rsid w:val="2D343236"/>
    <w:rsid w:val="2DD15014"/>
    <w:rsid w:val="2DF72DE4"/>
    <w:rsid w:val="2E0220AF"/>
    <w:rsid w:val="2E106A37"/>
    <w:rsid w:val="2E4B082A"/>
    <w:rsid w:val="2E5D4E86"/>
    <w:rsid w:val="2E5D790B"/>
    <w:rsid w:val="2E9848D4"/>
    <w:rsid w:val="2E9A3C18"/>
    <w:rsid w:val="2EA119DB"/>
    <w:rsid w:val="2EBB0FEE"/>
    <w:rsid w:val="2EC63002"/>
    <w:rsid w:val="2F0A6B38"/>
    <w:rsid w:val="2F946CCB"/>
    <w:rsid w:val="2FAD2209"/>
    <w:rsid w:val="2FD25781"/>
    <w:rsid w:val="2FDC745C"/>
    <w:rsid w:val="2FF72288"/>
    <w:rsid w:val="2FFD7934"/>
    <w:rsid w:val="30733ACD"/>
    <w:rsid w:val="308C3862"/>
    <w:rsid w:val="309379D8"/>
    <w:rsid w:val="30A270F7"/>
    <w:rsid w:val="30B11C7D"/>
    <w:rsid w:val="30DF1478"/>
    <w:rsid w:val="30EC586F"/>
    <w:rsid w:val="30F77FD8"/>
    <w:rsid w:val="313678B1"/>
    <w:rsid w:val="314B26DB"/>
    <w:rsid w:val="316655A5"/>
    <w:rsid w:val="31886E82"/>
    <w:rsid w:val="319C6071"/>
    <w:rsid w:val="31AC537E"/>
    <w:rsid w:val="31E3679B"/>
    <w:rsid w:val="31E732FD"/>
    <w:rsid w:val="324B0876"/>
    <w:rsid w:val="32517576"/>
    <w:rsid w:val="32563667"/>
    <w:rsid w:val="329927A4"/>
    <w:rsid w:val="32BE5C2C"/>
    <w:rsid w:val="32FB6478"/>
    <w:rsid w:val="33263B3F"/>
    <w:rsid w:val="33482CD4"/>
    <w:rsid w:val="33492641"/>
    <w:rsid w:val="336963EB"/>
    <w:rsid w:val="33816EEB"/>
    <w:rsid w:val="33EB55CD"/>
    <w:rsid w:val="33EC4C02"/>
    <w:rsid w:val="340D2360"/>
    <w:rsid w:val="3410665D"/>
    <w:rsid w:val="34206BBA"/>
    <w:rsid w:val="34211214"/>
    <w:rsid w:val="342E63AB"/>
    <w:rsid w:val="349354A0"/>
    <w:rsid w:val="34950E68"/>
    <w:rsid w:val="34986E94"/>
    <w:rsid w:val="34AF62C9"/>
    <w:rsid w:val="34CB4388"/>
    <w:rsid w:val="34FA6E12"/>
    <w:rsid w:val="354D7158"/>
    <w:rsid w:val="358D5588"/>
    <w:rsid w:val="35F5260C"/>
    <w:rsid w:val="363A3B40"/>
    <w:rsid w:val="365302AE"/>
    <w:rsid w:val="36607A0A"/>
    <w:rsid w:val="366E227C"/>
    <w:rsid w:val="366F2E0D"/>
    <w:rsid w:val="367B6A5C"/>
    <w:rsid w:val="369E361B"/>
    <w:rsid w:val="36A74ADA"/>
    <w:rsid w:val="36AD60D5"/>
    <w:rsid w:val="36B224F9"/>
    <w:rsid w:val="36C05F03"/>
    <w:rsid w:val="36EC0CC9"/>
    <w:rsid w:val="372A36CA"/>
    <w:rsid w:val="37377380"/>
    <w:rsid w:val="373F410B"/>
    <w:rsid w:val="376C0D02"/>
    <w:rsid w:val="37CE75B8"/>
    <w:rsid w:val="37EE7094"/>
    <w:rsid w:val="38296C89"/>
    <w:rsid w:val="383002EB"/>
    <w:rsid w:val="38586797"/>
    <w:rsid w:val="38BC0149"/>
    <w:rsid w:val="38D87D1C"/>
    <w:rsid w:val="39636459"/>
    <w:rsid w:val="396B7F6C"/>
    <w:rsid w:val="39B417A9"/>
    <w:rsid w:val="39DA0497"/>
    <w:rsid w:val="39FC5695"/>
    <w:rsid w:val="3A006D8E"/>
    <w:rsid w:val="3A3651E5"/>
    <w:rsid w:val="3A4A2960"/>
    <w:rsid w:val="3A6B7341"/>
    <w:rsid w:val="3A744481"/>
    <w:rsid w:val="3A772A1D"/>
    <w:rsid w:val="3A8C7BEF"/>
    <w:rsid w:val="3A906246"/>
    <w:rsid w:val="3A9A0913"/>
    <w:rsid w:val="3B2349B7"/>
    <w:rsid w:val="3B616CFF"/>
    <w:rsid w:val="3B6259F6"/>
    <w:rsid w:val="3B970012"/>
    <w:rsid w:val="3B976654"/>
    <w:rsid w:val="3BC01EFC"/>
    <w:rsid w:val="3BCA786A"/>
    <w:rsid w:val="3BD31E2F"/>
    <w:rsid w:val="3BF15831"/>
    <w:rsid w:val="3C105946"/>
    <w:rsid w:val="3C1D4F1F"/>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E198B"/>
    <w:rsid w:val="3EAF4836"/>
    <w:rsid w:val="3EC33DFA"/>
    <w:rsid w:val="3F060E16"/>
    <w:rsid w:val="3F1D1096"/>
    <w:rsid w:val="3F2F0234"/>
    <w:rsid w:val="3F443960"/>
    <w:rsid w:val="3F6363FE"/>
    <w:rsid w:val="3F654CEB"/>
    <w:rsid w:val="3F756B8F"/>
    <w:rsid w:val="3F95482B"/>
    <w:rsid w:val="3FB157F6"/>
    <w:rsid w:val="3FD82C07"/>
    <w:rsid w:val="3FFD23E6"/>
    <w:rsid w:val="4019356B"/>
    <w:rsid w:val="404D7C4D"/>
    <w:rsid w:val="40592157"/>
    <w:rsid w:val="40644F5E"/>
    <w:rsid w:val="406E1CAE"/>
    <w:rsid w:val="40A0133A"/>
    <w:rsid w:val="40BF7F1B"/>
    <w:rsid w:val="40C31A53"/>
    <w:rsid w:val="40DD171A"/>
    <w:rsid w:val="40FF545D"/>
    <w:rsid w:val="410067C8"/>
    <w:rsid w:val="418F0D2A"/>
    <w:rsid w:val="419E73F2"/>
    <w:rsid w:val="41D01505"/>
    <w:rsid w:val="42022339"/>
    <w:rsid w:val="42474939"/>
    <w:rsid w:val="424C3C57"/>
    <w:rsid w:val="42613FF3"/>
    <w:rsid w:val="42660D96"/>
    <w:rsid w:val="4275541F"/>
    <w:rsid w:val="428667D2"/>
    <w:rsid w:val="42CD1CE0"/>
    <w:rsid w:val="42D24EF0"/>
    <w:rsid w:val="42E1381E"/>
    <w:rsid w:val="42ED6459"/>
    <w:rsid w:val="42FE58DD"/>
    <w:rsid w:val="43174B3D"/>
    <w:rsid w:val="434B790E"/>
    <w:rsid w:val="4360274F"/>
    <w:rsid w:val="436A4639"/>
    <w:rsid w:val="43977AB6"/>
    <w:rsid w:val="439A302D"/>
    <w:rsid w:val="43A3342B"/>
    <w:rsid w:val="43C77C27"/>
    <w:rsid w:val="43DE09EE"/>
    <w:rsid w:val="43F565F9"/>
    <w:rsid w:val="44002FAD"/>
    <w:rsid w:val="44352E99"/>
    <w:rsid w:val="449101DD"/>
    <w:rsid w:val="44B877B7"/>
    <w:rsid w:val="44DE1391"/>
    <w:rsid w:val="451B225C"/>
    <w:rsid w:val="452410C9"/>
    <w:rsid w:val="45317DFB"/>
    <w:rsid w:val="453411AE"/>
    <w:rsid w:val="45436E41"/>
    <w:rsid w:val="456D3CE4"/>
    <w:rsid w:val="4579042C"/>
    <w:rsid w:val="457F0571"/>
    <w:rsid w:val="45851176"/>
    <w:rsid w:val="45A54FE4"/>
    <w:rsid w:val="45A55DFD"/>
    <w:rsid w:val="45C63B94"/>
    <w:rsid w:val="460E7DA5"/>
    <w:rsid w:val="46331C82"/>
    <w:rsid w:val="46422483"/>
    <w:rsid w:val="4659254A"/>
    <w:rsid w:val="465B0637"/>
    <w:rsid w:val="465E3F0D"/>
    <w:rsid w:val="465F014E"/>
    <w:rsid w:val="466A16E6"/>
    <w:rsid w:val="46893F2B"/>
    <w:rsid w:val="46B92149"/>
    <w:rsid w:val="46C4686E"/>
    <w:rsid w:val="475C24EB"/>
    <w:rsid w:val="47622908"/>
    <w:rsid w:val="477B778F"/>
    <w:rsid w:val="478203EC"/>
    <w:rsid w:val="47B025FA"/>
    <w:rsid w:val="47C02A7A"/>
    <w:rsid w:val="4809698F"/>
    <w:rsid w:val="481132D5"/>
    <w:rsid w:val="4811697D"/>
    <w:rsid w:val="482753D3"/>
    <w:rsid w:val="486B3F71"/>
    <w:rsid w:val="487A3E25"/>
    <w:rsid w:val="488B5503"/>
    <w:rsid w:val="48937E21"/>
    <w:rsid w:val="489A0361"/>
    <w:rsid w:val="48B94FF3"/>
    <w:rsid w:val="48E37AAB"/>
    <w:rsid w:val="48FD4B4C"/>
    <w:rsid w:val="490938EF"/>
    <w:rsid w:val="490A68E0"/>
    <w:rsid w:val="491055FE"/>
    <w:rsid w:val="495F5B3E"/>
    <w:rsid w:val="496F77D7"/>
    <w:rsid w:val="497654FD"/>
    <w:rsid w:val="49965C7F"/>
    <w:rsid w:val="49B64211"/>
    <w:rsid w:val="49F6167F"/>
    <w:rsid w:val="4A064FA0"/>
    <w:rsid w:val="4A16615C"/>
    <w:rsid w:val="4A4424D7"/>
    <w:rsid w:val="4A7845F6"/>
    <w:rsid w:val="4AAF5028"/>
    <w:rsid w:val="4AB82D0F"/>
    <w:rsid w:val="4AEB7664"/>
    <w:rsid w:val="4AFD7C19"/>
    <w:rsid w:val="4B0567D1"/>
    <w:rsid w:val="4B236AAE"/>
    <w:rsid w:val="4B3F19E6"/>
    <w:rsid w:val="4B445563"/>
    <w:rsid w:val="4B707271"/>
    <w:rsid w:val="4B9739F7"/>
    <w:rsid w:val="4BEE2503"/>
    <w:rsid w:val="4C121D12"/>
    <w:rsid w:val="4C245A30"/>
    <w:rsid w:val="4CB6685F"/>
    <w:rsid w:val="4CC367FE"/>
    <w:rsid w:val="4D077F3C"/>
    <w:rsid w:val="4D123355"/>
    <w:rsid w:val="4D2A3B31"/>
    <w:rsid w:val="4D312C52"/>
    <w:rsid w:val="4D8409ED"/>
    <w:rsid w:val="4D905305"/>
    <w:rsid w:val="4D964A72"/>
    <w:rsid w:val="4D9C1254"/>
    <w:rsid w:val="4D9C6E2F"/>
    <w:rsid w:val="4E693057"/>
    <w:rsid w:val="4E793892"/>
    <w:rsid w:val="4E800872"/>
    <w:rsid w:val="4E845C10"/>
    <w:rsid w:val="4E8F31A6"/>
    <w:rsid w:val="4EC569ED"/>
    <w:rsid w:val="4ED50EA1"/>
    <w:rsid w:val="4ED51520"/>
    <w:rsid w:val="4EEC050C"/>
    <w:rsid w:val="4F104EC3"/>
    <w:rsid w:val="4F47354A"/>
    <w:rsid w:val="4F911C54"/>
    <w:rsid w:val="4FC81042"/>
    <w:rsid w:val="4FE625E0"/>
    <w:rsid w:val="5021480F"/>
    <w:rsid w:val="50226F4F"/>
    <w:rsid w:val="50962ECB"/>
    <w:rsid w:val="50A42E38"/>
    <w:rsid w:val="50A4577F"/>
    <w:rsid w:val="50B73D1F"/>
    <w:rsid w:val="50BD5BC9"/>
    <w:rsid w:val="50C11EEE"/>
    <w:rsid w:val="50E97CFC"/>
    <w:rsid w:val="50FA4028"/>
    <w:rsid w:val="510D65B7"/>
    <w:rsid w:val="511157AB"/>
    <w:rsid w:val="5142540C"/>
    <w:rsid w:val="518832C8"/>
    <w:rsid w:val="51976F41"/>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F0629"/>
    <w:rsid w:val="53BA107A"/>
    <w:rsid w:val="54013861"/>
    <w:rsid w:val="54176950"/>
    <w:rsid w:val="54487265"/>
    <w:rsid w:val="544D6070"/>
    <w:rsid w:val="54605E1E"/>
    <w:rsid w:val="54B3506A"/>
    <w:rsid w:val="54CA0D16"/>
    <w:rsid w:val="54CB4DB2"/>
    <w:rsid w:val="54DD4057"/>
    <w:rsid w:val="54E7490F"/>
    <w:rsid w:val="54F20FD1"/>
    <w:rsid w:val="550764A4"/>
    <w:rsid w:val="550B2BF6"/>
    <w:rsid w:val="55214EB5"/>
    <w:rsid w:val="552A2BBF"/>
    <w:rsid w:val="55364EFD"/>
    <w:rsid w:val="555D4828"/>
    <w:rsid w:val="557A4C8B"/>
    <w:rsid w:val="558931E1"/>
    <w:rsid w:val="55923347"/>
    <w:rsid w:val="55925180"/>
    <w:rsid w:val="55983B1B"/>
    <w:rsid w:val="559E4A28"/>
    <w:rsid w:val="55A8376B"/>
    <w:rsid w:val="55B57D4A"/>
    <w:rsid w:val="55DC29B6"/>
    <w:rsid w:val="55DD4241"/>
    <w:rsid w:val="566B6D1E"/>
    <w:rsid w:val="56A14FD8"/>
    <w:rsid w:val="56A7044E"/>
    <w:rsid w:val="56E91619"/>
    <w:rsid w:val="57032A2C"/>
    <w:rsid w:val="570452C9"/>
    <w:rsid w:val="570F5219"/>
    <w:rsid w:val="570F7353"/>
    <w:rsid w:val="574D3BFE"/>
    <w:rsid w:val="575D12B5"/>
    <w:rsid w:val="57610A87"/>
    <w:rsid w:val="57671AF3"/>
    <w:rsid w:val="577B1140"/>
    <w:rsid w:val="577B7F21"/>
    <w:rsid w:val="577F181B"/>
    <w:rsid w:val="57921984"/>
    <w:rsid w:val="579737F0"/>
    <w:rsid w:val="57AB7B30"/>
    <w:rsid w:val="57AF5251"/>
    <w:rsid w:val="57B26373"/>
    <w:rsid w:val="57B63F04"/>
    <w:rsid w:val="57C321A9"/>
    <w:rsid w:val="57C52240"/>
    <w:rsid w:val="57CD20C2"/>
    <w:rsid w:val="57D675AB"/>
    <w:rsid w:val="57D95FDD"/>
    <w:rsid w:val="57E30C41"/>
    <w:rsid w:val="58917D2F"/>
    <w:rsid w:val="58922210"/>
    <w:rsid w:val="5894085C"/>
    <w:rsid w:val="58AE4F0C"/>
    <w:rsid w:val="58B85899"/>
    <w:rsid w:val="58E315AE"/>
    <w:rsid w:val="58E363A9"/>
    <w:rsid w:val="592245D0"/>
    <w:rsid w:val="595E1678"/>
    <w:rsid w:val="596D5BD4"/>
    <w:rsid w:val="597E3DD8"/>
    <w:rsid w:val="598D4786"/>
    <w:rsid w:val="59B50A98"/>
    <w:rsid w:val="59C56C0A"/>
    <w:rsid w:val="59E24AD2"/>
    <w:rsid w:val="59F80043"/>
    <w:rsid w:val="5A0013FC"/>
    <w:rsid w:val="5A09252F"/>
    <w:rsid w:val="5A0B2778"/>
    <w:rsid w:val="5A2A7C7B"/>
    <w:rsid w:val="5A3E2560"/>
    <w:rsid w:val="5A5D3B6E"/>
    <w:rsid w:val="5A637A76"/>
    <w:rsid w:val="5A6D33BA"/>
    <w:rsid w:val="5A792B1F"/>
    <w:rsid w:val="5A874767"/>
    <w:rsid w:val="5AA85BE2"/>
    <w:rsid w:val="5AAD6F28"/>
    <w:rsid w:val="5ACB3527"/>
    <w:rsid w:val="5AD63A24"/>
    <w:rsid w:val="5B2E1A1D"/>
    <w:rsid w:val="5B843A1C"/>
    <w:rsid w:val="5B873E3F"/>
    <w:rsid w:val="5BD60C69"/>
    <w:rsid w:val="5BD93498"/>
    <w:rsid w:val="5C02690E"/>
    <w:rsid w:val="5C196DA7"/>
    <w:rsid w:val="5C2A048C"/>
    <w:rsid w:val="5C3474DD"/>
    <w:rsid w:val="5C39281D"/>
    <w:rsid w:val="5C80234E"/>
    <w:rsid w:val="5C82259C"/>
    <w:rsid w:val="5C8A680C"/>
    <w:rsid w:val="5D0C4701"/>
    <w:rsid w:val="5D0F0395"/>
    <w:rsid w:val="5D221076"/>
    <w:rsid w:val="5D235B2D"/>
    <w:rsid w:val="5D397964"/>
    <w:rsid w:val="5D577585"/>
    <w:rsid w:val="5D5A391C"/>
    <w:rsid w:val="5D5F10C0"/>
    <w:rsid w:val="5D700646"/>
    <w:rsid w:val="5D732E9B"/>
    <w:rsid w:val="5D873027"/>
    <w:rsid w:val="5D891B7B"/>
    <w:rsid w:val="5DAD38EE"/>
    <w:rsid w:val="5DEF62A4"/>
    <w:rsid w:val="5DF9533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06F6C"/>
    <w:rsid w:val="5FCC5339"/>
    <w:rsid w:val="5FE07D05"/>
    <w:rsid w:val="5FE34A5B"/>
    <w:rsid w:val="5FFE1E36"/>
    <w:rsid w:val="60232584"/>
    <w:rsid w:val="60521868"/>
    <w:rsid w:val="607330CE"/>
    <w:rsid w:val="60825176"/>
    <w:rsid w:val="608623FD"/>
    <w:rsid w:val="609F2AC4"/>
    <w:rsid w:val="60FA2EE8"/>
    <w:rsid w:val="61054A27"/>
    <w:rsid w:val="610A52BC"/>
    <w:rsid w:val="611D2366"/>
    <w:rsid w:val="61297622"/>
    <w:rsid w:val="61421856"/>
    <w:rsid w:val="615227C4"/>
    <w:rsid w:val="61524EF4"/>
    <w:rsid w:val="61654E3F"/>
    <w:rsid w:val="6182292A"/>
    <w:rsid w:val="619C5EDD"/>
    <w:rsid w:val="619F7F92"/>
    <w:rsid w:val="61C64CD9"/>
    <w:rsid w:val="61F94C26"/>
    <w:rsid w:val="62000E56"/>
    <w:rsid w:val="622F38AF"/>
    <w:rsid w:val="624F3E49"/>
    <w:rsid w:val="62632286"/>
    <w:rsid w:val="62885958"/>
    <w:rsid w:val="62B53117"/>
    <w:rsid w:val="62F40B65"/>
    <w:rsid w:val="62FC2CFE"/>
    <w:rsid w:val="63017A80"/>
    <w:rsid w:val="63024505"/>
    <w:rsid w:val="631C4705"/>
    <w:rsid w:val="635600A5"/>
    <w:rsid w:val="635B1DB5"/>
    <w:rsid w:val="63711FED"/>
    <w:rsid w:val="63880DDC"/>
    <w:rsid w:val="638D750D"/>
    <w:rsid w:val="63AC6CC0"/>
    <w:rsid w:val="63D74F7B"/>
    <w:rsid w:val="64055776"/>
    <w:rsid w:val="64240056"/>
    <w:rsid w:val="642F125B"/>
    <w:rsid w:val="64342178"/>
    <w:rsid w:val="643E143A"/>
    <w:rsid w:val="64491666"/>
    <w:rsid w:val="646905CB"/>
    <w:rsid w:val="648B6EEF"/>
    <w:rsid w:val="64C158BF"/>
    <w:rsid w:val="64CE2EAA"/>
    <w:rsid w:val="653C3090"/>
    <w:rsid w:val="65854376"/>
    <w:rsid w:val="658767BE"/>
    <w:rsid w:val="65892531"/>
    <w:rsid w:val="658B6D19"/>
    <w:rsid w:val="65F66A1B"/>
    <w:rsid w:val="66195831"/>
    <w:rsid w:val="662E75B1"/>
    <w:rsid w:val="66342C2E"/>
    <w:rsid w:val="663E784C"/>
    <w:rsid w:val="666F1DE3"/>
    <w:rsid w:val="668B6A45"/>
    <w:rsid w:val="672F3F24"/>
    <w:rsid w:val="673E055F"/>
    <w:rsid w:val="67551CE3"/>
    <w:rsid w:val="67A22552"/>
    <w:rsid w:val="67B22DCC"/>
    <w:rsid w:val="67BE71AA"/>
    <w:rsid w:val="67D90273"/>
    <w:rsid w:val="67DE5875"/>
    <w:rsid w:val="67E55852"/>
    <w:rsid w:val="67EB1AB4"/>
    <w:rsid w:val="67FA1285"/>
    <w:rsid w:val="683F2E80"/>
    <w:rsid w:val="6847785B"/>
    <w:rsid w:val="68551F4F"/>
    <w:rsid w:val="687C10C9"/>
    <w:rsid w:val="68840C16"/>
    <w:rsid w:val="68876EFB"/>
    <w:rsid w:val="68884654"/>
    <w:rsid w:val="689F444F"/>
    <w:rsid w:val="68B96DBB"/>
    <w:rsid w:val="68CA2805"/>
    <w:rsid w:val="68E937A3"/>
    <w:rsid w:val="69124386"/>
    <w:rsid w:val="691B66FA"/>
    <w:rsid w:val="693E15D3"/>
    <w:rsid w:val="69555A5C"/>
    <w:rsid w:val="69627681"/>
    <w:rsid w:val="6977531D"/>
    <w:rsid w:val="698064A3"/>
    <w:rsid w:val="69CC2BFF"/>
    <w:rsid w:val="69CC61E8"/>
    <w:rsid w:val="69D322EC"/>
    <w:rsid w:val="69FD55B8"/>
    <w:rsid w:val="6A0B1C62"/>
    <w:rsid w:val="6A0D23C2"/>
    <w:rsid w:val="6A2406C8"/>
    <w:rsid w:val="6A3A2708"/>
    <w:rsid w:val="6A446266"/>
    <w:rsid w:val="6ADE0BD1"/>
    <w:rsid w:val="6AE96859"/>
    <w:rsid w:val="6B147746"/>
    <w:rsid w:val="6B24787C"/>
    <w:rsid w:val="6B573233"/>
    <w:rsid w:val="6B58006B"/>
    <w:rsid w:val="6B59096C"/>
    <w:rsid w:val="6B5B6274"/>
    <w:rsid w:val="6B935D53"/>
    <w:rsid w:val="6C196F71"/>
    <w:rsid w:val="6C226FCB"/>
    <w:rsid w:val="6C31226F"/>
    <w:rsid w:val="6C552F0B"/>
    <w:rsid w:val="6C8C67B7"/>
    <w:rsid w:val="6C9D744C"/>
    <w:rsid w:val="6D167928"/>
    <w:rsid w:val="6D26299B"/>
    <w:rsid w:val="6D4772EC"/>
    <w:rsid w:val="6D757C56"/>
    <w:rsid w:val="6D9078AF"/>
    <w:rsid w:val="6DAA3FEF"/>
    <w:rsid w:val="6DBE0F5A"/>
    <w:rsid w:val="6DC0172B"/>
    <w:rsid w:val="6DCB690C"/>
    <w:rsid w:val="6DD41A5B"/>
    <w:rsid w:val="6DF43C2E"/>
    <w:rsid w:val="6DF51CA3"/>
    <w:rsid w:val="6E4371C3"/>
    <w:rsid w:val="6E8335BD"/>
    <w:rsid w:val="6E8E12EF"/>
    <w:rsid w:val="6E972936"/>
    <w:rsid w:val="6ED446C5"/>
    <w:rsid w:val="6EEF6B0D"/>
    <w:rsid w:val="6F2A7D94"/>
    <w:rsid w:val="6F8331F1"/>
    <w:rsid w:val="6FAA5C3A"/>
    <w:rsid w:val="6FAE1A09"/>
    <w:rsid w:val="6FD75BF8"/>
    <w:rsid w:val="6FDA7F93"/>
    <w:rsid w:val="6FFF1196"/>
    <w:rsid w:val="707723D0"/>
    <w:rsid w:val="709B2FBB"/>
    <w:rsid w:val="70F5661B"/>
    <w:rsid w:val="71360107"/>
    <w:rsid w:val="713B688E"/>
    <w:rsid w:val="71B823D7"/>
    <w:rsid w:val="71D43752"/>
    <w:rsid w:val="71D46E35"/>
    <w:rsid w:val="71F1796A"/>
    <w:rsid w:val="72154626"/>
    <w:rsid w:val="72262B5D"/>
    <w:rsid w:val="72283FF7"/>
    <w:rsid w:val="722E7212"/>
    <w:rsid w:val="723A0474"/>
    <w:rsid w:val="724C7B4B"/>
    <w:rsid w:val="725923E4"/>
    <w:rsid w:val="72864BF7"/>
    <w:rsid w:val="729023FC"/>
    <w:rsid w:val="72E200F4"/>
    <w:rsid w:val="73C0646E"/>
    <w:rsid w:val="742222F5"/>
    <w:rsid w:val="744077DC"/>
    <w:rsid w:val="744523D5"/>
    <w:rsid w:val="74476126"/>
    <w:rsid w:val="74706664"/>
    <w:rsid w:val="747F3682"/>
    <w:rsid w:val="749C4185"/>
    <w:rsid w:val="74CB2427"/>
    <w:rsid w:val="75067759"/>
    <w:rsid w:val="752E6DCD"/>
    <w:rsid w:val="7551380D"/>
    <w:rsid w:val="75523424"/>
    <w:rsid w:val="75600BE5"/>
    <w:rsid w:val="7564475C"/>
    <w:rsid w:val="7583797F"/>
    <w:rsid w:val="758B5587"/>
    <w:rsid w:val="75D20F1D"/>
    <w:rsid w:val="75DA2C18"/>
    <w:rsid w:val="75F54412"/>
    <w:rsid w:val="761D08E0"/>
    <w:rsid w:val="765D347C"/>
    <w:rsid w:val="766A7A68"/>
    <w:rsid w:val="76826699"/>
    <w:rsid w:val="76C87133"/>
    <w:rsid w:val="76CD08D5"/>
    <w:rsid w:val="76DB4B92"/>
    <w:rsid w:val="76E97048"/>
    <w:rsid w:val="77025182"/>
    <w:rsid w:val="77052AA4"/>
    <w:rsid w:val="77136511"/>
    <w:rsid w:val="77340A39"/>
    <w:rsid w:val="77351FD0"/>
    <w:rsid w:val="77472422"/>
    <w:rsid w:val="777D6C22"/>
    <w:rsid w:val="777F31F2"/>
    <w:rsid w:val="77BD34BC"/>
    <w:rsid w:val="77D1700D"/>
    <w:rsid w:val="77EC04CC"/>
    <w:rsid w:val="7803238B"/>
    <w:rsid w:val="78775729"/>
    <w:rsid w:val="788F00C3"/>
    <w:rsid w:val="78970D25"/>
    <w:rsid w:val="78A42DB0"/>
    <w:rsid w:val="78A656AB"/>
    <w:rsid w:val="78B2245C"/>
    <w:rsid w:val="78E172CC"/>
    <w:rsid w:val="78EA1D1F"/>
    <w:rsid w:val="7904172F"/>
    <w:rsid w:val="790F7E27"/>
    <w:rsid w:val="792A231A"/>
    <w:rsid w:val="79316829"/>
    <w:rsid w:val="797E66A9"/>
    <w:rsid w:val="798518A4"/>
    <w:rsid w:val="79A97383"/>
    <w:rsid w:val="79BD70A9"/>
    <w:rsid w:val="79E27E8B"/>
    <w:rsid w:val="79F850CE"/>
    <w:rsid w:val="79FD443C"/>
    <w:rsid w:val="7A1D1975"/>
    <w:rsid w:val="7A3E5150"/>
    <w:rsid w:val="7A401EF5"/>
    <w:rsid w:val="7A4670D6"/>
    <w:rsid w:val="7A534B63"/>
    <w:rsid w:val="7A615382"/>
    <w:rsid w:val="7A67303B"/>
    <w:rsid w:val="7AAB1D04"/>
    <w:rsid w:val="7ABA4368"/>
    <w:rsid w:val="7ACF7BAC"/>
    <w:rsid w:val="7AD05746"/>
    <w:rsid w:val="7B257FFD"/>
    <w:rsid w:val="7B343476"/>
    <w:rsid w:val="7B5A2978"/>
    <w:rsid w:val="7B5A7E4C"/>
    <w:rsid w:val="7B667AF9"/>
    <w:rsid w:val="7B693797"/>
    <w:rsid w:val="7B7468F8"/>
    <w:rsid w:val="7B897BA3"/>
    <w:rsid w:val="7BC205B9"/>
    <w:rsid w:val="7BEE0103"/>
    <w:rsid w:val="7C0A0FE4"/>
    <w:rsid w:val="7C1E5C5D"/>
    <w:rsid w:val="7C254906"/>
    <w:rsid w:val="7C3C5538"/>
    <w:rsid w:val="7C590818"/>
    <w:rsid w:val="7C6632D8"/>
    <w:rsid w:val="7C7C10F6"/>
    <w:rsid w:val="7C853BEA"/>
    <w:rsid w:val="7C881368"/>
    <w:rsid w:val="7CE27788"/>
    <w:rsid w:val="7D0A7D18"/>
    <w:rsid w:val="7D0C32F1"/>
    <w:rsid w:val="7D0F408D"/>
    <w:rsid w:val="7D491C6C"/>
    <w:rsid w:val="7D5429C0"/>
    <w:rsid w:val="7D5524E5"/>
    <w:rsid w:val="7D6E6D43"/>
    <w:rsid w:val="7DB57A34"/>
    <w:rsid w:val="7DB632F2"/>
    <w:rsid w:val="7DC22078"/>
    <w:rsid w:val="7DE60973"/>
    <w:rsid w:val="7DEF0916"/>
    <w:rsid w:val="7E0929FF"/>
    <w:rsid w:val="7E1E5218"/>
    <w:rsid w:val="7E3231B3"/>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2"/>
    <w:qFormat/>
    <w:uiPriority w:val="0"/>
    <w:pPr>
      <w:spacing w:line="480" w:lineRule="exact"/>
      <w:ind w:firstLine="480" w:firstLineChars="200"/>
    </w:pPr>
    <w:rPr>
      <w:rFonts w:ascii="宋体" w:hAnsi="宋体"/>
      <w:sz w:val="24"/>
    </w:rPr>
  </w:style>
  <w:style w:type="paragraph" w:styleId="27">
    <w:name w:val="Body Text First Indent 2"/>
    <w:basedOn w:val="26"/>
    <w:next w:val="1"/>
    <w:link w:val="118"/>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autoRedefine/>
    <w:qFormat/>
    <w:uiPriority w:val="99"/>
    <w:pPr>
      <w:tabs>
        <w:tab w:val="center" w:pos="4153"/>
        <w:tab w:val="right" w:pos="8306"/>
      </w:tabs>
      <w:snapToGrid w:val="0"/>
      <w:jc w:val="left"/>
    </w:pPr>
    <w:rPr>
      <w:sz w:val="18"/>
      <w:szCs w:val="18"/>
    </w:rPr>
  </w:style>
  <w:style w:type="paragraph" w:styleId="43">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8"/>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autoRedefine/>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autoRedefine/>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7"/>
    <w:autoRedefine/>
    <w:qFormat/>
    <w:uiPriority w:val="0"/>
    <w:rPr>
      <w:rFonts w:ascii="宋体" w:hAnsi="宋体"/>
      <w:kern w:val="2"/>
      <w:sz w:val="21"/>
      <w:szCs w:val="24"/>
    </w:rPr>
  </w:style>
  <w:style w:type="character" w:customStyle="1" w:styleId="119">
    <w:name w:val="font11"/>
    <w:basedOn w:val="69"/>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11"/>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6"/>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8"/>
    <w:autoRedefine/>
    <w:qFormat/>
    <w:uiPriority w:val="0"/>
    <w:rPr>
      <w:rFonts w:ascii="宋体"/>
      <w:kern w:val="2"/>
      <w:sz w:val="24"/>
      <w:szCs w:val="21"/>
      <w:lang w:val="zh-CN"/>
    </w:rPr>
  </w:style>
  <w:style w:type="character" w:customStyle="1" w:styleId="179">
    <w:name w:val="标题 9 Char"/>
    <w:link w:val="14"/>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41"/>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8"/>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21"/>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32"/>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9"/>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9"/>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6"/>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5"/>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60"/>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10"/>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3"/>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8"/>
    <w:autoRedefine/>
    <w:qFormat/>
    <w:uiPriority w:val="0"/>
    <w:rPr>
      <w:rFonts w:ascii="黑体" w:hAnsi="Courier New" w:eastAsia="黑体"/>
    </w:rPr>
  </w:style>
  <w:style w:type="character" w:customStyle="1" w:styleId="299">
    <w:name w:val="正文文本 2 Char1"/>
    <w:link w:val="57"/>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9"/>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12"/>
    <w:autoRedefine/>
    <w:qFormat/>
    <w:uiPriority w:val="0"/>
    <w:rPr>
      <w:b/>
      <w:bCs/>
      <w:kern w:val="2"/>
      <w:sz w:val="24"/>
      <w:szCs w:val="24"/>
    </w:rPr>
  </w:style>
  <w:style w:type="character" w:customStyle="1" w:styleId="305">
    <w:name w:val="正文文本缩进 2 Char"/>
    <w:link w:val="39"/>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2"/>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2"/>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9"/>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4"/>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autoRedefine/>
    <w:qFormat/>
    <w:uiPriority w:val="0"/>
    <w:rPr>
      <w:kern w:val="2"/>
      <w:sz w:val="21"/>
      <w:szCs w:val="24"/>
    </w:rPr>
  </w:style>
  <w:style w:type="character" w:customStyle="1" w:styleId="342">
    <w:name w:val="签名 Char"/>
    <w:link w:val="44"/>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4"/>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2"/>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3"/>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8"/>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6"/>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5"/>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7"/>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10"/>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360首行缩进"/>
    <w:basedOn w:val="1"/>
    <w:qFormat/>
    <w:uiPriority w:val="0"/>
    <w:pPr>
      <w:widowControl/>
      <w:spacing w:after="50" w:line="300" w:lineRule="auto"/>
      <w:ind w:firstLine="200" w:firstLineChars="200"/>
      <w:jc w:val="left"/>
    </w:pPr>
    <w:rPr>
      <w:rFonts w:ascii="Arial" w:hAnsi="Arial"/>
      <w:kern w:val="0"/>
      <w:szCs w:val="21"/>
    </w:rPr>
  </w:style>
  <w:style w:type="character" w:customStyle="1" w:styleId="963">
    <w:name w:val="font122"/>
    <w:basedOn w:val="69"/>
    <w:qFormat/>
    <w:uiPriority w:val="0"/>
    <w:rPr>
      <w:rFonts w:hint="eastAsia" w:ascii="黑体" w:hAnsi="宋体" w:eastAsia="黑体" w:cs="黑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B2367-DA3D-4523-AE1D-B1C1C21D685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52140</Words>
  <Characters>56066</Characters>
  <Lines>287</Lines>
  <Paragraphs>81</Paragraphs>
  <TotalTime>62</TotalTime>
  <ScaleCrop>false</ScaleCrop>
  <LinksUpToDate>false</LinksUpToDate>
  <CharactersWithSpaces>61135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小孩</cp:lastModifiedBy>
  <cp:lastPrinted>2023-10-31T01:59:00Z</cp:lastPrinted>
  <dcterms:modified xsi:type="dcterms:W3CDTF">2024-03-14T06:59:47Z</dcterms:modified>
  <dc:title>杭州市市民卡扩大发卡工程</dc:title>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2A1488EE2D8343AFA8E42C56F6AD394A</vt:lpwstr>
  </property>
</Properties>
</file>