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440" w:firstLineChars="100"/>
        <w:rPr>
          <w:rFonts w:eastAsia="方正小标宋_GBK"/>
          <w:sz w:val="44"/>
          <w:szCs w:val="44"/>
        </w:rPr>
      </w:pPr>
      <w:r>
        <w:rPr>
          <w:rFonts w:eastAsia="方正小标宋_GBK"/>
          <w:sz w:val="44"/>
          <w:szCs w:val="44"/>
        </w:rPr>
        <w:t>201</w:t>
      </w:r>
      <w:r>
        <w:rPr>
          <w:rFonts w:hint="eastAsia" w:eastAsia="方正小标宋_GBK"/>
          <w:sz w:val="44"/>
          <w:szCs w:val="44"/>
        </w:rPr>
        <w:t>6</w:t>
      </w:r>
      <w:r>
        <w:rPr>
          <w:rFonts w:eastAsia="方正小标宋_GBK"/>
          <w:sz w:val="44"/>
          <w:szCs w:val="44"/>
        </w:rPr>
        <w:t>年度西湖区政府信息公开工作年度报告</w:t>
      </w:r>
    </w:p>
    <w:p>
      <w:pPr>
        <w:widowControl/>
        <w:spacing w:line="540" w:lineRule="exact"/>
        <w:jc w:val="center"/>
        <w:rPr>
          <w:rFonts w:eastAsia="方正小标宋简体"/>
          <w:sz w:val="44"/>
          <w:szCs w:val="44"/>
        </w:rPr>
      </w:pPr>
    </w:p>
    <w:p>
      <w:pPr>
        <w:widowControl/>
        <w:spacing w:line="540" w:lineRule="exact"/>
        <w:ind w:firstLine="640" w:firstLineChars="200"/>
        <w:rPr>
          <w:rFonts w:eastAsia="仿宋"/>
          <w:color w:val="000000"/>
          <w:sz w:val="32"/>
          <w:szCs w:val="32"/>
        </w:rPr>
      </w:pPr>
      <w:r>
        <w:rPr>
          <w:rFonts w:eastAsia="仿宋"/>
          <w:color w:val="000000"/>
          <w:sz w:val="32"/>
          <w:szCs w:val="32"/>
        </w:rPr>
        <w:t>本年度报告是根据《中华人民共和国政府信息公开条例》（以下简称《条例》）、《浙江省政府信息公开暂行办法》（以下简称《办法》）、《杭州市政府信息公开规定》（以下简称《规定》）的要求，由杭州市</w:t>
      </w:r>
      <w:r>
        <w:rPr>
          <w:rFonts w:hint="eastAsia" w:eastAsia="仿宋"/>
          <w:color w:val="000000"/>
          <w:sz w:val="32"/>
          <w:szCs w:val="32"/>
        </w:rPr>
        <w:t>西湖区</w:t>
      </w:r>
      <w:r>
        <w:rPr>
          <w:rFonts w:eastAsia="仿宋"/>
          <w:color w:val="000000"/>
          <w:sz w:val="32"/>
          <w:szCs w:val="32"/>
        </w:rPr>
        <w:t>人民政府编制而成。全文包括概述，主动公开政府信息情况，依申请公开政府信息情况，政府信息公开收费及减免情况，政府信息公开行政复议、行政诉讼情况，工作中存在的主要问题和改进措施。本年度报告中所列数据的统计期限从201</w:t>
      </w:r>
      <w:r>
        <w:rPr>
          <w:rFonts w:hint="eastAsia" w:eastAsia="仿宋"/>
          <w:color w:val="000000"/>
          <w:sz w:val="32"/>
          <w:szCs w:val="32"/>
        </w:rPr>
        <w:t>6</w:t>
      </w:r>
      <w:r>
        <w:rPr>
          <w:rFonts w:eastAsia="仿宋"/>
          <w:color w:val="000000"/>
          <w:sz w:val="32"/>
          <w:szCs w:val="32"/>
        </w:rPr>
        <w:t>年1月1日起到201</w:t>
      </w:r>
      <w:r>
        <w:rPr>
          <w:rFonts w:hint="eastAsia" w:eastAsia="仿宋"/>
          <w:color w:val="000000"/>
          <w:sz w:val="32"/>
          <w:szCs w:val="32"/>
        </w:rPr>
        <w:t>6</w:t>
      </w:r>
      <w:r>
        <w:rPr>
          <w:rFonts w:eastAsia="仿宋"/>
          <w:color w:val="000000"/>
          <w:sz w:val="32"/>
          <w:szCs w:val="32"/>
        </w:rPr>
        <w:t>年12月31日止。</w:t>
      </w:r>
    </w:p>
    <w:p>
      <w:pPr>
        <w:widowControl/>
        <w:spacing w:line="540" w:lineRule="exact"/>
        <w:ind w:firstLine="640" w:firstLineChars="200"/>
        <w:rPr>
          <w:rFonts w:eastAsia="黑体"/>
          <w:sz w:val="32"/>
          <w:szCs w:val="32"/>
        </w:rPr>
      </w:pPr>
      <w:r>
        <w:rPr>
          <w:rFonts w:eastAsia="黑体"/>
          <w:sz w:val="32"/>
          <w:szCs w:val="32"/>
        </w:rPr>
        <w:t>一、概述</w:t>
      </w:r>
    </w:p>
    <w:p>
      <w:pPr>
        <w:widowControl/>
        <w:spacing w:line="540" w:lineRule="exact"/>
        <w:ind w:firstLine="640" w:firstLineChars="200"/>
        <w:rPr>
          <w:rFonts w:eastAsia="仿宋"/>
          <w:color w:val="000000"/>
          <w:sz w:val="32"/>
          <w:szCs w:val="32"/>
        </w:rPr>
      </w:pPr>
      <w:r>
        <w:rPr>
          <w:rFonts w:eastAsia="仿宋"/>
          <w:color w:val="000000"/>
          <w:sz w:val="32"/>
          <w:szCs w:val="32"/>
        </w:rPr>
        <w:t>我区认真贯彻执行《中华人民共和国政府信息公开条例》、《浙江省政府信息公开暂行办法》、《杭州市政府信息公开规定》等文件精神，</w:t>
      </w:r>
      <w:r>
        <w:rPr>
          <w:rFonts w:hint="eastAsia" w:eastAsia="仿宋"/>
          <w:color w:val="000000"/>
          <w:sz w:val="32"/>
          <w:szCs w:val="32"/>
        </w:rPr>
        <w:t>坚持以公开为常态，不公开为例外，进一步深化政务公开，着力提升依法行政的能力和水平，保障人民群众的知情权、参与权和监督权。</w:t>
      </w:r>
    </w:p>
    <w:p>
      <w:pPr>
        <w:widowControl/>
        <w:spacing w:line="540" w:lineRule="exact"/>
        <w:ind w:firstLine="640" w:firstLineChars="200"/>
        <w:rPr>
          <w:rFonts w:eastAsia="仿宋"/>
          <w:color w:val="000000"/>
          <w:sz w:val="32"/>
          <w:szCs w:val="32"/>
        </w:rPr>
      </w:pPr>
      <w:r>
        <w:rPr>
          <w:rFonts w:hint="eastAsia" w:hAnsi="仿宋" w:eastAsia="仿宋"/>
          <w:sz w:val="32"/>
          <w:szCs w:val="32"/>
        </w:rPr>
        <w:t>一是加大主动公开力度，丰富公开形式。积极推进重点领域信息公开，加强与</w:t>
      </w:r>
      <w:r>
        <w:rPr>
          <w:rFonts w:hAnsi="仿宋" w:eastAsia="仿宋"/>
          <w:sz w:val="32"/>
          <w:szCs w:val="32"/>
        </w:rPr>
        <w:t>“西湖发布”网络平台</w:t>
      </w:r>
      <w:r>
        <w:rPr>
          <w:rFonts w:hint="eastAsia" w:hAnsi="仿宋" w:eastAsia="仿宋"/>
          <w:sz w:val="32"/>
          <w:szCs w:val="32"/>
        </w:rPr>
        <w:t>联系</w:t>
      </w:r>
      <w:r>
        <w:rPr>
          <w:rFonts w:hAnsi="仿宋" w:eastAsia="仿宋"/>
          <w:sz w:val="32"/>
          <w:szCs w:val="32"/>
        </w:rPr>
        <w:t>，打造“西湖发布厅”政务微博微信集群矩阵。</w:t>
      </w:r>
      <w:r>
        <w:rPr>
          <w:rFonts w:hint="eastAsia" w:hAnsi="仿宋" w:eastAsia="仿宋"/>
          <w:sz w:val="32"/>
          <w:szCs w:val="32"/>
        </w:rPr>
        <w:t>二是加强队伍建设。2016</w:t>
      </w:r>
      <w:r>
        <w:rPr>
          <w:rFonts w:hAnsi="仿宋" w:eastAsia="仿宋"/>
          <w:sz w:val="32"/>
          <w:szCs w:val="32"/>
        </w:rPr>
        <w:t>年，</w:t>
      </w:r>
      <w:r>
        <w:rPr>
          <w:rFonts w:hint="eastAsia" w:hAnsi="仿宋" w:eastAsia="仿宋"/>
          <w:sz w:val="32"/>
          <w:szCs w:val="32"/>
        </w:rPr>
        <w:t>全区各部门共举办32次</w:t>
      </w:r>
      <w:r>
        <w:rPr>
          <w:rFonts w:hAnsi="仿宋" w:eastAsia="仿宋"/>
          <w:sz w:val="32"/>
          <w:szCs w:val="32"/>
        </w:rPr>
        <w:t>政府信息公开业务培训</w:t>
      </w:r>
      <w:r>
        <w:rPr>
          <w:rFonts w:hint="eastAsia" w:hAnsi="仿宋" w:eastAsia="仿宋"/>
          <w:sz w:val="32"/>
          <w:szCs w:val="32"/>
        </w:rPr>
        <w:t>，不断提高区属各单位政府信息公开办理人员的思想认识和业务水平。三是进一步完善</w:t>
      </w:r>
      <w:r>
        <w:rPr>
          <w:rFonts w:hAnsi="仿宋" w:eastAsia="仿宋"/>
          <w:sz w:val="32"/>
          <w:szCs w:val="32"/>
        </w:rPr>
        <w:t>会议</w:t>
      </w:r>
      <w:r>
        <w:rPr>
          <w:rFonts w:hint="eastAsia" w:hAnsi="仿宋" w:eastAsia="仿宋"/>
          <w:sz w:val="32"/>
          <w:szCs w:val="32"/>
        </w:rPr>
        <w:t>协调</w:t>
      </w:r>
      <w:r>
        <w:rPr>
          <w:rFonts w:hAnsi="仿宋" w:eastAsia="仿宋"/>
          <w:sz w:val="32"/>
          <w:szCs w:val="32"/>
        </w:rPr>
        <w:t>、</w:t>
      </w:r>
      <w:r>
        <w:rPr>
          <w:rFonts w:hint="eastAsia" w:hAnsi="仿宋" w:eastAsia="仿宋"/>
          <w:sz w:val="32"/>
          <w:szCs w:val="32"/>
        </w:rPr>
        <w:t>检查通报、</w:t>
      </w:r>
      <w:r>
        <w:rPr>
          <w:rFonts w:hAnsi="仿宋" w:eastAsia="仿宋"/>
          <w:sz w:val="32"/>
          <w:szCs w:val="32"/>
        </w:rPr>
        <w:t>督查</w:t>
      </w:r>
      <w:r>
        <w:rPr>
          <w:rFonts w:hint="eastAsia" w:hAnsi="仿宋" w:eastAsia="仿宋"/>
          <w:sz w:val="32"/>
          <w:szCs w:val="32"/>
        </w:rPr>
        <w:t>考核等工作</w:t>
      </w:r>
      <w:r>
        <w:rPr>
          <w:rFonts w:hAnsi="仿宋" w:eastAsia="仿宋"/>
          <w:sz w:val="32"/>
          <w:szCs w:val="32"/>
        </w:rPr>
        <w:t>机制</w:t>
      </w:r>
      <w:r>
        <w:rPr>
          <w:rFonts w:hint="eastAsia" w:hAnsi="仿宋" w:eastAsia="仿宋"/>
          <w:sz w:val="32"/>
          <w:szCs w:val="32"/>
        </w:rPr>
        <w:t>。不断提高信息公开工作制度化和规范化建设。四是全面推广</w:t>
      </w:r>
      <w:r>
        <w:rPr>
          <w:rFonts w:hAnsi="仿宋" w:eastAsia="仿宋"/>
          <w:sz w:val="32"/>
          <w:szCs w:val="32"/>
        </w:rPr>
        <w:t>政府信息公开综合业务管理系统</w:t>
      </w:r>
      <w:r>
        <w:rPr>
          <w:rFonts w:hint="eastAsia" w:hAnsi="仿宋" w:eastAsia="仿宋"/>
          <w:sz w:val="32"/>
          <w:szCs w:val="32"/>
        </w:rPr>
        <w:t>。在一期基础规划建设二期功能模块，受到省市好评。</w:t>
      </w:r>
    </w:p>
    <w:p>
      <w:pPr>
        <w:spacing w:line="540" w:lineRule="exact"/>
        <w:ind w:firstLine="600"/>
        <w:rPr>
          <w:rFonts w:eastAsia="黑体"/>
          <w:color w:val="000000"/>
          <w:sz w:val="32"/>
          <w:szCs w:val="32"/>
        </w:rPr>
      </w:pPr>
      <w:r>
        <w:rPr>
          <w:rFonts w:eastAsia="黑体"/>
          <w:b/>
          <w:sz w:val="32"/>
          <w:szCs w:val="32"/>
        </w:rPr>
        <w:t>二、</w:t>
      </w:r>
      <w:r>
        <w:rPr>
          <w:rFonts w:eastAsia="黑体"/>
          <w:color w:val="000000"/>
          <w:sz w:val="32"/>
          <w:szCs w:val="32"/>
        </w:rPr>
        <w:t>主动公开政府信息情况</w:t>
      </w:r>
    </w:p>
    <w:p>
      <w:pPr>
        <w:spacing w:line="540" w:lineRule="exact"/>
        <w:ind w:firstLine="472" w:firstLineChars="147"/>
        <w:rPr>
          <w:rFonts w:eastAsia="楷体"/>
          <w:b/>
          <w:color w:val="000000"/>
          <w:sz w:val="32"/>
          <w:szCs w:val="32"/>
        </w:rPr>
      </w:pPr>
      <w:r>
        <w:rPr>
          <w:rFonts w:eastAsia="楷体"/>
          <w:b/>
          <w:color w:val="000000"/>
          <w:sz w:val="32"/>
          <w:szCs w:val="32"/>
        </w:rPr>
        <w:t>（一）</w:t>
      </w:r>
      <w:r>
        <w:rPr>
          <w:rFonts w:hint="eastAsia" w:eastAsia="楷体"/>
          <w:b/>
          <w:color w:val="000000"/>
          <w:sz w:val="32"/>
          <w:szCs w:val="32"/>
        </w:rPr>
        <w:t>基本情况</w:t>
      </w:r>
    </w:p>
    <w:p>
      <w:pPr>
        <w:spacing w:line="540" w:lineRule="exact"/>
        <w:ind w:firstLine="640" w:firstLineChars="200"/>
        <w:outlineLvl w:val="0"/>
        <w:rPr>
          <w:rFonts w:eastAsia="仿宋_GB2312"/>
          <w:color w:val="000000"/>
          <w:sz w:val="32"/>
          <w:szCs w:val="32"/>
        </w:rPr>
      </w:pPr>
      <w:bookmarkStart w:id="0" w:name="OLE_LINK3"/>
      <w:bookmarkStart w:id="1" w:name="OLE_LINK4"/>
      <w:r>
        <w:rPr>
          <w:rFonts w:eastAsia="仿宋"/>
          <w:sz w:val="32"/>
          <w:szCs w:val="32"/>
        </w:rPr>
        <w:t>全区共主动公开各类政府信息</w:t>
      </w:r>
      <w:r>
        <w:rPr>
          <w:rFonts w:hint="eastAsia" w:eastAsia="仿宋_GB2312"/>
          <w:sz w:val="32"/>
          <w:szCs w:val="32"/>
        </w:rPr>
        <w:t>18277</w:t>
      </w:r>
      <w:r>
        <w:rPr>
          <w:rFonts w:eastAsia="仿宋_GB2312"/>
          <w:sz w:val="32"/>
          <w:szCs w:val="32"/>
        </w:rPr>
        <w:t>条，其中文件类信息</w:t>
      </w:r>
      <w:r>
        <w:rPr>
          <w:rFonts w:hint="eastAsia" w:eastAsia="仿宋_GB2312"/>
          <w:sz w:val="32"/>
          <w:szCs w:val="32"/>
        </w:rPr>
        <w:t>1019</w:t>
      </w:r>
      <w:r>
        <w:rPr>
          <w:rFonts w:eastAsia="仿宋_GB2312"/>
          <w:sz w:val="32"/>
          <w:szCs w:val="32"/>
        </w:rPr>
        <w:t>条</w:t>
      </w:r>
      <w:r>
        <w:rPr>
          <w:rFonts w:eastAsia="仿宋"/>
          <w:sz w:val="32"/>
          <w:szCs w:val="32"/>
        </w:rPr>
        <w:t>。</w:t>
      </w:r>
      <w:r>
        <w:rPr>
          <w:rFonts w:eastAsia="仿宋"/>
          <w:color w:val="000000"/>
          <w:sz w:val="32"/>
          <w:szCs w:val="32"/>
        </w:rPr>
        <w:t>在区政府信息公开专栏、区行政服务中心网站及各相关部门政府信息公开网站等平台公开。</w:t>
      </w:r>
    </w:p>
    <w:bookmarkEnd w:id="0"/>
    <w:bookmarkEnd w:id="1"/>
    <w:p>
      <w:pPr>
        <w:spacing w:line="540" w:lineRule="exact"/>
        <w:ind w:firstLine="472" w:firstLineChars="147"/>
        <w:rPr>
          <w:rFonts w:eastAsia="楷体"/>
          <w:b/>
          <w:sz w:val="32"/>
          <w:szCs w:val="32"/>
        </w:rPr>
      </w:pPr>
      <w:r>
        <w:rPr>
          <w:rFonts w:eastAsia="楷体"/>
          <w:b/>
          <w:sz w:val="32"/>
          <w:szCs w:val="32"/>
        </w:rPr>
        <w:t>（二）重点领域信息公开</w:t>
      </w:r>
      <w:r>
        <w:rPr>
          <w:rFonts w:hint="eastAsia" w:eastAsia="楷体"/>
          <w:b/>
          <w:sz w:val="32"/>
          <w:szCs w:val="32"/>
        </w:rPr>
        <w:t>情况</w:t>
      </w:r>
    </w:p>
    <w:p>
      <w:pPr>
        <w:spacing w:line="540" w:lineRule="exact"/>
        <w:ind w:firstLine="630" w:firstLineChars="196"/>
        <w:rPr>
          <w:rFonts w:eastAsia="楷体_GB2312"/>
          <w:b/>
          <w:color w:val="000000"/>
          <w:sz w:val="32"/>
          <w:szCs w:val="32"/>
        </w:rPr>
      </w:pPr>
      <w:r>
        <w:rPr>
          <w:rFonts w:eastAsia="楷体_GB2312"/>
          <w:b/>
          <w:color w:val="000000"/>
          <w:sz w:val="32"/>
          <w:szCs w:val="32"/>
        </w:rPr>
        <w:t>1、</w:t>
      </w:r>
      <w:r>
        <w:rPr>
          <w:rFonts w:eastAsia="仿宋_GB2312"/>
          <w:b/>
          <w:color w:val="000000"/>
          <w:sz w:val="32"/>
          <w:szCs w:val="32"/>
        </w:rPr>
        <w:t>推进行政权力清单动态调整公开</w:t>
      </w:r>
    </w:p>
    <w:p>
      <w:pPr>
        <w:spacing w:line="540" w:lineRule="exact"/>
        <w:ind w:firstLine="640" w:firstLineChars="200"/>
        <w:outlineLvl w:val="0"/>
        <w:rPr>
          <w:rFonts w:eastAsia="仿宋"/>
          <w:sz w:val="32"/>
          <w:szCs w:val="32"/>
        </w:rPr>
      </w:pPr>
      <w:r>
        <w:rPr>
          <w:rFonts w:hint="eastAsia" w:eastAsia="仿宋"/>
          <w:sz w:val="32"/>
          <w:szCs w:val="32"/>
        </w:rPr>
        <w:t>一是按要求在浙江省政务服务网、西湖区政府门户网站全面公开我区部门权力清单、责任清单。根据省市县三级目录，完成权力清单目录增补、调整和比对规范工作，</w:t>
      </w:r>
      <w:r>
        <w:rPr>
          <w:rFonts w:eastAsia="仿宋"/>
          <w:sz w:val="32"/>
          <w:szCs w:val="32"/>
        </w:rPr>
        <w:t>23</w:t>
      </w:r>
      <w:r>
        <w:rPr>
          <w:rFonts w:hint="eastAsia" w:eastAsia="仿宋"/>
          <w:sz w:val="32"/>
          <w:szCs w:val="32"/>
        </w:rPr>
        <w:t>个部门入库权力事项调整为</w:t>
      </w:r>
      <w:r>
        <w:rPr>
          <w:rFonts w:eastAsia="仿宋"/>
          <w:sz w:val="32"/>
          <w:szCs w:val="32"/>
        </w:rPr>
        <w:t>2714</w:t>
      </w:r>
      <w:r>
        <w:rPr>
          <w:rFonts w:hint="eastAsia" w:eastAsia="仿宋"/>
          <w:sz w:val="32"/>
          <w:szCs w:val="32"/>
        </w:rPr>
        <w:t>项（含子项）。二是开展了非行政许可审批事项清理工作。我区原保留的</w:t>
      </w:r>
      <w:r>
        <w:rPr>
          <w:rFonts w:eastAsia="仿宋"/>
          <w:sz w:val="32"/>
          <w:szCs w:val="32"/>
        </w:rPr>
        <w:t>6</w:t>
      </w:r>
      <w:r>
        <w:rPr>
          <w:rFonts w:hint="eastAsia" w:eastAsia="仿宋"/>
          <w:sz w:val="32"/>
          <w:szCs w:val="32"/>
        </w:rPr>
        <w:t>项非行政许可事项全面清理完成。三是按要求动态调整责任清单。把</w:t>
      </w:r>
      <w:r>
        <w:rPr>
          <w:rFonts w:eastAsia="仿宋"/>
          <w:sz w:val="32"/>
          <w:szCs w:val="32"/>
        </w:rPr>
        <w:t>23</w:t>
      </w:r>
      <w:r>
        <w:rPr>
          <w:rFonts w:hint="eastAsia" w:eastAsia="仿宋"/>
          <w:sz w:val="32"/>
          <w:szCs w:val="32"/>
        </w:rPr>
        <w:t>个部门</w:t>
      </w:r>
      <w:r>
        <w:rPr>
          <w:rFonts w:eastAsia="仿宋"/>
          <w:sz w:val="32"/>
          <w:szCs w:val="32"/>
        </w:rPr>
        <w:t>2016</w:t>
      </w:r>
      <w:r>
        <w:rPr>
          <w:rFonts w:hint="eastAsia" w:eastAsia="仿宋"/>
          <w:sz w:val="32"/>
          <w:szCs w:val="32"/>
        </w:rPr>
        <w:t>年重点工作纳入责任清单，共审核确认部门主要职责</w:t>
      </w:r>
      <w:r>
        <w:rPr>
          <w:rFonts w:eastAsia="仿宋"/>
          <w:sz w:val="32"/>
          <w:szCs w:val="32"/>
        </w:rPr>
        <w:t>337</w:t>
      </w:r>
      <w:r>
        <w:rPr>
          <w:rFonts w:hint="eastAsia" w:eastAsia="仿宋"/>
          <w:sz w:val="32"/>
          <w:szCs w:val="32"/>
        </w:rPr>
        <w:t>条（具体工作事项</w:t>
      </w:r>
      <w:r>
        <w:rPr>
          <w:rFonts w:eastAsia="仿宋"/>
          <w:sz w:val="32"/>
          <w:szCs w:val="32"/>
        </w:rPr>
        <w:t>1271</w:t>
      </w:r>
      <w:r>
        <w:rPr>
          <w:rFonts w:hint="eastAsia" w:eastAsia="仿宋"/>
          <w:sz w:val="32"/>
          <w:szCs w:val="32"/>
        </w:rPr>
        <w:t>项），职责边界事项</w:t>
      </w:r>
      <w:r>
        <w:rPr>
          <w:rFonts w:eastAsia="仿宋"/>
          <w:sz w:val="32"/>
          <w:szCs w:val="32"/>
        </w:rPr>
        <w:t>11</w:t>
      </w:r>
      <w:r>
        <w:rPr>
          <w:rFonts w:hint="eastAsia" w:eastAsia="仿宋"/>
          <w:sz w:val="32"/>
          <w:szCs w:val="32"/>
        </w:rPr>
        <w:t>项，建立事中事后监管制度</w:t>
      </w:r>
      <w:r>
        <w:rPr>
          <w:rFonts w:eastAsia="仿宋"/>
          <w:sz w:val="32"/>
          <w:szCs w:val="32"/>
        </w:rPr>
        <w:t>197</w:t>
      </w:r>
      <w:r>
        <w:rPr>
          <w:rFonts w:hint="eastAsia" w:eastAsia="仿宋"/>
          <w:sz w:val="32"/>
          <w:szCs w:val="32"/>
        </w:rPr>
        <w:t>项，公共服务事项</w:t>
      </w:r>
      <w:r>
        <w:rPr>
          <w:rFonts w:eastAsia="仿宋"/>
          <w:sz w:val="32"/>
          <w:szCs w:val="32"/>
        </w:rPr>
        <w:t>105</w:t>
      </w:r>
      <w:r>
        <w:rPr>
          <w:rFonts w:hint="eastAsia" w:eastAsia="仿宋"/>
          <w:sz w:val="32"/>
          <w:szCs w:val="32"/>
        </w:rPr>
        <w:t>项。四是开展了权力清单和责任清单向镇街延伸工作。共梳理</w:t>
      </w:r>
      <w:r>
        <w:rPr>
          <w:rFonts w:eastAsia="仿宋"/>
          <w:sz w:val="32"/>
          <w:szCs w:val="32"/>
        </w:rPr>
        <w:t>11</w:t>
      </w:r>
      <w:r>
        <w:rPr>
          <w:rFonts w:hint="eastAsia" w:eastAsia="仿宋"/>
          <w:sz w:val="32"/>
          <w:szCs w:val="32"/>
        </w:rPr>
        <w:t>个镇街权力清单</w:t>
      </w:r>
      <w:r>
        <w:rPr>
          <w:rFonts w:eastAsia="仿宋"/>
          <w:sz w:val="32"/>
          <w:szCs w:val="32"/>
        </w:rPr>
        <w:t>540</w:t>
      </w:r>
      <w:r>
        <w:rPr>
          <w:rFonts w:hint="eastAsia" w:eastAsia="仿宋"/>
          <w:sz w:val="32"/>
          <w:szCs w:val="32"/>
        </w:rPr>
        <w:t>条，责任清单</w:t>
      </w:r>
      <w:r>
        <w:rPr>
          <w:rFonts w:eastAsia="仿宋"/>
          <w:sz w:val="32"/>
          <w:szCs w:val="32"/>
        </w:rPr>
        <w:t>122</w:t>
      </w:r>
      <w:r>
        <w:rPr>
          <w:rFonts w:hint="eastAsia" w:eastAsia="仿宋"/>
          <w:sz w:val="32"/>
          <w:szCs w:val="32"/>
        </w:rPr>
        <w:t>条（具体工作事项</w:t>
      </w:r>
      <w:r>
        <w:rPr>
          <w:rFonts w:eastAsia="仿宋"/>
          <w:sz w:val="32"/>
          <w:szCs w:val="32"/>
        </w:rPr>
        <w:t>866</w:t>
      </w:r>
      <w:r>
        <w:rPr>
          <w:rFonts w:hint="eastAsia" w:eastAsia="仿宋"/>
          <w:sz w:val="32"/>
          <w:szCs w:val="32"/>
        </w:rPr>
        <w:t>项），职责边界事项</w:t>
      </w:r>
      <w:r>
        <w:rPr>
          <w:rFonts w:eastAsia="仿宋"/>
          <w:sz w:val="32"/>
          <w:szCs w:val="32"/>
        </w:rPr>
        <w:t>7</w:t>
      </w:r>
      <w:r>
        <w:rPr>
          <w:rFonts w:hint="eastAsia" w:eastAsia="仿宋"/>
          <w:sz w:val="32"/>
          <w:szCs w:val="32"/>
        </w:rPr>
        <w:t>项，建立事中事后监管制度</w:t>
      </w:r>
      <w:r>
        <w:rPr>
          <w:rFonts w:eastAsia="仿宋"/>
          <w:sz w:val="32"/>
          <w:szCs w:val="32"/>
        </w:rPr>
        <w:t>5</w:t>
      </w:r>
      <w:r>
        <w:rPr>
          <w:rFonts w:hint="eastAsia" w:eastAsia="仿宋"/>
          <w:sz w:val="32"/>
          <w:szCs w:val="32"/>
        </w:rPr>
        <w:t>项，公共服务事项</w:t>
      </w:r>
      <w:r>
        <w:rPr>
          <w:rFonts w:eastAsia="仿宋"/>
          <w:sz w:val="32"/>
          <w:szCs w:val="32"/>
        </w:rPr>
        <w:t>583</w:t>
      </w:r>
      <w:r>
        <w:rPr>
          <w:rFonts w:hint="eastAsia" w:eastAsia="仿宋"/>
          <w:sz w:val="32"/>
          <w:szCs w:val="32"/>
        </w:rPr>
        <w:t>项，均在浙江省行政服务网上向社会公布。</w:t>
      </w:r>
    </w:p>
    <w:p>
      <w:pPr>
        <w:numPr>
          <w:ilvl w:val="0"/>
          <w:numId w:val="1"/>
        </w:numPr>
        <w:spacing w:line="540" w:lineRule="exact"/>
        <w:ind w:firstLine="643" w:firstLineChars="200"/>
        <w:outlineLvl w:val="0"/>
        <w:rPr>
          <w:rFonts w:eastAsia="仿宋_GB2312"/>
          <w:b/>
          <w:bCs/>
          <w:sz w:val="32"/>
          <w:szCs w:val="32"/>
        </w:rPr>
      </w:pPr>
      <w:r>
        <w:rPr>
          <w:rFonts w:eastAsia="仿宋_GB2312"/>
          <w:b/>
          <w:bCs/>
          <w:sz w:val="32"/>
          <w:szCs w:val="32"/>
        </w:rPr>
        <w:t>推进行政处罚信息公开</w:t>
      </w:r>
    </w:p>
    <w:p>
      <w:pPr>
        <w:spacing w:line="540" w:lineRule="exact"/>
        <w:ind w:firstLine="640" w:firstLineChars="200"/>
        <w:outlineLvl w:val="0"/>
        <w:rPr>
          <w:rFonts w:eastAsia="仿宋"/>
          <w:sz w:val="32"/>
          <w:szCs w:val="32"/>
        </w:rPr>
      </w:pPr>
      <w:r>
        <w:rPr>
          <w:rFonts w:hint="eastAsia" w:eastAsia="仿宋"/>
          <w:sz w:val="32"/>
          <w:szCs w:val="32"/>
        </w:rPr>
        <w:t>按照《浙江省行政处罚结果信息网上公开暂行办法》（浙江省人民政府令第</w:t>
      </w:r>
      <w:r>
        <w:rPr>
          <w:rFonts w:eastAsia="仿宋"/>
          <w:sz w:val="32"/>
          <w:szCs w:val="32"/>
        </w:rPr>
        <w:t>332</w:t>
      </w:r>
      <w:r>
        <w:rPr>
          <w:rFonts w:hint="eastAsia" w:eastAsia="仿宋"/>
          <w:sz w:val="32"/>
          <w:szCs w:val="32"/>
        </w:rPr>
        <w:t>号）规定和《浙江省人民政府办公厅关于做好行政处罚结果信息网上公开有关事项的通知》（浙政办发明电〔</w:t>
      </w:r>
      <w:r>
        <w:rPr>
          <w:rFonts w:eastAsia="仿宋"/>
          <w:sz w:val="32"/>
          <w:szCs w:val="32"/>
        </w:rPr>
        <w:t>2015</w:t>
      </w:r>
      <w:r>
        <w:rPr>
          <w:rFonts w:hint="eastAsia" w:eastAsia="仿宋"/>
          <w:sz w:val="32"/>
          <w:szCs w:val="32"/>
        </w:rPr>
        <w:t>〕</w:t>
      </w:r>
      <w:r>
        <w:rPr>
          <w:rFonts w:eastAsia="仿宋"/>
          <w:sz w:val="32"/>
          <w:szCs w:val="32"/>
        </w:rPr>
        <w:t>35</w:t>
      </w:r>
      <w:r>
        <w:rPr>
          <w:rFonts w:hint="eastAsia" w:eastAsia="仿宋"/>
          <w:sz w:val="32"/>
          <w:szCs w:val="32"/>
        </w:rPr>
        <w:t>号）要求，及时公开和更新行政处罚结果信息，</w:t>
      </w:r>
      <w:r>
        <w:rPr>
          <w:rFonts w:eastAsia="仿宋"/>
          <w:sz w:val="32"/>
          <w:szCs w:val="32"/>
        </w:rPr>
        <w:t>2016</w:t>
      </w:r>
      <w:r>
        <w:rPr>
          <w:rFonts w:hint="eastAsia" w:eastAsia="仿宋"/>
          <w:sz w:val="32"/>
          <w:szCs w:val="32"/>
        </w:rPr>
        <w:t>年度共计公开</w:t>
      </w:r>
      <w:r>
        <w:rPr>
          <w:rFonts w:eastAsia="仿宋"/>
          <w:sz w:val="32"/>
          <w:szCs w:val="32"/>
        </w:rPr>
        <w:t>10919</w:t>
      </w:r>
      <w:r>
        <w:rPr>
          <w:rFonts w:hint="eastAsia" w:eastAsia="仿宋"/>
          <w:sz w:val="32"/>
          <w:szCs w:val="32"/>
        </w:rPr>
        <w:t>条。</w:t>
      </w:r>
    </w:p>
    <w:p>
      <w:pPr>
        <w:spacing w:line="540" w:lineRule="exact"/>
        <w:ind w:firstLine="472" w:firstLineChars="147"/>
        <w:rPr>
          <w:rFonts w:eastAsia="楷体"/>
          <w:b/>
          <w:color w:val="000000"/>
          <w:sz w:val="32"/>
          <w:szCs w:val="32"/>
        </w:rPr>
      </w:pPr>
      <w:r>
        <w:rPr>
          <w:rFonts w:eastAsia="楷体"/>
          <w:b/>
          <w:color w:val="000000"/>
          <w:sz w:val="32"/>
          <w:szCs w:val="32"/>
        </w:rPr>
        <w:t xml:space="preserve"> 3</w:t>
      </w:r>
      <w:r>
        <w:rPr>
          <w:rFonts w:eastAsia="仿宋_GB2312"/>
          <w:b/>
          <w:bCs/>
          <w:sz w:val="32"/>
          <w:szCs w:val="32"/>
        </w:rPr>
        <w:t>、</w:t>
      </w:r>
      <w:r>
        <w:rPr>
          <w:rFonts w:eastAsia="楷体"/>
          <w:b/>
          <w:color w:val="000000"/>
          <w:sz w:val="32"/>
          <w:szCs w:val="32"/>
        </w:rPr>
        <w:t>推进财政资金信息公开</w:t>
      </w:r>
    </w:p>
    <w:p>
      <w:pPr>
        <w:spacing w:line="540" w:lineRule="exact"/>
        <w:ind w:firstLine="640" w:firstLineChars="200"/>
        <w:outlineLvl w:val="0"/>
        <w:rPr>
          <w:rFonts w:eastAsia="仿宋"/>
          <w:sz w:val="32"/>
          <w:szCs w:val="32"/>
        </w:rPr>
      </w:pPr>
      <w:r>
        <w:rPr>
          <w:rFonts w:hint="eastAsia" w:eastAsia="仿宋"/>
          <w:sz w:val="32"/>
          <w:szCs w:val="32"/>
        </w:rPr>
        <w:t>全区48家预算单位均向社会及时公开财政预算、预算调整、决算、预算执行情况的报告及报表。及时公开“三公”经费总项、各分项及增减变化原因，以及公开细化说明部门“三公”经费决算因公出国（境）团组数及人数、国内公务接待的批次、人数等信息。按照《政府采购法》及实施条例的要求，由采购代理机构及时完整公开政府采购项目信息、采购文件、中标和成交结果，采购监管部门公示投诉处理结果。积极推进审计信息公开，2016年共主动公开审计信息117条，发布审计结果公告5条，推动 4个被审计单位进行了审计整改公告。</w:t>
      </w:r>
    </w:p>
    <w:p>
      <w:pPr>
        <w:spacing w:line="540" w:lineRule="exact"/>
        <w:ind w:firstLine="630" w:firstLineChars="196"/>
        <w:rPr>
          <w:rFonts w:eastAsia="楷体"/>
          <w:b/>
          <w:color w:val="000000"/>
          <w:sz w:val="32"/>
          <w:szCs w:val="32"/>
        </w:rPr>
      </w:pPr>
      <w:r>
        <w:rPr>
          <w:rFonts w:eastAsia="楷体"/>
          <w:b/>
          <w:color w:val="000000"/>
          <w:sz w:val="32"/>
          <w:szCs w:val="32"/>
        </w:rPr>
        <w:t>4、推进公共资源配置信息公开</w:t>
      </w:r>
    </w:p>
    <w:p>
      <w:pPr>
        <w:spacing w:line="540" w:lineRule="exact"/>
        <w:ind w:firstLine="630" w:firstLineChars="196"/>
        <w:rPr>
          <w:rFonts w:eastAsia="仿宋_GB2312"/>
          <w:b/>
          <w:color w:val="000000"/>
          <w:sz w:val="32"/>
          <w:szCs w:val="32"/>
        </w:rPr>
      </w:pPr>
      <w:r>
        <w:rPr>
          <w:rFonts w:eastAsia="仿宋_GB2312"/>
          <w:b/>
          <w:color w:val="000000"/>
          <w:sz w:val="32"/>
          <w:szCs w:val="32"/>
        </w:rPr>
        <w:t>（1）促进城镇保障性安居工程信息公开</w:t>
      </w:r>
    </w:p>
    <w:p>
      <w:pPr>
        <w:spacing w:line="540" w:lineRule="exact"/>
        <w:ind w:firstLine="640" w:firstLineChars="200"/>
        <w:outlineLvl w:val="0"/>
        <w:rPr>
          <w:rFonts w:eastAsia="仿宋"/>
          <w:sz w:val="32"/>
          <w:szCs w:val="32"/>
        </w:rPr>
      </w:pPr>
      <w:r>
        <w:rPr>
          <w:rFonts w:hint="eastAsia" w:eastAsia="仿宋"/>
          <w:sz w:val="32"/>
          <w:szCs w:val="32"/>
        </w:rPr>
        <w:t>在</w:t>
      </w:r>
      <w:r>
        <w:rPr>
          <w:rFonts w:eastAsia="仿宋"/>
          <w:sz w:val="32"/>
          <w:szCs w:val="32"/>
        </w:rPr>
        <w:t>“</w:t>
      </w:r>
      <w:r>
        <w:rPr>
          <w:rFonts w:hint="eastAsia" w:eastAsia="仿宋"/>
          <w:sz w:val="32"/>
          <w:szCs w:val="32"/>
        </w:rPr>
        <w:t>蒋村花园</w:t>
      </w:r>
      <w:r>
        <w:rPr>
          <w:rFonts w:eastAsia="仿宋"/>
          <w:sz w:val="32"/>
          <w:szCs w:val="32"/>
        </w:rPr>
        <w:t>D-13</w:t>
      </w:r>
      <w:r>
        <w:rPr>
          <w:rFonts w:hint="eastAsia" w:eastAsia="仿宋"/>
          <w:sz w:val="32"/>
          <w:szCs w:val="32"/>
        </w:rPr>
        <w:t>地块农转非拆迁安置房、蒋村</w:t>
      </w:r>
      <w:r>
        <w:rPr>
          <w:rFonts w:eastAsia="仿宋"/>
          <w:sz w:val="32"/>
          <w:szCs w:val="32"/>
        </w:rPr>
        <w:t>D-08</w:t>
      </w:r>
      <w:r>
        <w:rPr>
          <w:rFonts w:hint="eastAsia" w:eastAsia="仿宋"/>
          <w:sz w:val="32"/>
          <w:szCs w:val="32"/>
        </w:rPr>
        <w:t>地块农转居公寓、塘北区块</w:t>
      </w:r>
      <w:r>
        <w:rPr>
          <w:rFonts w:eastAsia="仿宋"/>
          <w:sz w:val="32"/>
          <w:szCs w:val="32"/>
        </w:rPr>
        <w:t>C-16-R21</w:t>
      </w:r>
      <w:r>
        <w:rPr>
          <w:rFonts w:hint="eastAsia" w:eastAsia="仿宋"/>
          <w:sz w:val="32"/>
          <w:szCs w:val="32"/>
        </w:rPr>
        <w:t>地块项目、庆丰三期</w:t>
      </w:r>
      <w:r>
        <w:rPr>
          <w:rFonts w:eastAsia="仿宋"/>
          <w:sz w:val="32"/>
          <w:szCs w:val="32"/>
        </w:rPr>
        <w:t>2</w:t>
      </w:r>
      <w:r>
        <w:rPr>
          <w:rFonts w:hint="eastAsia" w:eastAsia="仿宋"/>
          <w:sz w:val="32"/>
          <w:szCs w:val="32"/>
        </w:rPr>
        <w:t>号楼、双桥区块</w:t>
      </w:r>
      <w:r>
        <w:rPr>
          <w:rFonts w:eastAsia="仿宋"/>
          <w:sz w:val="32"/>
          <w:szCs w:val="32"/>
        </w:rPr>
        <w:t>R1-17</w:t>
      </w:r>
      <w:r>
        <w:rPr>
          <w:rFonts w:hint="eastAsia" w:eastAsia="仿宋"/>
          <w:sz w:val="32"/>
          <w:szCs w:val="32"/>
        </w:rPr>
        <w:t>、</w:t>
      </w:r>
      <w:r>
        <w:rPr>
          <w:rFonts w:eastAsia="仿宋"/>
          <w:sz w:val="32"/>
          <w:szCs w:val="32"/>
        </w:rPr>
        <w:t>R1-18</w:t>
      </w:r>
      <w:r>
        <w:rPr>
          <w:rFonts w:hint="eastAsia" w:eastAsia="仿宋"/>
          <w:sz w:val="32"/>
          <w:szCs w:val="32"/>
        </w:rPr>
        <w:t>地块塘河村项目</w:t>
      </w:r>
      <w:r>
        <w:rPr>
          <w:rFonts w:eastAsia="仿宋"/>
          <w:sz w:val="32"/>
          <w:szCs w:val="32"/>
        </w:rPr>
        <w:t>”</w:t>
      </w:r>
      <w:r>
        <w:rPr>
          <w:rFonts w:hint="eastAsia" w:eastAsia="仿宋"/>
          <w:sz w:val="32"/>
          <w:szCs w:val="32"/>
        </w:rPr>
        <w:t>等安置房项目现场，均主动公开各项目工程概况，施工公告牌、质量监督举报电话牌、工程项目负责人牌、安全生产制度牌、消防保卫制度牌、环境保护制度牌、工程创优牌、文明施工牌及施工总平面布置图等七牌一证，及时将工程规划、施工等情况予以公示。</w:t>
      </w:r>
    </w:p>
    <w:p>
      <w:pPr>
        <w:numPr>
          <w:ilvl w:val="0"/>
          <w:numId w:val="2"/>
        </w:numPr>
        <w:spacing w:line="540" w:lineRule="exact"/>
        <w:ind w:firstLine="630" w:firstLineChars="196"/>
        <w:rPr>
          <w:rFonts w:eastAsia="仿宋_GB2312"/>
          <w:b/>
          <w:color w:val="000000"/>
          <w:sz w:val="32"/>
          <w:szCs w:val="32"/>
        </w:rPr>
      </w:pPr>
      <w:r>
        <w:rPr>
          <w:rFonts w:eastAsia="仿宋_GB2312"/>
          <w:b/>
          <w:color w:val="000000"/>
          <w:sz w:val="32"/>
          <w:szCs w:val="32"/>
        </w:rPr>
        <w:t>促进土地征收信息公开</w:t>
      </w:r>
    </w:p>
    <w:p>
      <w:pPr>
        <w:spacing w:line="540" w:lineRule="exact"/>
        <w:ind w:firstLine="640" w:firstLineChars="200"/>
        <w:outlineLvl w:val="0"/>
        <w:rPr>
          <w:rFonts w:eastAsia="仿宋"/>
          <w:sz w:val="32"/>
          <w:szCs w:val="32"/>
        </w:rPr>
      </w:pPr>
      <w:r>
        <w:rPr>
          <w:rFonts w:hint="eastAsia" w:eastAsia="仿宋"/>
          <w:sz w:val="32"/>
          <w:szCs w:val="32"/>
        </w:rPr>
        <w:t>公开征地拆冻结通告项目18个，征收土地公告和征地补偿安置方案公告网上信息公开项目16个，完成1个项目的征地房屋补偿实施方案的听证权利告知工作，完成8个项目的征地房屋补偿实施方案公告。</w:t>
      </w:r>
    </w:p>
    <w:p>
      <w:pPr>
        <w:widowControl/>
        <w:spacing w:line="540" w:lineRule="exact"/>
        <w:ind w:firstLine="565" w:firstLineChars="176"/>
        <w:jc w:val="left"/>
        <w:rPr>
          <w:rFonts w:eastAsia="仿宋_GB2312"/>
          <w:b/>
          <w:color w:val="000000"/>
          <w:sz w:val="32"/>
          <w:szCs w:val="32"/>
        </w:rPr>
      </w:pPr>
      <w:r>
        <w:rPr>
          <w:rFonts w:eastAsia="仿宋_GB2312"/>
          <w:b/>
          <w:color w:val="000000"/>
          <w:sz w:val="32"/>
          <w:szCs w:val="32"/>
        </w:rPr>
        <w:t>（3）促进房屋征收和补偿信息公开</w:t>
      </w:r>
    </w:p>
    <w:p>
      <w:pPr>
        <w:spacing w:line="540" w:lineRule="exact"/>
        <w:ind w:firstLine="640" w:firstLineChars="200"/>
        <w:outlineLvl w:val="0"/>
        <w:rPr>
          <w:rFonts w:eastAsia="仿宋"/>
          <w:sz w:val="32"/>
          <w:szCs w:val="32"/>
        </w:rPr>
      </w:pPr>
      <w:r>
        <w:rPr>
          <w:rFonts w:hint="eastAsia" w:eastAsia="仿宋"/>
          <w:sz w:val="32"/>
          <w:szCs w:val="32"/>
        </w:rPr>
        <w:t>按照要求开展阳光征收。完善阳关征收各项举措，以公开政策依据、公开操作程序、公开评估结果、公开签约情况、公开补偿结果等具体措施确保各个项目在公开、公平、公正的环境下顺利推进。有效利用阳光征收信息系统，将国有土地上房屋收购项目逐步纳入信息系统，统一管理。</w:t>
      </w:r>
    </w:p>
    <w:p>
      <w:pPr>
        <w:numPr>
          <w:ilvl w:val="0"/>
          <w:numId w:val="3"/>
        </w:numPr>
        <w:spacing w:line="540" w:lineRule="exact"/>
        <w:ind w:firstLine="630" w:firstLineChars="196"/>
        <w:rPr>
          <w:rFonts w:eastAsia="仿宋_GB2312"/>
          <w:b/>
          <w:bCs/>
          <w:color w:val="000000"/>
          <w:sz w:val="32"/>
          <w:szCs w:val="32"/>
        </w:rPr>
      </w:pPr>
      <w:r>
        <w:rPr>
          <w:rFonts w:eastAsia="仿宋_GB2312"/>
          <w:b/>
          <w:color w:val="000000"/>
          <w:sz w:val="32"/>
          <w:szCs w:val="32"/>
        </w:rPr>
        <w:t>推进重大建设项目信息公开</w:t>
      </w:r>
    </w:p>
    <w:p>
      <w:pPr>
        <w:spacing w:line="540" w:lineRule="exact"/>
        <w:ind w:firstLine="640" w:firstLineChars="200"/>
        <w:outlineLvl w:val="0"/>
        <w:rPr>
          <w:rFonts w:eastAsia="仿宋"/>
          <w:sz w:val="32"/>
          <w:szCs w:val="32"/>
        </w:rPr>
      </w:pPr>
      <w:r>
        <w:rPr>
          <w:rFonts w:eastAsia="仿宋"/>
          <w:sz w:val="32"/>
          <w:szCs w:val="32"/>
        </w:rPr>
        <w:t>一是</w:t>
      </w:r>
      <w:r>
        <w:rPr>
          <w:rFonts w:hint="eastAsia" w:eastAsia="仿宋"/>
          <w:sz w:val="32"/>
          <w:szCs w:val="32"/>
        </w:rPr>
        <w:t>及时做好相关政府投资项目的审批、备案工作。二是规范招投标场所建设，加强开评标现场管理，全年公共资源交易1377批次，累计预算金额48.01亿元，实际交易金额44.02亿元。三是公开监督工程项目涉及主体结构安全和主要使用功能的工程质量问题及整改情况。建筑工程施工许可证信息可在浙江省建筑市场监管与诚信信息发布平台查询。对于所有公开招投标的项目，相关招投标信息均可在杭州市公共资源交易网上查询。四是涉及城市基础设施类的重大项目均按要求进入区招标办统一进行公开招标，相关信息统一发布。</w:t>
      </w:r>
    </w:p>
    <w:p>
      <w:pPr>
        <w:numPr>
          <w:ilvl w:val="0"/>
          <w:numId w:val="3"/>
        </w:numPr>
        <w:spacing w:line="540" w:lineRule="exact"/>
        <w:ind w:firstLine="630" w:firstLineChars="196"/>
        <w:rPr>
          <w:rFonts w:eastAsia="仿宋_GB2312"/>
          <w:b/>
          <w:bCs/>
          <w:color w:val="000000"/>
          <w:sz w:val="32"/>
          <w:szCs w:val="32"/>
        </w:rPr>
      </w:pPr>
      <w:r>
        <w:rPr>
          <w:rFonts w:eastAsia="仿宋_GB2312"/>
          <w:b/>
          <w:bCs/>
          <w:color w:val="000000"/>
          <w:sz w:val="32"/>
          <w:szCs w:val="32"/>
        </w:rPr>
        <w:t>推进公共服务信息公开</w:t>
      </w:r>
    </w:p>
    <w:p>
      <w:pPr>
        <w:numPr>
          <w:ilvl w:val="0"/>
          <w:numId w:val="4"/>
        </w:numPr>
        <w:spacing w:line="540" w:lineRule="exact"/>
        <w:ind w:firstLine="643" w:firstLineChars="200"/>
        <w:rPr>
          <w:rFonts w:eastAsia="仿宋_GB2312"/>
          <w:b/>
          <w:bCs/>
          <w:color w:val="000000"/>
          <w:sz w:val="32"/>
          <w:szCs w:val="32"/>
        </w:rPr>
      </w:pPr>
      <w:r>
        <w:rPr>
          <w:rFonts w:eastAsia="仿宋_GB2312"/>
          <w:b/>
          <w:bCs/>
          <w:color w:val="000000"/>
          <w:sz w:val="32"/>
          <w:szCs w:val="32"/>
        </w:rPr>
        <w:t>做好社会保险信息公开</w:t>
      </w:r>
    </w:p>
    <w:p>
      <w:pPr>
        <w:spacing w:line="540" w:lineRule="exact"/>
        <w:ind w:firstLine="640" w:firstLineChars="200"/>
        <w:outlineLvl w:val="0"/>
        <w:rPr>
          <w:rFonts w:eastAsia="仿宋"/>
          <w:sz w:val="32"/>
          <w:szCs w:val="32"/>
        </w:rPr>
      </w:pPr>
      <w:r>
        <w:rPr>
          <w:rFonts w:hint="eastAsia" w:eastAsia="仿宋"/>
          <w:sz w:val="32"/>
          <w:szCs w:val="32"/>
        </w:rPr>
        <w:t>利用西湖人社微信公众平台、微博、报刊、省市区三级人社部门门户网站、街镇宣传橱窗张贴及各级社会保险办事窗口等平台定期公开就业招聘、养老保险改革、社保网上办事流程、医保账户家庭共济，基本医疗保险、工伤保险和生育保险药品目录等社会保险信息，并在上述平台中积极解答民众相关问题的咨询，为民答疑解惑</w:t>
      </w:r>
      <w:r>
        <w:rPr>
          <w:rFonts w:eastAsia="仿宋"/>
          <w:sz w:val="32"/>
          <w:szCs w:val="32"/>
        </w:rPr>
        <w:t>。</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（2）推进社会救助信息公开</w:t>
      </w:r>
    </w:p>
    <w:p>
      <w:pPr>
        <w:spacing w:line="540" w:lineRule="exact"/>
        <w:ind w:firstLine="640" w:firstLineChars="200"/>
        <w:outlineLvl w:val="0"/>
        <w:rPr>
          <w:rFonts w:eastAsia="仿宋"/>
          <w:sz w:val="32"/>
          <w:szCs w:val="32"/>
        </w:rPr>
      </w:pPr>
      <w:r>
        <w:rPr>
          <w:rFonts w:hint="eastAsia" w:eastAsia="仿宋"/>
          <w:sz w:val="32"/>
          <w:szCs w:val="32"/>
        </w:rPr>
        <w:t>通过微信公共平台、微博、报刊、省市区三级人社部门门户网站等途径公开市级医疗困难救助、区级医疗困难救助二项救助工作等相关政策。每月在区门户网站、区民政局门户网公布全区低收入家庭、低保、残保、市区两级困难家庭、市区两级临时救助公示名单，共计81条。</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（3）推进教育领域信息公开</w:t>
      </w:r>
    </w:p>
    <w:p>
      <w:pPr>
        <w:spacing w:line="540" w:lineRule="exact"/>
        <w:ind w:firstLine="640" w:firstLineChars="200"/>
        <w:outlineLvl w:val="0"/>
        <w:rPr>
          <w:rFonts w:eastAsia="仿宋"/>
          <w:sz w:val="32"/>
          <w:szCs w:val="32"/>
        </w:rPr>
      </w:pPr>
      <w:r>
        <w:rPr>
          <w:rFonts w:hint="eastAsia" w:eastAsia="仿宋"/>
          <w:sz w:val="32"/>
          <w:szCs w:val="32"/>
        </w:rPr>
        <w:t>在区门户网站、西湖教育信息网及时公布中考、高考、义务教育阶段学校招生、教师招聘等相关信息，向公众集中提供政策文件、咨询服务等信息，全年主动公开信息共245条。开通了西湖教育官方政务微博和微信公众平台，</w:t>
      </w:r>
      <w:r>
        <w:rPr>
          <w:rFonts w:eastAsia="仿宋"/>
          <w:sz w:val="32"/>
          <w:szCs w:val="32"/>
        </w:rPr>
        <w:t>201</w:t>
      </w:r>
      <w:r>
        <w:rPr>
          <w:rFonts w:hint="eastAsia" w:eastAsia="仿宋"/>
          <w:sz w:val="32"/>
          <w:szCs w:val="32"/>
        </w:rPr>
        <w:t>6年西湖教育微博共发布教育信息690条，报送各级工作信息241条。区行政服务中心和教育局专设教育接待窗口，提供相关信息资料备查，所属学校还积极开展走村入社招生宣传、广场招生咨询等活动，通过多种形式，不断丰富信息公开便民渠道。</w:t>
      </w:r>
    </w:p>
    <w:p>
      <w:pPr>
        <w:spacing w:line="540" w:lineRule="exact"/>
        <w:ind w:firstLine="660"/>
        <w:rPr>
          <w:rFonts w:eastAsia="仿宋_GB2312"/>
          <w:b/>
          <w:bCs/>
          <w:color w:val="000000"/>
          <w:sz w:val="32"/>
          <w:szCs w:val="32"/>
        </w:rPr>
      </w:pPr>
      <w:r>
        <w:rPr>
          <w:rFonts w:eastAsia="仿宋_GB2312"/>
          <w:b/>
          <w:bCs/>
          <w:color w:val="000000"/>
          <w:sz w:val="32"/>
          <w:szCs w:val="32"/>
        </w:rPr>
        <w:t>（4）深化医疗卫生领域信息公开</w:t>
      </w:r>
    </w:p>
    <w:p>
      <w:pPr>
        <w:spacing w:line="540" w:lineRule="exact"/>
        <w:ind w:firstLine="640" w:firstLineChars="200"/>
        <w:outlineLvl w:val="0"/>
        <w:rPr>
          <w:rFonts w:eastAsia="仿宋"/>
          <w:sz w:val="32"/>
          <w:szCs w:val="32"/>
        </w:rPr>
      </w:pPr>
      <w:r>
        <w:rPr>
          <w:rFonts w:eastAsia="仿宋"/>
          <w:sz w:val="32"/>
          <w:szCs w:val="32"/>
        </w:rPr>
        <w:t>在区门户网站公开各社区卫生服务中心“阳光用药”信息，包括药品收入占医疗收入的比例、国家基本药物使用比例、抗菌药物占药品使用比例等，有效监督各医疗机构合理用药，降低病人的医疗费用。指导各医疗卫生单位药品和耗材网上“阳光采购”，并不定期开展督查，未发现违反上级有关规定情况。各医疗卫生单位在电子显示屏、公示专栏、咨询处等醒目位置，公示所有药品、医用耗材等医疗服务收费信息，方便患者查询，同时为门急诊和住院病人提供详细的“费用清单”，及时消除患者对价格的疑虑。</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7.推进企业信息公开</w:t>
      </w:r>
    </w:p>
    <w:p>
      <w:pPr>
        <w:spacing w:line="540" w:lineRule="exact"/>
        <w:ind w:firstLine="640" w:firstLineChars="200"/>
        <w:outlineLvl w:val="0"/>
        <w:rPr>
          <w:rFonts w:eastAsia="仿宋"/>
          <w:sz w:val="32"/>
          <w:szCs w:val="32"/>
        </w:rPr>
      </w:pPr>
      <w:r>
        <w:rPr>
          <w:rFonts w:hint="eastAsia" w:eastAsia="仿宋"/>
          <w:sz w:val="32"/>
          <w:szCs w:val="32"/>
        </w:rPr>
        <w:t>通过浙江省政务服务网和国家工商总局进行行政处罚公示，公示企业共1180家，2013条。相关注册登记、备案、股权出质登记等信息可在区市场监管局档案室或登录浙江省企业信用信息公示系统查询。</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8、推进公共监管信息公开</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（1）促进环境保护信息公开</w:t>
      </w:r>
    </w:p>
    <w:p>
      <w:pPr>
        <w:spacing w:line="540" w:lineRule="exact"/>
        <w:ind w:firstLine="640" w:firstLineChars="200"/>
        <w:outlineLvl w:val="0"/>
        <w:rPr>
          <w:rFonts w:eastAsia="仿宋"/>
          <w:sz w:val="32"/>
          <w:szCs w:val="32"/>
        </w:rPr>
      </w:pPr>
      <w:r>
        <w:rPr>
          <w:rFonts w:hint="eastAsia" w:eastAsia="仿宋"/>
          <w:sz w:val="32"/>
          <w:szCs w:val="32"/>
        </w:rPr>
        <w:t>一是在市环保局门户网站和西湖分局子网站及时</w:t>
      </w:r>
      <w:r>
        <w:rPr>
          <w:rFonts w:eastAsia="仿宋"/>
          <w:sz w:val="32"/>
          <w:szCs w:val="32"/>
        </w:rPr>
        <w:t>公开</w:t>
      </w:r>
      <w:r>
        <w:rPr>
          <w:rFonts w:hint="eastAsia" w:eastAsia="仿宋"/>
          <w:sz w:val="32"/>
          <w:szCs w:val="32"/>
        </w:rPr>
        <w:t>区域环境质量状况、污染物排放、建设项目环评、竣工验收、夜间施工作业证明等信息。二是新设“建设项目环境影响登记表信息公开”栏目，建设项目审批和竣工验收分栏设置，及时更新新出台或修改的《中华人民共和国大气污染防治法》、《环评法》等环保法律法规及新政策文件。每季度公开对辖区企业的随机抽查情况。三是及时更新日常工作动态，公开重点信访、专项检查、减排推进、污染整治、</w:t>
      </w:r>
      <w:bookmarkStart w:id="2" w:name="_GoBack"/>
      <w:bookmarkEnd w:id="2"/>
      <w:r>
        <w:rPr>
          <w:rFonts w:hint="eastAsia" w:eastAsia="仿宋"/>
          <w:sz w:val="32"/>
          <w:szCs w:val="32"/>
        </w:rPr>
        <w:t>案件查处等方面开展的相关工作。</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（2）促进食品药品安全信息公开</w:t>
      </w:r>
    </w:p>
    <w:p>
      <w:pPr>
        <w:spacing w:line="540" w:lineRule="exact"/>
        <w:ind w:firstLine="640" w:firstLineChars="200"/>
        <w:outlineLvl w:val="0"/>
        <w:rPr>
          <w:rFonts w:eastAsia="仿宋"/>
          <w:sz w:val="32"/>
          <w:szCs w:val="32"/>
        </w:rPr>
      </w:pPr>
      <w:r>
        <w:rPr>
          <w:rFonts w:hint="eastAsia" w:eastAsia="仿宋"/>
          <w:sz w:val="32"/>
          <w:szCs w:val="32"/>
        </w:rPr>
        <w:t>一是在浙江省公务网站公示所有食品安全违法案件，并定期在杭州日报、杭州网、局官方网站等平台公示西湖区食品安全监督抽检结果和食品安全“黑名单”等有关信息。2016年共公布食品安全处罚案件信息38条，公布监督抽检信息12期，涉及2662个检验批次，公布列入食品安全黑名单企业2家；及时发布报送餐饮食品专项整治及保健食品整治工作信息25篇。</w:t>
      </w:r>
    </w:p>
    <w:p>
      <w:pPr>
        <w:spacing w:line="540" w:lineRule="exact"/>
        <w:ind w:firstLine="643" w:firstLineChars="200"/>
        <w:rPr>
          <w:rFonts w:eastAsia="仿宋_GB2312"/>
          <w:b/>
          <w:bCs/>
          <w:color w:val="000000"/>
          <w:sz w:val="32"/>
          <w:szCs w:val="32"/>
        </w:rPr>
      </w:pPr>
      <w:r>
        <w:rPr>
          <w:rFonts w:eastAsia="仿宋_GB2312"/>
          <w:b/>
          <w:bCs/>
          <w:color w:val="000000"/>
          <w:sz w:val="32"/>
          <w:szCs w:val="32"/>
        </w:rPr>
        <w:t>（3）促进安全生产事故信息公开</w:t>
      </w:r>
    </w:p>
    <w:p>
      <w:pPr>
        <w:spacing w:line="540" w:lineRule="exact"/>
        <w:ind w:firstLine="640" w:firstLineChars="200"/>
        <w:outlineLvl w:val="0"/>
        <w:rPr>
          <w:rFonts w:eastAsia="仿宋"/>
          <w:sz w:val="32"/>
          <w:szCs w:val="32"/>
        </w:rPr>
      </w:pPr>
      <w:r>
        <w:rPr>
          <w:rFonts w:hint="eastAsia" w:eastAsia="仿宋"/>
          <w:sz w:val="32"/>
          <w:szCs w:val="32"/>
        </w:rPr>
        <w:t>及时准确发布政府举措、处置进展、风险预警、防范措施等信息。进一步做好安全事故调查处理结果的发布工作，除依法应当保密的内容外，主动公开事故调查报告和处理结果。全年共公开安全生产事故信息3条，曝光违法违纪企业事故隐患4条。</w:t>
      </w:r>
    </w:p>
    <w:p>
      <w:pPr>
        <w:spacing w:line="540" w:lineRule="exact"/>
        <w:ind w:firstLine="565" w:firstLineChars="176"/>
        <w:rPr>
          <w:rFonts w:eastAsia="仿宋_GB2312"/>
          <w:b/>
          <w:bCs/>
          <w:color w:val="000000"/>
          <w:sz w:val="32"/>
          <w:szCs w:val="32"/>
        </w:rPr>
      </w:pPr>
      <w:r>
        <w:rPr>
          <w:rFonts w:eastAsia="仿宋_GB2312"/>
          <w:b/>
          <w:bCs/>
          <w:color w:val="000000"/>
          <w:sz w:val="32"/>
          <w:szCs w:val="32"/>
        </w:rPr>
        <w:t>（4）促进社会组织、中介机构信息公开</w:t>
      </w:r>
    </w:p>
    <w:p>
      <w:pPr>
        <w:spacing w:line="540" w:lineRule="exact"/>
        <w:ind w:firstLine="640" w:firstLineChars="200"/>
        <w:outlineLvl w:val="0"/>
        <w:rPr>
          <w:rFonts w:eastAsia="仿宋"/>
          <w:sz w:val="32"/>
          <w:szCs w:val="32"/>
        </w:rPr>
      </w:pPr>
      <w:r>
        <w:rPr>
          <w:rFonts w:hint="eastAsia" w:eastAsia="仿宋"/>
          <w:sz w:val="32"/>
          <w:szCs w:val="32"/>
        </w:rPr>
        <w:t>一是按时在区门户网站、区社会组织服务网、区民政局门户网站公开社会团体、民办非企业、基金会的登记、变更、注销信息，区级公益创投项目信息，在杭州日报上公布2016年度社会组织年检公告。及时在西湖慈善网公开区慈善总会运行涉及的捐赠来源、善款去向等信息222条。二是根据法律明确的工商登记前置审批事项目录、国务院决定保留的工商登记前置审批事项目录，国家工商总局于2016年6月制定了前置审批事项目录，共64项，已对社会公开。</w:t>
      </w:r>
    </w:p>
    <w:p>
      <w:pPr>
        <w:spacing w:line="540" w:lineRule="exact"/>
        <w:ind w:firstLine="640" w:firstLineChars="200"/>
        <w:outlineLvl w:val="0"/>
        <w:rPr>
          <w:rFonts w:eastAsia="黑体"/>
          <w:sz w:val="32"/>
          <w:szCs w:val="32"/>
        </w:rPr>
      </w:pPr>
      <w:r>
        <w:rPr>
          <w:rFonts w:eastAsia="黑体"/>
          <w:sz w:val="32"/>
          <w:szCs w:val="32"/>
        </w:rPr>
        <w:t>三、主动回应社会关切的情况</w:t>
      </w:r>
    </w:p>
    <w:p>
      <w:pPr>
        <w:spacing w:line="540" w:lineRule="exact"/>
        <w:ind w:firstLine="640" w:firstLineChars="200"/>
        <w:outlineLvl w:val="0"/>
        <w:rPr>
          <w:rFonts w:eastAsia="仿宋"/>
          <w:sz w:val="32"/>
          <w:szCs w:val="32"/>
        </w:rPr>
      </w:pPr>
      <w:r>
        <w:rPr>
          <w:rFonts w:hint="eastAsia" w:eastAsia="仿宋"/>
          <w:sz w:val="32"/>
          <w:szCs w:val="32"/>
        </w:rPr>
        <w:t>2016</w:t>
      </w:r>
      <w:r>
        <w:rPr>
          <w:rFonts w:eastAsia="仿宋"/>
          <w:sz w:val="32"/>
          <w:szCs w:val="32"/>
        </w:rPr>
        <w:t>年，全区各单位积极回应公众关注热点。全区各部门共回应公众关注热点或重大舆情</w:t>
      </w:r>
      <w:r>
        <w:rPr>
          <w:rFonts w:hint="eastAsia" w:eastAsia="仿宋"/>
          <w:sz w:val="32"/>
          <w:szCs w:val="32"/>
        </w:rPr>
        <w:t>35</w:t>
      </w:r>
      <w:r>
        <w:rPr>
          <w:rFonts w:eastAsia="仿宋"/>
          <w:sz w:val="32"/>
          <w:szCs w:val="32"/>
        </w:rPr>
        <w:t>次。微博微信回应事件数</w:t>
      </w:r>
      <w:r>
        <w:rPr>
          <w:rFonts w:hint="eastAsia" w:eastAsia="仿宋"/>
          <w:sz w:val="32"/>
          <w:szCs w:val="32"/>
        </w:rPr>
        <w:t>9</w:t>
      </w:r>
      <w:r>
        <w:rPr>
          <w:rFonts w:eastAsia="仿宋"/>
          <w:sz w:val="32"/>
          <w:szCs w:val="32"/>
        </w:rPr>
        <w:t>次。</w:t>
      </w:r>
    </w:p>
    <w:p>
      <w:pPr>
        <w:spacing w:line="540" w:lineRule="exact"/>
        <w:ind w:firstLine="640" w:firstLineChars="200"/>
        <w:outlineLvl w:val="0"/>
        <w:rPr>
          <w:rFonts w:eastAsia="黑体"/>
          <w:sz w:val="32"/>
          <w:szCs w:val="32"/>
        </w:rPr>
      </w:pPr>
      <w:r>
        <w:rPr>
          <w:rFonts w:eastAsia="黑体"/>
          <w:sz w:val="32"/>
          <w:szCs w:val="32"/>
        </w:rPr>
        <w:t>四、依申请公开政府信息和不予公开政府信息的情况</w:t>
      </w:r>
    </w:p>
    <w:p>
      <w:pPr>
        <w:spacing w:line="540" w:lineRule="exact"/>
        <w:ind w:firstLine="640" w:firstLineChars="200"/>
        <w:rPr>
          <w:rFonts w:eastAsia="仿宋"/>
          <w:sz w:val="32"/>
          <w:szCs w:val="32"/>
        </w:rPr>
      </w:pPr>
      <w:r>
        <w:rPr>
          <w:rFonts w:eastAsia="仿宋"/>
          <w:sz w:val="32"/>
          <w:szCs w:val="32"/>
        </w:rPr>
        <w:t>201</w:t>
      </w:r>
      <w:r>
        <w:rPr>
          <w:rFonts w:hint="eastAsia" w:eastAsia="仿宋"/>
          <w:sz w:val="32"/>
          <w:szCs w:val="32"/>
        </w:rPr>
        <w:t>6</w:t>
      </w:r>
      <w:r>
        <w:rPr>
          <w:rFonts w:eastAsia="仿宋"/>
          <w:sz w:val="32"/>
          <w:szCs w:val="32"/>
        </w:rPr>
        <w:t>年，全区共接到政府信息公开申请</w:t>
      </w:r>
      <w:r>
        <w:rPr>
          <w:rFonts w:hint="eastAsia" w:eastAsia="仿宋"/>
          <w:sz w:val="32"/>
          <w:szCs w:val="32"/>
        </w:rPr>
        <w:t>2040</w:t>
      </w:r>
      <w:r>
        <w:rPr>
          <w:rFonts w:eastAsia="仿宋"/>
          <w:sz w:val="32"/>
          <w:szCs w:val="32"/>
        </w:rPr>
        <w:t>件，办结</w:t>
      </w:r>
      <w:r>
        <w:rPr>
          <w:rFonts w:hint="eastAsia" w:eastAsia="仿宋"/>
          <w:sz w:val="32"/>
          <w:szCs w:val="32"/>
        </w:rPr>
        <w:t>1679</w:t>
      </w:r>
      <w:r>
        <w:rPr>
          <w:rFonts w:eastAsia="仿宋"/>
          <w:sz w:val="32"/>
          <w:szCs w:val="32"/>
        </w:rPr>
        <w:t>件，均在规定期限内办理、答复。不予公开政府信息</w:t>
      </w:r>
      <w:r>
        <w:rPr>
          <w:rFonts w:hint="eastAsia" w:eastAsia="仿宋"/>
          <w:sz w:val="32"/>
          <w:szCs w:val="32"/>
        </w:rPr>
        <w:t>495</w:t>
      </w:r>
      <w:r>
        <w:rPr>
          <w:rFonts w:eastAsia="仿宋"/>
          <w:sz w:val="32"/>
          <w:szCs w:val="32"/>
        </w:rPr>
        <w:t>件，其中，涉及国家秘密</w:t>
      </w:r>
      <w:r>
        <w:rPr>
          <w:rFonts w:hint="eastAsia" w:eastAsia="仿宋"/>
          <w:sz w:val="32"/>
          <w:szCs w:val="32"/>
        </w:rPr>
        <w:t>0</w:t>
      </w:r>
      <w:r>
        <w:rPr>
          <w:rFonts w:eastAsia="仿宋"/>
          <w:sz w:val="32"/>
          <w:szCs w:val="32"/>
        </w:rPr>
        <w:t>件；涉及商业秘密</w:t>
      </w:r>
      <w:r>
        <w:rPr>
          <w:rFonts w:hint="eastAsia" w:eastAsia="仿宋"/>
          <w:sz w:val="32"/>
          <w:szCs w:val="32"/>
        </w:rPr>
        <w:t>1</w:t>
      </w:r>
      <w:r>
        <w:rPr>
          <w:rFonts w:eastAsia="仿宋"/>
          <w:sz w:val="32"/>
          <w:szCs w:val="32"/>
        </w:rPr>
        <w:t>件；涉及个人隐私</w:t>
      </w:r>
      <w:r>
        <w:rPr>
          <w:rFonts w:hint="eastAsia" w:eastAsia="仿宋"/>
          <w:sz w:val="32"/>
          <w:szCs w:val="32"/>
        </w:rPr>
        <w:t>7</w:t>
      </w:r>
      <w:r>
        <w:rPr>
          <w:rFonts w:eastAsia="仿宋"/>
          <w:sz w:val="32"/>
          <w:szCs w:val="32"/>
        </w:rPr>
        <w:t>件；危及国家安全、公共安全、经济安全和社会稳定0件；不是《条例》所指政府信息</w:t>
      </w:r>
      <w:r>
        <w:rPr>
          <w:rFonts w:hint="eastAsia" w:eastAsia="仿宋"/>
          <w:sz w:val="32"/>
          <w:szCs w:val="32"/>
        </w:rPr>
        <w:t>271</w:t>
      </w:r>
      <w:r>
        <w:rPr>
          <w:rFonts w:eastAsia="仿宋"/>
          <w:sz w:val="32"/>
          <w:szCs w:val="32"/>
        </w:rPr>
        <w:t>件；法律法规规定的其他情形2</w:t>
      </w:r>
      <w:r>
        <w:rPr>
          <w:rFonts w:hint="eastAsia" w:eastAsia="仿宋"/>
          <w:sz w:val="32"/>
          <w:szCs w:val="32"/>
        </w:rPr>
        <w:t>18</w:t>
      </w:r>
      <w:r>
        <w:rPr>
          <w:rFonts w:eastAsia="仿宋"/>
          <w:sz w:val="32"/>
          <w:szCs w:val="32"/>
        </w:rPr>
        <w:drawing>
          <wp:anchor distT="0" distB="0" distL="114300" distR="114300" simplePos="0" relativeHeight="251659264" behindDoc="0" locked="0" layoutInCell="1" allowOverlap="1">
            <wp:simplePos x="0" y="0"/>
            <wp:positionH relativeFrom="margin">
              <wp:posOffset>139700</wp:posOffset>
            </wp:positionH>
            <wp:positionV relativeFrom="margin">
              <wp:posOffset>1897380</wp:posOffset>
            </wp:positionV>
            <wp:extent cx="5419725" cy="3074670"/>
            <wp:effectExtent l="19050" t="0" r="9525" b="0"/>
            <wp:wrapSquare wrapText="bothSides"/>
            <wp:docPr id="4" name="图片 4" descr="C:\Users\yu\AppData\Local\Temp\14908456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u\AppData\Local\Temp\149084568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19725" cy="3074670"/>
                    </a:xfrm>
                    <a:prstGeom prst="rect">
                      <a:avLst/>
                    </a:prstGeom>
                    <a:noFill/>
                    <a:ln>
                      <a:noFill/>
                    </a:ln>
                  </pic:spPr>
                </pic:pic>
              </a:graphicData>
            </a:graphic>
          </wp:anchor>
        </w:drawing>
      </w:r>
      <w:r>
        <w:rPr>
          <w:rFonts w:eastAsia="仿宋"/>
          <w:sz w:val="32"/>
          <w:szCs w:val="32"/>
        </w:rPr>
        <w:t>件。</w:t>
      </w:r>
    </w:p>
    <w:p>
      <w:pPr>
        <w:spacing w:line="540" w:lineRule="exact"/>
        <w:ind w:firstLine="640" w:firstLineChars="200"/>
        <w:rPr>
          <w:rFonts w:eastAsia="仿宋"/>
          <w:sz w:val="32"/>
          <w:szCs w:val="32"/>
        </w:rPr>
      </w:pPr>
    </w:p>
    <w:p>
      <w:pPr>
        <w:spacing w:line="540" w:lineRule="exact"/>
        <w:ind w:firstLine="640" w:firstLineChars="200"/>
        <w:outlineLvl w:val="0"/>
        <w:rPr>
          <w:rFonts w:eastAsia="黑体"/>
          <w:sz w:val="32"/>
          <w:szCs w:val="32"/>
        </w:rPr>
      </w:pPr>
      <w:r>
        <w:rPr>
          <w:rFonts w:eastAsia="黑体"/>
          <w:sz w:val="32"/>
          <w:szCs w:val="32"/>
        </w:rPr>
        <w:t>五、政府信息公开的收费及减免情况</w:t>
      </w:r>
    </w:p>
    <w:p>
      <w:pPr>
        <w:spacing w:line="540" w:lineRule="exact"/>
        <w:ind w:firstLine="640" w:firstLineChars="200"/>
        <w:rPr>
          <w:rFonts w:eastAsia="仿宋"/>
          <w:sz w:val="32"/>
          <w:szCs w:val="32"/>
        </w:rPr>
      </w:pPr>
      <w:r>
        <w:rPr>
          <w:rFonts w:eastAsia="仿宋"/>
          <w:sz w:val="32"/>
          <w:szCs w:val="32"/>
        </w:rPr>
        <w:t>我区</w:t>
      </w:r>
      <w:r>
        <w:rPr>
          <w:rFonts w:hint="eastAsia" w:eastAsia="仿宋"/>
          <w:sz w:val="32"/>
          <w:szCs w:val="32"/>
        </w:rPr>
        <w:t>2016</w:t>
      </w:r>
      <w:r>
        <w:rPr>
          <w:rFonts w:eastAsia="仿宋"/>
          <w:sz w:val="32"/>
          <w:szCs w:val="32"/>
        </w:rPr>
        <w:t>年度的政府信息公开未收取费用。</w:t>
      </w:r>
    </w:p>
    <w:p>
      <w:pPr>
        <w:spacing w:line="540" w:lineRule="exact"/>
        <w:ind w:firstLine="640" w:firstLineChars="200"/>
        <w:outlineLvl w:val="0"/>
        <w:rPr>
          <w:rFonts w:eastAsia="黑体"/>
          <w:sz w:val="32"/>
          <w:szCs w:val="32"/>
        </w:rPr>
      </w:pPr>
      <w:r>
        <w:rPr>
          <w:rFonts w:eastAsia="黑体"/>
          <w:sz w:val="32"/>
          <w:szCs w:val="32"/>
        </w:rPr>
        <w:t>六、因政府信息公开申请行政复议、提起行政诉讼的情况</w:t>
      </w:r>
    </w:p>
    <w:p>
      <w:pPr>
        <w:spacing w:line="540" w:lineRule="exact"/>
        <w:ind w:firstLine="640" w:firstLineChars="200"/>
        <w:outlineLvl w:val="0"/>
        <w:rPr>
          <w:rFonts w:eastAsia="仿宋_GB2312"/>
          <w:sz w:val="32"/>
          <w:szCs w:val="32"/>
        </w:rPr>
      </w:pPr>
      <w:r>
        <w:rPr>
          <w:rFonts w:hint="eastAsia" w:eastAsia="仿宋_GB2312"/>
          <w:sz w:val="32"/>
          <w:szCs w:val="32"/>
        </w:rPr>
        <w:t>2016</w:t>
      </w:r>
      <w:r>
        <w:rPr>
          <w:rFonts w:eastAsia="仿宋_GB2312"/>
          <w:sz w:val="32"/>
          <w:szCs w:val="32"/>
        </w:rPr>
        <w:t>年，区政府审理的各部门行政复议案件涉及政府信息公开的共</w:t>
      </w:r>
      <w:r>
        <w:rPr>
          <w:rFonts w:hint="eastAsia" w:eastAsia="仿宋_GB2312"/>
          <w:sz w:val="32"/>
          <w:szCs w:val="32"/>
        </w:rPr>
        <w:t>230</w:t>
      </w:r>
      <w:r>
        <w:rPr>
          <w:rFonts w:eastAsia="仿宋_GB2312"/>
          <w:sz w:val="32"/>
          <w:szCs w:val="32"/>
        </w:rPr>
        <w:t>件，其中</w:t>
      </w:r>
      <w:r>
        <w:rPr>
          <w:rFonts w:hint="eastAsia" w:eastAsia="仿宋_GB2312"/>
          <w:sz w:val="32"/>
          <w:szCs w:val="32"/>
        </w:rPr>
        <w:t>202</w:t>
      </w:r>
      <w:r>
        <w:rPr>
          <w:rFonts w:eastAsia="仿宋_GB2312"/>
          <w:sz w:val="32"/>
          <w:szCs w:val="32"/>
        </w:rPr>
        <w:t>件维持，</w:t>
      </w:r>
      <w:r>
        <w:rPr>
          <w:rFonts w:hint="eastAsia" w:eastAsia="仿宋_GB2312"/>
          <w:sz w:val="32"/>
          <w:szCs w:val="32"/>
        </w:rPr>
        <w:t>24</w:t>
      </w:r>
      <w:r>
        <w:rPr>
          <w:rFonts w:eastAsia="仿宋_GB2312"/>
          <w:sz w:val="32"/>
          <w:szCs w:val="32"/>
        </w:rPr>
        <w:t>件审理中，</w:t>
      </w:r>
      <w:r>
        <w:rPr>
          <w:rFonts w:hint="eastAsia" w:eastAsia="仿宋_GB2312"/>
          <w:sz w:val="32"/>
          <w:szCs w:val="32"/>
        </w:rPr>
        <w:t>2</w:t>
      </w:r>
      <w:r>
        <w:rPr>
          <w:rFonts w:eastAsia="仿宋_GB2312"/>
          <w:color w:val="000000"/>
          <w:sz w:val="32"/>
          <w:szCs w:val="32"/>
        </w:rPr>
        <w:t>件不予受理</w:t>
      </w:r>
      <w:r>
        <w:rPr>
          <w:rFonts w:eastAsia="仿宋_GB2312"/>
          <w:sz w:val="32"/>
          <w:szCs w:val="32"/>
        </w:rPr>
        <w:t>、</w:t>
      </w:r>
      <w:r>
        <w:rPr>
          <w:rFonts w:hint="eastAsia" w:eastAsia="仿宋_GB2312"/>
          <w:sz w:val="32"/>
          <w:szCs w:val="32"/>
        </w:rPr>
        <w:t>2</w:t>
      </w:r>
      <w:r>
        <w:rPr>
          <w:rFonts w:eastAsia="仿宋_GB2312"/>
          <w:sz w:val="32"/>
          <w:szCs w:val="32"/>
        </w:rPr>
        <w:t>件部分维持、</w:t>
      </w:r>
      <w:r>
        <w:rPr>
          <w:rFonts w:hint="eastAsia" w:eastAsia="仿宋_GB2312"/>
          <w:sz w:val="32"/>
          <w:szCs w:val="32"/>
        </w:rPr>
        <w:t>2</w:t>
      </w:r>
      <w:r>
        <w:rPr>
          <w:rFonts w:eastAsia="仿宋_GB2312"/>
          <w:sz w:val="32"/>
          <w:szCs w:val="32"/>
        </w:rPr>
        <w:t>件</w:t>
      </w:r>
      <w:r>
        <w:rPr>
          <w:rFonts w:hint="eastAsia" w:eastAsia="仿宋_GB2312"/>
          <w:sz w:val="32"/>
          <w:szCs w:val="32"/>
        </w:rPr>
        <w:t>部分</w:t>
      </w:r>
      <w:r>
        <w:rPr>
          <w:rFonts w:eastAsia="仿宋_GB2312"/>
          <w:sz w:val="32"/>
          <w:szCs w:val="32"/>
        </w:rPr>
        <w:t>责令履行；共产生涉及政府信息公开的行政诉讼案件</w:t>
      </w:r>
      <w:r>
        <w:rPr>
          <w:rFonts w:hint="eastAsia" w:eastAsia="仿宋_GB2312"/>
          <w:sz w:val="32"/>
          <w:szCs w:val="32"/>
        </w:rPr>
        <w:t>84</w:t>
      </w:r>
      <w:r>
        <w:rPr>
          <w:rFonts w:eastAsia="仿宋_GB2312"/>
          <w:sz w:val="32"/>
          <w:szCs w:val="32"/>
        </w:rPr>
        <w:t>件，其中驳回</w:t>
      </w:r>
      <w:r>
        <w:rPr>
          <w:rFonts w:hint="eastAsia" w:eastAsia="仿宋_GB2312"/>
          <w:sz w:val="32"/>
          <w:szCs w:val="32"/>
        </w:rPr>
        <w:t>76</w:t>
      </w:r>
      <w:r>
        <w:rPr>
          <w:rFonts w:eastAsia="仿宋_GB2312"/>
          <w:sz w:val="32"/>
          <w:szCs w:val="32"/>
        </w:rPr>
        <w:t>件，撤诉3件，确认违法1件，未审结</w:t>
      </w:r>
      <w:r>
        <w:rPr>
          <w:rFonts w:hint="eastAsia" w:eastAsia="仿宋_GB2312"/>
          <w:sz w:val="32"/>
          <w:szCs w:val="32"/>
        </w:rPr>
        <w:t>4</w:t>
      </w:r>
      <w:r>
        <w:rPr>
          <w:rFonts w:eastAsia="仿宋_GB2312"/>
          <w:sz w:val="32"/>
          <w:szCs w:val="32"/>
        </w:rPr>
        <w:t>件。</w:t>
      </w:r>
    </w:p>
    <w:p>
      <w:pPr>
        <w:spacing w:line="360" w:lineRule="auto"/>
        <w:ind w:firstLine="640" w:firstLineChars="200"/>
        <w:outlineLvl w:val="0"/>
        <w:rPr>
          <w:rFonts w:eastAsia="仿宋_GB2312"/>
          <w:sz w:val="32"/>
          <w:szCs w:val="32"/>
        </w:rPr>
      </w:pPr>
      <w:r>
        <w:rPr>
          <w:rFonts w:eastAsia="仿宋_GB2312"/>
          <w:sz w:val="32"/>
          <w:szCs w:val="32"/>
        </w:rPr>
        <w:drawing>
          <wp:inline distT="0" distB="0" distL="0" distR="0">
            <wp:extent cx="5044440" cy="2718435"/>
            <wp:effectExtent l="19050" t="0" r="3522" b="0"/>
            <wp:docPr id="7" name="图片 2" descr="C:\Users\Administrator\Desktop\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Desktop\２.jpg"/>
                    <pic:cNvPicPr>
                      <a:picLocks noChangeAspect="1" noChangeArrowheads="1"/>
                    </pic:cNvPicPr>
                  </pic:nvPicPr>
                  <pic:blipFill>
                    <a:blip r:embed="rId8"/>
                    <a:srcRect/>
                    <a:stretch>
                      <a:fillRect/>
                    </a:stretch>
                  </pic:blipFill>
                  <pic:spPr>
                    <a:xfrm>
                      <a:off x="0" y="0"/>
                      <a:ext cx="5045602" cy="2718967"/>
                    </a:xfrm>
                    <a:prstGeom prst="rect">
                      <a:avLst/>
                    </a:prstGeom>
                    <a:noFill/>
                    <a:ln w="9525">
                      <a:noFill/>
                      <a:miter lim="800000"/>
                      <a:headEnd/>
                      <a:tailEnd/>
                    </a:ln>
                  </pic:spPr>
                </pic:pic>
              </a:graphicData>
            </a:graphic>
          </wp:inline>
        </w:drawing>
      </w:r>
    </w:p>
    <w:p>
      <w:pPr>
        <w:spacing w:line="360" w:lineRule="auto"/>
        <w:ind w:right="279" w:rightChars="133" w:firstLine="640" w:firstLineChars="200"/>
        <w:outlineLvl w:val="0"/>
        <w:rPr>
          <w:rFonts w:eastAsia="仿宋_GB2312"/>
          <w:sz w:val="32"/>
          <w:szCs w:val="32"/>
        </w:rPr>
      </w:pPr>
      <w:r>
        <w:rPr>
          <w:rFonts w:eastAsia="仿宋_GB2312"/>
          <w:sz w:val="32"/>
          <w:szCs w:val="32"/>
        </w:rPr>
        <w:drawing>
          <wp:inline distT="0" distB="0" distL="0" distR="0">
            <wp:extent cx="5048250" cy="2868295"/>
            <wp:effectExtent l="19050" t="0" r="0" b="0"/>
            <wp:docPr id="8" name="图片 7" descr="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三.gif"/>
                    <pic:cNvPicPr>
                      <a:picLocks noChangeAspect="1"/>
                    </pic:cNvPicPr>
                  </pic:nvPicPr>
                  <pic:blipFill>
                    <a:blip r:embed="rId9"/>
                    <a:stretch>
                      <a:fillRect/>
                    </a:stretch>
                  </pic:blipFill>
                  <pic:spPr>
                    <a:xfrm>
                      <a:off x="0" y="0"/>
                      <a:ext cx="5042941" cy="2865635"/>
                    </a:xfrm>
                    <a:prstGeom prst="rect">
                      <a:avLst/>
                    </a:prstGeom>
                  </pic:spPr>
                </pic:pic>
              </a:graphicData>
            </a:graphic>
          </wp:inline>
        </w:drawing>
      </w:r>
    </w:p>
    <w:p>
      <w:pPr>
        <w:spacing w:line="540" w:lineRule="exact"/>
        <w:ind w:firstLine="640" w:firstLineChars="200"/>
        <w:outlineLvl w:val="0"/>
        <w:rPr>
          <w:rFonts w:eastAsia="黑体"/>
          <w:sz w:val="32"/>
          <w:szCs w:val="32"/>
        </w:rPr>
      </w:pPr>
      <w:r>
        <w:rPr>
          <w:rFonts w:eastAsia="黑体"/>
          <w:sz w:val="32"/>
          <w:szCs w:val="32"/>
        </w:rPr>
        <w:t>七、政府信息公开工作存在的主要问题及改进情况</w:t>
      </w:r>
    </w:p>
    <w:p>
      <w:pPr>
        <w:spacing w:line="540" w:lineRule="exact"/>
        <w:ind w:firstLine="627" w:firstLineChars="196"/>
        <w:rPr>
          <w:rFonts w:eastAsia="仿宋"/>
          <w:sz w:val="32"/>
          <w:szCs w:val="32"/>
        </w:rPr>
      </w:pPr>
      <w:r>
        <w:rPr>
          <w:rFonts w:hint="eastAsia" w:eastAsia="仿宋"/>
          <w:sz w:val="32"/>
          <w:szCs w:val="32"/>
        </w:rPr>
        <w:t>2016年，我区政府信息公开工作在取得成效的同时，也存在一些问题，</w:t>
      </w:r>
      <w:r>
        <w:rPr>
          <w:rFonts w:eastAsia="仿宋"/>
          <w:sz w:val="32"/>
          <w:szCs w:val="32"/>
        </w:rPr>
        <w:t>主要表现在：一是</w:t>
      </w:r>
      <w:r>
        <w:rPr>
          <w:rFonts w:hint="eastAsia" w:eastAsia="仿宋"/>
          <w:sz w:val="32"/>
          <w:szCs w:val="32"/>
        </w:rPr>
        <w:t>全区政府信息公开工作开展不够均衡。二是依申请公开工作的服务水平有待进一步提高。三</w:t>
      </w:r>
      <w:r>
        <w:rPr>
          <w:rFonts w:eastAsia="仿宋"/>
          <w:sz w:val="32"/>
          <w:szCs w:val="32"/>
        </w:rPr>
        <w:t>是</w:t>
      </w:r>
      <w:r>
        <w:rPr>
          <w:rFonts w:hint="eastAsia" w:eastAsia="仿宋"/>
          <w:sz w:val="32"/>
          <w:szCs w:val="32"/>
        </w:rPr>
        <w:t>主动公开</w:t>
      </w:r>
      <w:r>
        <w:rPr>
          <w:rFonts w:eastAsia="仿宋"/>
          <w:sz w:val="32"/>
          <w:szCs w:val="32"/>
        </w:rPr>
        <w:t>的目录体系还不够完善</w:t>
      </w:r>
      <w:r>
        <w:rPr>
          <w:rFonts w:hint="eastAsia" w:eastAsia="仿宋"/>
          <w:sz w:val="32"/>
          <w:szCs w:val="32"/>
        </w:rPr>
        <w:t>。</w:t>
      </w:r>
      <w:r>
        <w:rPr>
          <w:rFonts w:eastAsia="仿宋"/>
          <w:sz w:val="32"/>
          <w:szCs w:val="32"/>
        </w:rPr>
        <w:t>针对以上不足，下一步我区将在以下几方面积极改进，努力积累经验，完善相关制度，不断推进政府信息公开工作。</w:t>
      </w:r>
    </w:p>
    <w:p>
      <w:pPr>
        <w:spacing w:line="540" w:lineRule="exact"/>
        <w:ind w:firstLine="627" w:firstLineChars="196"/>
        <w:rPr>
          <w:rFonts w:eastAsia="仿宋"/>
          <w:sz w:val="32"/>
          <w:szCs w:val="32"/>
        </w:rPr>
      </w:pPr>
      <w:r>
        <w:rPr>
          <w:rFonts w:eastAsia="仿宋"/>
          <w:sz w:val="32"/>
          <w:szCs w:val="32"/>
        </w:rPr>
        <w:t>一是</w:t>
      </w:r>
      <w:r>
        <w:rPr>
          <w:rFonts w:hint="eastAsia" w:eastAsia="仿宋"/>
          <w:sz w:val="32"/>
          <w:szCs w:val="32"/>
        </w:rPr>
        <w:t>进一步深化</w:t>
      </w:r>
      <w:r>
        <w:rPr>
          <w:rFonts w:eastAsia="仿宋"/>
          <w:sz w:val="32"/>
          <w:szCs w:val="32"/>
        </w:rPr>
        <w:t>西湖区政府信息公开综合业务管理系统。</w:t>
      </w:r>
      <w:r>
        <w:rPr>
          <w:rFonts w:hint="eastAsia" w:eastAsia="仿宋"/>
          <w:sz w:val="32"/>
          <w:szCs w:val="32"/>
        </w:rPr>
        <w:t>全面推广</w:t>
      </w:r>
      <w:r>
        <w:rPr>
          <w:rFonts w:eastAsia="仿宋"/>
          <w:sz w:val="32"/>
          <w:szCs w:val="32"/>
        </w:rPr>
        <w:t>政府信息公开综合业务管理系统</w:t>
      </w:r>
      <w:r>
        <w:rPr>
          <w:rFonts w:hint="eastAsia" w:eastAsia="仿宋"/>
          <w:sz w:val="32"/>
          <w:szCs w:val="32"/>
        </w:rPr>
        <w:t>，并在一期基础规划建设二期功能模块，</w:t>
      </w:r>
      <w:r>
        <w:rPr>
          <w:rFonts w:eastAsia="仿宋"/>
          <w:sz w:val="32"/>
          <w:szCs w:val="32"/>
        </w:rPr>
        <w:t>将功能模块延伸至移动端。</w:t>
      </w:r>
    </w:p>
    <w:p>
      <w:pPr>
        <w:spacing w:line="540" w:lineRule="exact"/>
        <w:ind w:firstLine="627" w:firstLineChars="196"/>
        <w:rPr>
          <w:rFonts w:eastAsia="仿宋"/>
          <w:sz w:val="32"/>
          <w:szCs w:val="32"/>
        </w:rPr>
      </w:pPr>
      <w:r>
        <w:rPr>
          <w:rFonts w:hint="eastAsia" w:eastAsia="仿宋"/>
          <w:sz w:val="32"/>
          <w:szCs w:val="32"/>
        </w:rPr>
        <w:t>二是</w:t>
      </w:r>
      <w:r>
        <w:rPr>
          <w:rFonts w:eastAsia="仿宋"/>
          <w:sz w:val="32"/>
          <w:szCs w:val="32"/>
        </w:rPr>
        <w:t>进一步完善</w:t>
      </w:r>
      <w:r>
        <w:rPr>
          <w:rFonts w:hint="eastAsia" w:eastAsia="仿宋"/>
          <w:sz w:val="32"/>
          <w:szCs w:val="32"/>
        </w:rPr>
        <w:t>政府信息公开</w:t>
      </w:r>
      <w:r>
        <w:rPr>
          <w:rFonts w:eastAsia="仿宋"/>
          <w:sz w:val="32"/>
          <w:szCs w:val="32"/>
        </w:rPr>
        <w:t>目录体系。</w:t>
      </w:r>
      <w:r>
        <w:rPr>
          <w:rFonts w:hint="eastAsia" w:eastAsia="仿宋"/>
          <w:sz w:val="32"/>
          <w:szCs w:val="32"/>
        </w:rPr>
        <w:t>学习</w:t>
      </w:r>
      <w:r>
        <w:rPr>
          <w:rFonts w:eastAsia="仿宋"/>
          <w:sz w:val="32"/>
          <w:szCs w:val="32"/>
        </w:rPr>
        <w:t>参考</w:t>
      </w:r>
      <w:r>
        <w:rPr>
          <w:rFonts w:hint="eastAsia" w:eastAsia="仿宋"/>
          <w:sz w:val="32"/>
          <w:szCs w:val="32"/>
        </w:rPr>
        <w:t>其他市区先进做法</w:t>
      </w:r>
      <w:r>
        <w:rPr>
          <w:rFonts w:eastAsia="仿宋"/>
          <w:sz w:val="32"/>
          <w:szCs w:val="32"/>
        </w:rPr>
        <w:t>，结合本区实际，</w:t>
      </w:r>
      <w:r>
        <w:rPr>
          <w:rFonts w:hint="eastAsia" w:eastAsia="仿宋"/>
          <w:sz w:val="32"/>
          <w:szCs w:val="32"/>
        </w:rPr>
        <w:t>调整</w:t>
      </w:r>
      <w:r>
        <w:rPr>
          <w:rFonts w:eastAsia="仿宋"/>
          <w:sz w:val="32"/>
          <w:szCs w:val="32"/>
        </w:rPr>
        <w:t>完善</w:t>
      </w:r>
      <w:r>
        <w:rPr>
          <w:rFonts w:hint="eastAsia" w:eastAsia="仿宋"/>
          <w:sz w:val="32"/>
          <w:szCs w:val="32"/>
        </w:rPr>
        <w:t>区</w:t>
      </w:r>
      <w:r>
        <w:rPr>
          <w:rFonts w:eastAsia="仿宋"/>
          <w:sz w:val="32"/>
          <w:szCs w:val="32"/>
        </w:rPr>
        <w:t>政府信息公开专栏目录体系</w:t>
      </w:r>
      <w:r>
        <w:rPr>
          <w:rFonts w:hint="eastAsia" w:eastAsia="仿宋"/>
          <w:sz w:val="32"/>
          <w:szCs w:val="32"/>
        </w:rPr>
        <w:t>，使目录更规范</w:t>
      </w:r>
      <w:r>
        <w:rPr>
          <w:rFonts w:eastAsia="仿宋"/>
          <w:sz w:val="32"/>
          <w:szCs w:val="32"/>
        </w:rPr>
        <w:t>、</w:t>
      </w:r>
      <w:r>
        <w:rPr>
          <w:rFonts w:hint="eastAsia" w:eastAsia="仿宋"/>
          <w:sz w:val="32"/>
          <w:szCs w:val="32"/>
        </w:rPr>
        <w:t>内容</w:t>
      </w:r>
      <w:r>
        <w:rPr>
          <w:rFonts w:eastAsia="仿宋"/>
          <w:sz w:val="32"/>
          <w:szCs w:val="32"/>
        </w:rPr>
        <w:t>更深化、</w:t>
      </w:r>
      <w:r>
        <w:rPr>
          <w:rFonts w:hint="eastAsia" w:eastAsia="仿宋"/>
          <w:sz w:val="32"/>
          <w:szCs w:val="32"/>
        </w:rPr>
        <w:t>界面更友好</w:t>
      </w:r>
      <w:r>
        <w:rPr>
          <w:rFonts w:eastAsia="仿宋"/>
          <w:sz w:val="32"/>
          <w:szCs w:val="32"/>
        </w:rPr>
        <w:t>。</w:t>
      </w:r>
    </w:p>
    <w:p>
      <w:pPr>
        <w:spacing w:line="540" w:lineRule="exact"/>
        <w:ind w:firstLine="627" w:firstLineChars="196"/>
        <w:rPr>
          <w:rFonts w:eastAsia="仿宋"/>
          <w:sz w:val="32"/>
          <w:szCs w:val="32"/>
        </w:rPr>
      </w:pPr>
      <w:r>
        <w:rPr>
          <w:rFonts w:eastAsia="仿宋"/>
          <w:sz w:val="32"/>
          <w:szCs w:val="32"/>
        </w:rPr>
        <w:t>三是</w:t>
      </w:r>
      <w:r>
        <w:rPr>
          <w:rFonts w:hint="eastAsia" w:eastAsia="仿宋"/>
          <w:sz w:val="32"/>
          <w:szCs w:val="32"/>
        </w:rPr>
        <w:t>进一步加大</w:t>
      </w:r>
      <w:r>
        <w:rPr>
          <w:rFonts w:eastAsia="仿宋"/>
          <w:sz w:val="32"/>
          <w:szCs w:val="32"/>
        </w:rPr>
        <w:t>重点领域信息公开</w:t>
      </w:r>
      <w:r>
        <w:rPr>
          <w:rFonts w:hint="eastAsia" w:eastAsia="仿宋"/>
          <w:sz w:val="32"/>
          <w:szCs w:val="32"/>
        </w:rPr>
        <w:t>力度</w:t>
      </w:r>
      <w:r>
        <w:rPr>
          <w:rFonts w:eastAsia="仿宋"/>
          <w:sz w:val="32"/>
          <w:szCs w:val="32"/>
        </w:rPr>
        <w:t>。</w:t>
      </w:r>
      <w:r>
        <w:rPr>
          <w:rFonts w:hint="eastAsia" w:eastAsia="仿宋"/>
          <w:sz w:val="32"/>
          <w:szCs w:val="32"/>
        </w:rPr>
        <w:t>严格按照</w:t>
      </w:r>
      <w:r>
        <w:rPr>
          <w:rFonts w:eastAsia="仿宋"/>
          <w:sz w:val="32"/>
          <w:szCs w:val="32"/>
        </w:rPr>
        <w:t>国家、省市部署，</w:t>
      </w:r>
      <w:r>
        <w:rPr>
          <w:rFonts w:hint="eastAsia" w:eastAsia="仿宋"/>
          <w:sz w:val="32"/>
          <w:szCs w:val="32"/>
        </w:rPr>
        <w:t>及时</w:t>
      </w:r>
      <w:r>
        <w:rPr>
          <w:rFonts w:eastAsia="仿宋"/>
          <w:sz w:val="32"/>
          <w:szCs w:val="32"/>
        </w:rPr>
        <w:t>、规范</w:t>
      </w:r>
      <w:r>
        <w:rPr>
          <w:rFonts w:hint="eastAsia" w:eastAsia="仿宋"/>
          <w:sz w:val="32"/>
          <w:szCs w:val="32"/>
        </w:rPr>
        <w:t>做好</w:t>
      </w:r>
      <w:r>
        <w:rPr>
          <w:rFonts w:eastAsia="仿宋"/>
          <w:sz w:val="32"/>
          <w:szCs w:val="32"/>
        </w:rPr>
        <w:t>重点领域</w:t>
      </w:r>
      <w:r>
        <w:rPr>
          <w:rFonts w:hint="eastAsia" w:eastAsia="仿宋"/>
          <w:sz w:val="32"/>
          <w:szCs w:val="32"/>
        </w:rPr>
        <w:t>信息公开</w:t>
      </w:r>
      <w:r>
        <w:rPr>
          <w:rFonts w:eastAsia="仿宋"/>
          <w:sz w:val="32"/>
          <w:szCs w:val="32"/>
        </w:rPr>
        <w:t>工作，进一步督查各部门的主动公开情况。</w:t>
      </w:r>
    </w:p>
    <w:p>
      <w:pPr>
        <w:spacing w:line="540" w:lineRule="exact"/>
        <w:ind w:firstLine="627" w:firstLineChars="196"/>
        <w:rPr>
          <w:rFonts w:eastAsia="仿宋"/>
          <w:sz w:val="32"/>
          <w:szCs w:val="32"/>
        </w:rPr>
      </w:pPr>
      <w:r>
        <w:rPr>
          <w:rFonts w:hint="eastAsia" w:eastAsia="仿宋"/>
          <w:sz w:val="32"/>
          <w:szCs w:val="32"/>
        </w:rPr>
        <w:t>（三）进一步提高依申请公开工作的服务水平。狠抓队伍</w:t>
      </w:r>
      <w:r>
        <w:rPr>
          <w:rFonts w:eastAsia="仿宋"/>
          <w:sz w:val="32"/>
          <w:szCs w:val="32"/>
        </w:rPr>
        <w:t>建设</w:t>
      </w:r>
      <w:r>
        <w:rPr>
          <w:rFonts w:hint="eastAsia" w:eastAsia="仿宋"/>
          <w:sz w:val="32"/>
          <w:szCs w:val="32"/>
        </w:rPr>
        <w:t>，加强业务培训，巩固经常性的教育培训机制，切实提高公开工作的能力和服务水平。健全依申请公开促进依法行政工作机制，以公开促监督，</w:t>
      </w:r>
      <w:r>
        <w:rPr>
          <w:rFonts w:eastAsia="仿宋"/>
          <w:sz w:val="32"/>
          <w:szCs w:val="32"/>
        </w:rPr>
        <w:t>进一步</w:t>
      </w:r>
      <w:r>
        <w:rPr>
          <w:rFonts w:hint="eastAsia" w:eastAsia="仿宋"/>
          <w:sz w:val="32"/>
          <w:szCs w:val="32"/>
        </w:rPr>
        <w:t>加大</w:t>
      </w:r>
      <w:r>
        <w:rPr>
          <w:rFonts w:eastAsia="仿宋"/>
          <w:sz w:val="32"/>
          <w:szCs w:val="32"/>
        </w:rPr>
        <w:t>对各部门政府信息公开工作的督查和通报</w:t>
      </w:r>
      <w:r>
        <w:rPr>
          <w:rFonts w:hint="eastAsia" w:eastAsia="仿宋"/>
          <w:sz w:val="32"/>
          <w:szCs w:val="32"/>
        </w:rPr>
        <w:t>力度。规范信息公开申请秩序，保障公民、法人和其他组织依法获取政府信息，推动依申请公开制度良性运转。</w:t>
      </w:r>
    </w:p>
    <w:p>
      <w:pPr>
        <w:spacing w:line="540" w:lineRule="exact"/>
        <w:ind w:firstLine="627" w:firstLineChars="196"/>
        <w:rPr>
          <w:rFonts w:eastAsia="仿宋"/>
          <w:sz w:val="32"/>
          <w:szCs w:val="32"/>
        </w:rPr>
      </w:pPr>
    </w:p>
    <w:p>
      <w:pPr>
        <w:spacing w:line="540" w:lineRule="exact"/>
        <w:ind w:firstLine="627" w:firstLineChars="196"/>
        <w:rPr>
          <w:rFonts w:eastAsia="仿宋"/>
          <w:sz w:val="32"/>
          <w:szCs w:val="32"/>
        </w:rPr>
      </w:pPr>
    </w:p>
    <w:p>
      <w:pPr>
        <w:spacing w:line="540" w:lineRule="exact"/>
        <w:ind w:firstLine="796" w:firstLineChars="249"/>
        <w:jc w:val="right"/>
        <w:rPr>
          <w:rFonts w:eastAsia="仿宋"/>
          <w:sz w:val="32"/>
          <w:szCs w:val="32"/>
        </w:rPr>
      </w:pPr>
      <w:r>
        <w:rPr>
          <w:rFonts w:eastAsia="仿宋"/>
          <w:sz w:val="32"/>
          <w:szCs w:val="32"/>
        </w:rPr>
        <w:t>西湖区政府办公室</w:t>
      </w:r>
    </w:p>
    <w:p>
      <w:pPr>
        <w:spacing w:line="540" w:lineRule="exact"/>
        <w:ind w:firstLine="796" w:firstLineChars="249"/>
        <w:jc w:val="right"/>
        <w:rPr>
          <w:rFonts w:eastAsia="仿宋"/>
          <w:sz w:val="32"/>
          <w:szCs w:val="32"/>
        </w:rPr>
      </w:pPr>
      <w:r>
        <w:rPr>
          <w:rFonts w:eastAsia="仿宋"/>
          <w:sz w:val="32"/>
          <w:szCs w:val="32"/>
        </w:rPr>
        <w:t>201</w:t>
      </w:r>
      <w:r>
        <w:rPr>
          <w:rFonts w:hint="eastAsia" w:eastAsia="仿宋"/>
          <w:sz w:val="32"/>
          <w:szCs w:val="32"/>
        </w:rPr>
        <w:t>7</w:t>
      </w:r>
      <w:r>
        <w:rPr>
          <w:rFonts w:eastAsia="仿宋"/>
          <w:sz w:val="32"/>
          <w:szCs w:val="32"/>
        </w:rPr>
        <w:t>年3月30日</w:t>
      </w:r>
    </w:p>
    <w:p>
      <w:pPr>
        <w:spacing w:line="540" w:lineRule="exact"/>
        <w:ind w:firstLine="522" w:firstLineChars="249"/>
      </w:pPr>
    </w:p>
    <w:sectPr>
      <w:headerReference r:id="rId3" w:type="default"/>
      <w:footerReference r:id="rId4" w:type="default"/>
      <w:footerReference r:id="rId5" w:type="even"/>
      <w:pgSz w:w="11906" w:h="16838"/>
      <w:pgMar w:top="2098" w:right="1700"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小标宋简体">
    <w:altName w:val="等线"/>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6</w:t>
    </w:r>
    <w:r>
      <w:rPr>
        <w:sz w:val="28"/>
        <w:szCs w:val="28"/>
      </w:rPr>
      <w:fldChar w:fldCharType="end"/>
    </w:r>
    <w:r>
      <w:rPr>
        <w:rStyle w:val="10"/>
        <w:rFonts w:hint="eastAsia"/>
        <w:sz w:val="28"/>
        <w:szCs w:val="28"/>
      </w:rPr>
      <w:t>—</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984A6"/>
    <w:multiLevelType w:val="singleLevel"/>
    <w:tmpl w:val="56A984A6"/>
    <w:lvl w:ilvl="0" w:tentative="0">
      <w:start w:val="2"/>
      <w:numFmt w:val="decimal"/>
      <w:suff w:val="nothing"/>
      <w:lvlText w:val="%1、"/>
      <w:lvlJc w:val="left"/>
    </w:lvl>
  </w:abstractNum>
  <w:abstractNum w:abstractNumId="1">
    <w:nsid w:val="56A9912A"/>
    <w:multiLevelType w:val="singleLevel"/>
    <w:tmpl w:val="56A9912A"/>
    <w:lvl w:ilvl="0" w:tentative="0">
      <w:start w:val="5"/>
      <w:numFmt w:val="decimal"/>
      <w:suff w:val="nothing"/>
      <w:lvlText w:val="%1、"/>
      <w:lvlJc w:val="left"/>
    </w:lvl>
  </w:abstractNum>
  <w:abstractNum w:abstractNumId="2">
    <w:nsid w:val="56AEC76E"/>
    <w:multiLevelType w:val="singleLevel"/>
    <w:tmpl w:val="56AEC76E"/>
    <w:lvl w:ilvl="0" w:tentative="0">
      <w:start w:val="2"/>
      <w:numFmt w:val="decimal"/>
      <w:suff w:val="nothing"/>
      <w:lvlText w:val="（%1）"/>
      <w:lvlJc w:val="left"/>
    </w:lvl>
  </w:abstractNum>
  <w:abstractNum w:abstractNumId="3">
    <w:nsid w:val="56AECA1B"/>
    <w:multiLevelType w:val="singleLevel"/>
    <w:tmpl w:val="56AECA1B"/>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BkZTRhZjhkOWI2MGYzYWYzNTNmY2MxZDkzMzk4ZWIifQ=="/>
  </w:docVars>
  <w:rsids>
    <w:rsidRoot w:val="007E7E5E"/>
    <w:rsid w:val="00001491"/>
    <w:rsid w:val="00001A96"/>
    <w:rsid w:val="00004D08"/>
    <w:rsid w:val="00005941"/>
    <w:rsid w:val="0001055F"/>
    <w:rsid w:val="000176CF"/>
    <w:rsid w:val="000205E5"/>
    <w:rsid w:val="000228FB"/>
    <w:rsid w:val="00027D09"/>
    <w:rsid w:val="000342F5"/>
    <w:rsid w:val="00035959"/>
    <w:rsid w:val="000375A5"/>
    <w:rsid w:val="00037662"/>
    <w:rsid w:val="000416D8"/>
    <w:rsid w:val="000431C9"/>
    <w:rsid w:val="0004454F"/>
    <w:rsid w:val="00051850"/>
    <w:rsid w:val="0005605F"/>
    <w:rsid w:val="00057ECD"/>
    <w:rsid w:val="0006056B"/>
    <w:rsid w:val="00065F36"/>
    <w:rsid w:val="00074675"/>
    <w:rsid w:val="00087729"/>
    <w:rsid w:val="00093606"/>
    <w:rsid w:val="000949AE"/>
    <w:rsid w:val="000A0278"/>
    <w:rsid w:val="000A2760"/>
    <w:rsid w:val="000A7AA2"/>
    <w:rsid w:val="000B1F1D"/>
    <w:rsid w:val="000B25A4"/>
    <w:rsid w:val="000C3EB4"/>
    <w:rsid w:val="000C486F"/>
    <w:rsid w:val="000C791F"/>
    <w:rsid w:val="000D008A"/>
    <w:rsid w:val="000D3CBB"/>
    <w:rsid w:val="000D77E3"/>
    <w:rsid w:val="000E0339"/>
    <w:rsid w:val="000E18F4"/>
    <w:rsid w:val="000E33A8"/>
    <w:rsid w:val="000E49FC"/>
    <w:rsid w:val="000E570D"/>
    <w:rsid w:val="000E6343"/>
    <w:rsid w:val="000F1D3B"/>
    <w:rsid w:val="000F54BC"/>
    <w:rsid w:val="000F73F3"/>
    <w:rsid w:val="001021BD"/>
    <w:rsid w:val="001038CF"/>
    <w:rsid w:val="00103B3B"/>
    <w:rsid w:val="001046CC"/>
    <w:rsid w:val="00110202"/>
    <w:rsid w:val="00110893"/>
    <w:rsid w:val="00110FE7"/>
    <w:rsid w:val="001126D6"/>
    <w:rsid w:val="0011564D"/>
    <w:rsid w:val="00117748"/>
    <w:rsid w:val="001202E2"/>
    <w:rsid w:val="00122C0A"/>
    <w:rsid w:val="00122DE3"/>
    <w:rsid w:val="00125E36"/>
    <w:rsid w:val="00125FD2"/>
    <w:rsid w:val="001312BA"/>
    <w:rsid w:val="001328B7"/>
    <w:rsid w:val="001357D7"/>
    <w:rsid w:val="00135FE4"/>
    <w:rsid w:val="00136908"/>
    <w:rsid w:val="00137526"/>
    <w:rsid w:val="00142B1F"/>
    <w:rsid w:val="001452F5"/>
    <w:rsid w:val="00147452"/>
    <w:rsid w:val="00150BDA"/>
    <w:rsid w:val="00153A36"/>
    <w:rsid w:val="00154EDF"/>
    <w:rsid w:val="0015518F"/>
    <w:rsid w:val="001572E4"/>
    <w:rsid w:val="00161B7A"/>
    <w:rsid w:val="00161E0C"/>
    <w:rsid w:val="00172215"/>
    <w:rsid w:val="0017377C"/>
    <w:rsid w:val="00174228"/>
    <w:rsid w:val="001750EE"/>
    <w:rsid w:val="001808B5"/>
    <w:rsid w:val="00181E84"/>
    <w:rsid w:val="0018364B"/>
    <w:rsid w:val="00186BBB"/>
    <w:rsid w:val="001940DB"/>
    <w:rsid w:val="001957FB"/>
    <w:rsid w:val="00196316"/>
    <w:rsid w:val="001A17EE"/>
    <w:rsid w:val="001A2A65"/>
    <w:rsid w:val="001A7CF7"/>
    <w:rsid w:val="001B1AFD"/>
    <w:rsid w:val="001B1EA8"/>
    <w:rsid w:val="001B424A"/>
    <w:rsid w:val="001B4423"/>
    <w:rsid w:val="001B676A"/>
    <w:rsid w:val="001B6DC6"/>
    <w:rsid w:val="001D1722"/>
    <w:rsid w:val="001D182A"/>
    <w:rsid w:val="001D1E55"/>
    <w:rsid w:val="001D35A8"/>
    <w:rsid w:val="001D370F"/>
    <w:rsid w:val="001E1E3D"/>
    <w:rsid w:val="001E2053"/>
    <w:rsid w:val="001E2FED"/>
    <w:rsid w:val="001E6022"/>
    <w:rsid w:val="001E6171"/>
    <w:rsid w:val="001F1E89"/>
    <w:rsid w:val="001F3A87"/>
    <w:rsid w:val="001F4BBC"/>
    <w:rsid w:val="001F4C83"/>
    <w:rsid w:val="001F7A6B"/>
    <w:rsid w:val="002017CD"/>
    <w:rsid w:val="00202A45"/>
    <w:rsid w:val="00203DB1"/>
    <w:rsid w:val="00205334"/>
    <w:rsid w:val="00206D93"/>
    <w:rsid w:val="00207022"/>
    <w:rsid w:val="00207A08"/>
    <w:rsid w:val="00210156"/>
    <w:rsid w:val="002171C6"/>
    <w:rsid w:val="00222C05"/>
    <w:rsid w:val="00223B73"/>
    <w:rsid w:val="00227F58"/>
    <w:rsid w:val="00230AB5"/>
    <w:rsid w:val="0023320D"/>
    <w:rsid w:val="00234096"/>
    <w:rsid w:val="002341B2"/>
    <w:rsid w:val="00234C16"/>
    <w:rsid w:val="002365D6"/>
    <w:rsid w:val="00240875"/>
    <w:rsid w:val="002464CC"/>
    <w:rsid w:val="00247A67"/>
    <w:rsid w:val="00251157"/>
    <w:rsid w:val="00252E22"/>
    <w:rsid w:val="002554F1"/>
    <w:rsid w:val="00261663"/>
    <w:rsid w:val="002711B9"/>
    <w:rsid w:val="0027367B"/>
    <w:rsid w:val="00277865"/>
    <w:rsid w:val="0029336C"/>
    <w:rsid w:val="0029405E"/>
    <w:rsid w:val="002A7464"/>
    <w:rsid w:val="002B2AA0"/>
    <w:rsid w:val="002B4A0E"/>
    <w:rsid w:val="002B5C92"/>
    <w:rsid w:val="002C461C"/>
    <w:rsid w:val="002C5545"/>
    <w:rsid w:val="002D08F7"/>
    <w:rsid w:val="002D1001"/>
    <w:rsid w:val="002E22A3"/>
    <w:rsid w:val="002E272D"/>
    <w:rsid w:val="002E2D3B"/>
    <w:rsid w:val="002E3B1B"/>
    <w:rsid w:val="002E3BBC"/>
    <w:rsid w:val="002E58D6"/>
    <w:rsid w:val="002E650C"/>
    <w:rsid w:val="002E7958"/>
    <w:rsid w:val="002F4F86"/>
    <w:rsid w:val="002F7527"/>
    <w:rsid w:val="002F7A2E"/>
    <w:rsid w:val="00300B55"/>
    <w:rsid w:val="00301D29"/>
    <w:rsid w:val="0030230E"/>
    <w:rsid w:val="00303E16"/>
    <w:rsid w:val="003066C4"/>
    <w:rsid w:val="00307FA7"/>
    <w:rsid w:val="00310FA3"/>
    <w:rsid w:val="00311540"/>
    <w:rsid w:val="00314E0F"/>
    <w:rsid w:val="00315FE7"/>
    <w:rsid w:val="003228D1"/>
    <w:rsid w:val="0032374B"/>
    <w:rsid w:val="00327DE1"/>
    <w:rsid w:val="003320E7"/>
    <w:rsid w:val="00332C43"/>
    <w:rsid w:val="00334EBF"/>
    <w:rsid w:val="00340BD0"/>
    <w:rsid w:val="00341F65"/>
    <w:rsid w:val="0034342B"/>
    <w:rsid w:val="0034594F"/>
    <w:rsid w:val="00346858"/>
    <w:rsid w:val="003507C0"/>
    <w:rsid w:val="0035308E"/>
    <w:rsid w:val="00355513"/>
    <w:rsid w:val="0035725C"/>
    <w:rsid w:val="00357439"/>
    <w:rsid w:val="00360BA5"/>
    <w:rsid w:val="00362543"/>
    <w:rsid w:val="003674F5"/>
    <w:rsid w:val="00372C71"/>
    <w:rsid w:val="00372F31"/>
    <w:rsid w:val="00381014"/>
    <w:rsid w:val="003867CB"/>
    <w:rsid w:val="0038721D"/>
    <w:rsid w:val="003948DC"/>
    <w:rsid w:val="003A0C67"/>
    <w:rsid w:val="003A12E2"/>
    <w:rsid w:val="003A2FE9"/>
    <w:rsid w:val="003B0EA2"/>
    <w:rsid w:val="003B15F3"/>
    <w:rsid w:val="003B1BBC"/>
    <w:rsid w:val="003B30EE"/>
    <w:rsid w:val="003B32C9"/>
    <w:rsid w:val="003B3792"/>
    <w:rsid w:val="003B6A17"/>
    <w:rsid w:val="003B7FC5"/>
    <w:rsid w:val="003C7DC6"/>
    <w:rsid w:val="003D0C77"/>
    <w:rsid w:val="003D3F35"/>
    <w:rsid w:val="003E1C5B"/>
    <w:rsid w:val="003E6A54"/>
    <w:rsid w:val="003F169D"/>
    <w:rsid w:val="003F2394"/>
    <w:rsid w:val="003F306E"/>
    <w:rsid w:val="003F39A6"/>
    <w:rsid w:val="003F6C91"/>
    <w:rsid w:val="003F781D"/>
    <w:rsid w:val="00405923"/>
    <w:rsid w:val="00412CD6"/>
    <w:rsid w:val="00413094"/>
    <w:rsid w:val="00414F7E"/>
    <w:rsid w:val="00420E54"/>
    <w:rsid w:val="00422E7B"/>
    <w:rsid w:val="004233CE"/>
    <w:rsid w:val="00425234"/>
    <w:rsid w:val="004269D7"/>
    <w:rsid w:val="00426C23"/>
    <w:rsid w:val="00432A56"/>
    <w:rsid w:val="00433214"/>
    <w:rsid w:val="004333B2"/>
    <w:rsid w:val="004347D8"/>
    <w:rsid w:val="00435439"/>
    <w:rsid w:val="00436567"/>
    <w:rsid w:val="0043725F"/>
    <w:rsid w:val="0044008B"/>
    <w:rsid w:val="004449CD"/>
    <w:rsid w:val="004554D5"/>
    <w:rsid w:val="004557BF"/>
    <w:rsid w:val="00461AD8"/>
    <w:rsid w:val="00471343"/>
    <w:rsid w:val="0047149D"/>
    <w:rsid w:val="004717C0"/>
    <w:rsid w:val="00473ED5"/>
    <w:rsid w:val="0047740C"/>
    <w:rsid w:val="00481161"/>
    <w:rsid w:val="00490705"/>
    <w:rsid w:val="00491D72"/>
    <w:rsid w:val="00496488"/>
    <w:rsid w:val="004967AC"/>
    <w:rsid w:val="00497DBF"/>
    <w:rsid w:val="004A1282"/>
    <w:rsid w:val="004A35AD"/>
    <w:rsid w:val="004A48A3"/>
    <w:rsid w:val="004A5A09"/>
    <w:rsid w:val="004A6BE7"/>
    <w:rsid w:val="004B26E4"/>
    <w:rsid w:val="004B4F1C"/>
    <w:rsid w:val="004C063D"/>
    <w:rsid w:val="004C2349"/>
    <w:rsid w:val="004C48F9"/>
    <w:rsid w:val="004C5366"/>
    <w:rsid w:val="004C7675"/>
    <w:rsid w:val="004D411C"/>
    <w:rsid w:val="004D4CDD"/>
    <w:rsid w:val="004D51A8"/>
    <w:rsid w:val="004D6CB7"/>
    <w:rsid w:val="004E08F8"/>
    <w:rsid w:val="004E1C48"/>
    <w:rsid w:val="004E3DF5"/>
    <w:rsid w:val="004F0ACD"/>
    <w:rsid w:val="004F3660"/>
    <w:rsid w:val="004F6278"/>
    <w:rsid w:val="00511AD9"/>
    <w:rsid w:val="00514BCD"/>
    <w:rsid w:val="00516DF1"/>
    <w:rsid w:val="005218C4"/>
    <w:rsid w:val="00540BBE"/>
    <w:rsid w:val="0054272E"/>
    <w:rsid w:val="00550473"/>
    <w:rsid w:val="00551C64"/>
    <w:rsid w:val="00552709"/>
    <w:rsid w:val="00553A83"/>
    <w:rsid w:val="005543B6"/>
    <w:rsid w:val="00554F8B"/>
    <w:rsid w:val="00557AEF"/>
    <w:rsid w:val="00560546"/>
    <w:rsid w:val="00570494"/>
    <w:rsid w:val="0057166D"/>
    <w:rsid w:val="00572627"/>
    <w:rsid w:val="00573511"/>
    <w:rsid w:val="0057446F"/>
    <w:rsid w:val="005753F7"/>
    <w:rsid w:val="0057718A"/>
    <w:rsid w:val="00577BBC"/>
    <w:rsid w:val="005813FA"/>
    <w:rsid w:val="005815BC"/>
    <w:rsid w:val="00587B9B"/>
    <w:rsid w:val="00590862"/>
    <w:rsid w:val="005A2056"/>
    <w:rsid w:val="005A7114"/>
    <w:rsid w:val="005B3F84"/>
    <w:rsid w:val="005C0373"/>
    <w:rsid w:val="005C1A26"/>
    <w:rsid w:val="005C2C57"/>
    <w:rsid w:val="005C61CD"/>
    <w:rsid w:val="005C63FD"/>
    <w:rsid w:val="005D2A56"/>
    <w:rsid w:val="005D520C"/>
    <w:rsid w:val="005D70E4"/>
    <w:rsid w:val="005E2520"/>
    <w:rsid w:val="005E3E83"/>
    <w:rsid w:val="005F1DC8"/>
    <w:rsid w:val="005F298B"/>
    <w:rsid w:val="005F5259"/>
    <w:rsid w:val="005F5BE0"/>
    <w:rsid w:val="005F631C"/>
    <w:rsid w:val="00602FEB"/>
    <w:rsid w:val="0060445D"/>
    <w:rsid w:val="006044EE"/>
    <w:rsid w:val="00616317"/>
    <w:rsid w:val="0061670B"/>
    <w:rsid w:val="00617253"/>
    <w:rsid w:val="00620095"/>
    <w:rsid w:val="00626F7C"/>
    <w:rsid w:val="00633601"/>
    <w:rsid w:val="006348C7"/>
    <w:rsid w:val="00634EB0"/>
    <w:rsid w:val="00637863"/>
    <w:rsid w:val="0063797F"/>
    <w:rsid w:val="006415E3"/>
    <w:rsid w:val="0066012B"/>
    <w:rsid w:val="006614A0"/>
    <w:rsid w:val="0066233E"/>
    <w:rsid w:val="00666631"/>
    <w:rsid w:val="00671D2A"/>
    <w:rsid w:val="00675737"/>
    <w:rsid w:val="00680A4C"/>
    <w:rsid w:val="00681A5B"/>
    <w:rsid w:val="006839CE"/>
    <w:rsid w:val="00683CEC"/>
    <w:rsid w:val="006932B2"/>
    <w:rsid w:val="00693F63"/>
    <w:rsid w:val="00697B1E"/>
    <w:rsid w:val="006A46D3"/>
    <w:rsid w:val="006B0293"/>
    <w:rsid w:val="006B15D5"/>
    <w:rsid w:val="006B216A"/>
    <w:rsid w:val="006B76C1"/>
    <w:rsid w:val="006C105D"/>
    <w:rsid w:val="006C240F"/>
    <w:rsid w:val="006D18CE"/>
    <w:rsid w:val="006D1C36"/>
    <w:rsid w:val="006D4CB6"/>
    <w:rsid w:val="006D5051"/>
    <w:rsid w:val="006D6535"/>
    <w:rsid w:val="006D7434"/>
    <w:rsid w:val="006E287A"/>
    <w:rsid w:val="006E5EDD"/>
    <w:rsid w:val="006E6670"/>
    <w:rsid w:val="006E6869"/>
    <w:rsid w:val="006E77CE"/>
    <w:rsid w:val="006F1AC1"/>
    <w:rsid w:val="006F48BE"/>
    <w:rsid w:val="007005FB"/>
    <w:rsid w:val="00701D3A"/>
    <w:rsid w:val="0070408D"/>
    <w:rsid w:val="007061F2"/>
    <w:rsid w:val="007079A1"/>
    <w:rsid w:val="0071015C"/>
    <w:rsid w:val="0071239A"/>
    <w:rsid w:val="00716376"/>
    <w:rsid w:val="007177A6"/>
    <w:rsid w:val="00717AAB"/>
    <w:rsid w:val="00721682"/>
    <w:rsid w:val="007247D8"/>
    <w:rsid w:val="00724A45"/>
    <w:rsid w:val="00727946"/>
    <w:rsid w:val="00730B80"/>
    <w:rsid w:val="0073114B"/>
    <w:rsid w:val="00731B19"/>
    <w:rsid w:val="00732263"/>
    <w:rsid w:val="007326C3"/>
    <w:rsid w:val="007328FC"/>
    <w:rsid w:val="00734AA6"/>
    <w:rsid w:val="0073574B"/>
    <w:rsid w:val="00736B1D"/>
    <w:rsid w:val="00737245"/>
    <w:rsid w:val="007407E5"/>
    <w:rsid w:val="00740D98"/>
    <w:rsid w:val="00741C05"/>
    <w:rsid w:val="0074310D"/>
    <w:rsid w:val="00751A2E"/>
    <w:rsid w:val="007520CE"/>
    <w:rsid w:val="0075546C"/>
    <w:rsid w:val="00760F7C"/>
    <w:rsid w:val="00762BC7"/>
    <w:rsid w:val="00766FD3"/>
    <w:rsid w:val="0077062D"/>
    <w:rsid w:val="00773154"/>
    <w:rsid w:val="00774315"/>
    <w:rsid w:val="00774597"/>
    <w:rsid w:val="00774768"/>
    <w:rsid w:val="00775DF3"/>
    <w:rsid w:val="007820E3"/>
    <w:rsid w:val="00782AAE"/>
    <w:rsid w:val="007844B3"/>
    <w:rsid w:val="007849F6"/>
    <w:rsid w:val="0078529E"/>
    <w:rsid w:val="00786C93"/>
    <w:rsid w:val="00790291"/>
    <w:rsid w:val="00793459"/>
    <w:rsid w:val="00795474"/>
    <w:rsid w:val="0079565C"/>
    <w:rsid w:val="00796312"/>
    <w:rsid w:val="007966A4"/>
    <w:rsid w:val="00797AA9"/>
    <w:rsid w:val="007A061A"/>
    <w:rsid w:val="007A3998"/>
    <w:rsid w:val="007B237F"/>
    <w:rsid w:val="007B33FE"/>
    <w:rsid w:val="007B56E5"/>
    <w:rsid w:val="007C177D"/>
    <w:rsid w:val="007C3254"/>
    <w:rsid w:val="007C4B73"/>
    <w:rsid w:val="007D31A3"/>
    <w:rsid w:val="007D39E8"/>
    <w:rsid w:val="007D4D06"/>
    <w:rsid w:val="007E213C"/>
    <w:rsid w:val="007E27F4"/>
    <w:rsid w:val="007E35BD"/>
    <w:rsid w:val="007E3F84"/>
    <w:rsid w:val="007E48AA"/>
    <w:rsid w:val="007E7E5E"/>
    <w:rsid w:val="007F213E"/>
    <w:rsid w:val="007F3F57"/>
    <w:rsid w:val="007F6E93"/>
    <w:rsid w:val="00800303"/>
    <w:rsid w:val="008015DE"/>
    <w:rsid w:val="00803840"/>
    <w:rsid w:val="00805B04"/>
    <w:rsid w:val="00811906"/>
    <w:rsid w:val="00811BAA"/>
    <w:rsid w:val="00816C03"/>
    <w:rsid w:val="008201DB"/>
    <w:rsid w:val="008207B8"/>
    <w:rsid w:val="00821F1F"/>
    <w:rsid w:val="00826300"/>
    <w:rsid w:val="00834CF0"/>
    <w:rsid w:val="00837CA1"/>
    <w:rsid w:val="00844E08"/>
    <w:rsid w:val="008458E3"/>
    <w:rsid w:val="00847831"/>
    <w:rsid w:val="00852489"/>
    <w:rsid w:val="008526A0"/>
    <w:rsid w:val="008556CD"/>
    <w:rsid w:val="00856A4F"/>
    <w:rsid w:val="00856EEC"/>
    <w:rsid w:val="00863F9F"/>
    <w:rsid w:val="00864C94"/>
    <w:rsid w:val="00867A26"/>
    <w:rsid w:val="00872756"/>
    <w:rsid w:val="008734C6"/>
    <w:rsid w:val="00875D16"/>
    <w:rsid w:val="00876F0B"/>
    <w:rsid w:val="008810F2"/>
    <w:rsid w:val="00890B57"/>
    <w:rsid w:val="00892485"/>
    <w:rsid w:val="008927AE"/>
    <w:rsid w:val="00894FE8"/>
    <w:rsid w:val="0089616B"/>
    <w:rsid w:val="0089624B"/>
    <w:rsid w:val="00896E75"/>
    <w:rsid w:val="008A13F9"/>
    <w:rsid w:val="008A1CD4"/>
    <w:rsid w:val="008A4F06"/>
    <w:rsid w:val="008B156F"/>
    <w:rsid w:val="008B4FE0"/>
    <w:rsid w:val="008B5D2B"/>
    <w:rsid w:val="008B7D2A"/>
    <w:rsid w:val="008C1592"/>
    <w:rsid w:val="008C3215"/>
    <w:rsid w:val="008C5112"/>
    <w:rsid w:val="008D15DD"/>
    <w:rsid w:val="008D5075"/>
    <w:rsid w:val="008D667F"/>
    <w:rsid w:val="008E496F"/>
    <w:rsid w:val="008E7128"/>
    <w:rsid w:val="008F04E7"/>
    <w:rsid w:val="008F19C8"/>
    <w:rsid w:val="008F6A5C"/>
    <w:rsid w:val="00902B88"/>
    <w:rsid w:val="0090355B"/>
    <w:rsid w:val="00904572"/>
    <w:rsid w:val="009050D1"/>
    <w:rsid w:val="00905DF7"/>
    <w:rsid w:val="00906660"/>
    <w:rsid w:val="00911CBD"/>
    <w:rsid w:val="00914D7E"/>
    <w:rsid w:val="0092180C"/>
    <w:rsid w:val="0092264A"/>
    <w:rsid w:val="00923E56"/>
    <w:rsid w:val="009263FE"/>
    <w:rsid w:val="00926B77"/>
    <w:rsid w:val="00935226"/>
    <w:rsid w:val="00935AC9"/>
    <w:rsid w:val="00943047"/>
    <w:rsid w:val="009542BC"/>
    <w:rsid w:val="00954967"/>
    <w:rsid w:val="00960CE0"/>
    <w:rsid w:val="00961BB1"/>
    <w:rsid w:val="0096428C"/>
    <w:rsid w:val="009648EB"/>
    <w:rsid w:val="0096591C"/>
    <w:rsid w:val="009679A8"/>
    <w:rsid w:val="0097312C"/>
    <w:rsid w:val="00973F28"/>
    <w:rsid w:val="0097596D"/>
    <w:rsid w:val="0097602E"/>
    <w:rsid w:val="009771CB"/>
    <w:rsid w:val="00977FAA"/>
    <w:rsid w:val="00981865"/>
    <w:rsid w:val="0098249F"/>
    <w:rsid w:val="00983809"/>
    <w:rsid w:val="00987711"/>
    <w:rsid w:val="0098799D"/>
    <w:rsid w:val="00991DEE"/>
    <w:rsid w:val="00992D54"/>
    <w:rsid w:val="00993750"/>
    <w:rsid w:val="00994066"/>
    <w:rsid w:val="00994162"/>
    <w:rsid w:val="00996601"/>
    <w:rsid w:val="00997C4C"/>
    <w:rsid w:val="009A34AF"/>
    <w:rsid w:val="009A4664"/>
    <w:rsid w:val="009A6EF7"/>
    <w:rsid w:val="009B4548"/>
    <w:rsid w:val="009B56DC"/>
    <w:rsid w:val="009B7F5F"/>
    <w:rsid w:val="009C02B3"/>
    <w:rsid w:val="009C5DB6"/>
    <w:rsid w:val="009C79EE"/>
    <w:rsid w:val="009D08BB"/>
    <w:rsid w:val="009E1BF1"/>
    <w:rsid w:val="009F3475"/>
    <w:rsid w:val="009F4907"/>
    <w:rsid w:val="009F57DA"/>
    <w:rsid w:val="009F7D66"/>
    <w:rsid w:val="00A03D37"/>
    <w:rsid w:val="00A06C91"/>
    <w:rsid w:val="00A07997"/>
    <w:rsid w:val="00A23CBB"/>
    <w:rsid w:val="00A255F1"/>
    <w:rsid w:val="00A25783"/>
    <w:rsid w:val="00A25BE9"/>
    <w:rsid w:val="00A263B0"/>
    <w:rsid w:val="00A27F6A"/>
    <w:rsid w:val="00A327FA"/>
    <w:rsid w:val="00A3464C"/>
    <w:rsid w:val="00A401F7"/>
    <w:rsid w:val="00A4352C"/>
    <w:rsid w:val="00A43FF5"/>
    <w:rsid w:val="00A518EE"/>
    <w:rsid w:val="00A54C3E"/>
    <w:rsid w:val="00A556E2"/>
    <w:rsid w:val="00A6149D"/>
    <w:rsid w:val="00A63B00"/>
    <w:rsid w:val="00A6564E"/>
    <w:rsid w:val="00A66E02"/>
    <w:rsid w:val="00A70E4C"/>
    <w:rsid w:val="00A73DBF"/>
    <w:rsid w:val="00A75427"/>
    <w:rsid w:val="00A804EA"/>
    <w:rsid w:val="00A806C4"/>
    <w:rsid w:val="00A82400"/>
    <w:rsid w:val="00A85031"/>
    <w:rsid w:val="00A875AE"/>
    <w:rsid w:val="00A93987"/>
    <w:rsid w:val="00A9434C"/>
    <w:rsid w:val="00AA37AB"/>
    <w:rsid w:val="00AA44D7"/>
    <w:rsid w:val="00AB14AE"/>
    <w:rsid w:val="00AB55B7"/>
    <w:rsid w:val="00AB5A4F"/>
    <w:rsid w:val="00AB7552"/>
    <w:rsid w:val="00AC05B5"/>
    <w:rsid w:val="00AC55C1"/>
    <w:rsid w:val="00AC5745"/>
    <w:rsid w:val="00AC7A4B"/>
    <w:rsid w:val="00AD0029"/>
    <w:rsid w:val="00AD1DE8"/>
    <w:rsid w:val="00AD260F"/>
    <w:rsid w:val="00AD2983"/>
    <w:rsid w:val="00AD2C71"/>
    <w:rsid w:val="00AD71C8"/>
    <w:rsid w:val="00AD73FD"/>
    <w:rsid w:val="00AE4F1F"/>
    <w:rsid w:val="00AE7AD2"/>
    <w:rsid w:val="00AF26CC"/>
    <w:rsid w:val="00AF44FA"/>
    <w:rsid w:val="00AF4F02"/>
    <w:rsid w:val="00AF600E"/>
    <w:rsid w:val="00AF73AF"/>
    <w:rsid w:val="00AF7F42"/>
    <w:rsid w:val="00B020F4"/>
    <w:rsid w:val="00B0502C"/>
    <w:rsid w:val="00B050B7"/>
    <w:rsid w:val="00B0767D"/>
    <w:rsid w:val="00B12D7E"/>
    <w:rsid w:val="00B139E9"/>
    <w:rsid w:val="00B13E7F"/>
    <w:rsid w:val="00B20996"/>
    <w:rsid w:val="00B254BF"/>
    <w:rsid w:val="00B264FF"/>
    <w:rsid w:val="00B301F1"/>
    <w:rsid w:val="00B32D97"/>
    <w:rsid w:val="00B37FDE"/>
    <w:rsid w:val="00B40E29"/>
    <w:rsid w:val="00B41EF0"/>
    <w:rsid w:val="00B423ED"/>
    <w:rsid w:val="00B43CD6"/>
    <w:rsid w:val="00B523FC"/>
    <w:rsid w:val="00B5485A"/>
    <w:rsid w:val="00B5568A"/>
    <w:rsid w:val="00B55CA7"/>
    <w:rsid w:val="00B560C6"/>
    <w:rsid w:val="00B61CC5"/>
    <w:rsid w:val="00B6459F"/>
    <w:rsid w:val="00B65F26"/>
    <w:rsid w:val="00B66066"/>
    <w:rsid w:val="00B6722E"/>
    <w:rsid w:val="00B67724"/>
    <w:rsid w:val="00B706B2"/>
    <w:rsid w:val="00B7159B"/>
    <w:rsid w:val="00B72E63"/>
    <w:rsid w:val="00B76113"/>
    <w:rsid w:val="00B82300"/>
    <w:rsid w:val="00B87BC6"/>
    <w:rsid w:val="00B95752"/>
    <w:rsid w:val="00B95A03"/>
    <w:rsid w:val="00B95E3D"/>
    <w:rsid w:val="00BA2F38"/>
    <w:rsid w:val="00BA3F4B"/>
    <w:rsid w:val="00BA4B7B"/>
    <w:rsid w:val="00BA4D41"/>
    <w:rsid w:val="00BA7DE0"/>
    <w:rsid w:val="00BB2C82"/>
    <w:rsid w:val="00BB645C"/>
    <w:rsid w:val="00BC0745"/>
    <w:rsid w:val="00BC108E"/>
    <w:rsid w:val="00BC5A69"/>
    <w:rsid w:val="00BC614A"/>
    <w:rsid w:val="00BD515B"/>
    <w:rsid w:val="00BD533A"/>
    <w:rsid w:val="00BD5F1D"/>
    <w:rsid w:val="00BD6BF1"/>
    <w:rsid w:val="00BD70E2"/>
    <w:rsid w:val="00BD789D"/>
    <w:rsid w:val="00BE4B6D"/>
    <w:rsid w:val="00BE50F5"/>
    <w:rsid w:val="00BF40ED"/>
    <w:rsid w:val="00BF6B71"/>
    <w:rsid w:val="00BF7159"/>
    <w:rsid w:val="00C020AE"/>
    <w:rsid w:val="00C02DD9"/>
    <w:rsid w:val="00C13C12"/>
    <w:rsid w:val="00C1402D"/>
    <w:rsid w:val="00C1513C"/>
    <w:rsid w:val="00C16365"/>
    <w:rsid w:val="00C1754B"/>
    <w:rsid w:val="00C252E9"/>
    <w:rsid w:val="00C36BF4"/>
    <w:rsid w:val="00C47C5E"/>
    <w:rsid w:val="00C5295E"/>
    <w:rsid w:val="00C578A6"/>
    <w:rsid w:val="00C622F1"/>
    <w:rsid w:val="00C6264F"/>
    <w:rsid w:val="00C6386B"/>
    <w:rsid w:val="00C7294F"/>
    <w:rsid w:val="00C80BBE"/>
    <w:rsid w:val="00C80E0E"/>
    <w:rsid w:val="00C83004"/>
    <w:rsid w:val="00C8453D"/>
    <w:rsid w:val="00C90E24"/>
    <w:rsid w:val="00C941A7"/>
    <w:rsid w:val="00C955F5"/>
    <w:rsid w:val="00C95751"/>
    <w:rsid w:val="00CA0E32"/>
    <w:rsid w:val="00CA4F4C"/>
    <w:rsid w:val="00CB086D"/>
    <w:rsid w:val="00CB2003"/>
    <w:rsid w:val="00CB2B18"/>
    <w:rsid w:val="00CB347B"/>
    <w:rsid w:val="00CB3865"/>
    <w:rsid w:val="00CC045C"/>
    <w:rsid w:val="00CC3B99"/>
    <w:rsid w:val="00CC4243"/>
    <w:rsid w:val="00CC53F1"/>
    <w:rsid w:val="00CC6C38"/>
    <w:rsid w:val="00CC745D"/>
    <w:rsid w:val="00CC7DD4"/>
    <w:rsid w:val="00CD55F7"/>
    <w:rsid w:val="00CD6306"/>
    <w:rsid w:val="00CD6805"/>
    <w:rsid w:val="00CD693F"/>
    <w:rsid w:val="00CD6BD7"/>
    <w:rsid w:val="00CE27DE"/>
    <w:rsid w:val="00CE3D72"/>
    <w:rsid w:val="00CE4E07"/>
    <w:rsid w:val="00CE6093"/>
    <w:rsid w:val="00CF09AA"/>
    <w:rsid w:val="00CF2C1F"/>
    <w:rsid w:val="00D04915"/>
    <w:rsid w:val="00D04FF8"/>
    <w:rsid w:val="00D06C82"/>
    <w:rsid w:val="00D1518B"/>
    <w:rsid w:val="00D152E3"/>
    <w:rsid w:val="00D152F5"/>
    <w:rsid w:val="00D16D3F"/>
    <w:rsid w:val="00D16DC3"/>
    <w:rsid w:val="00D22EFE"/>
    <w:rsid w:val="00D232D7"/>
    <w:rsid w:val="00D241D0"/>
    <w:rsid w:val="00D27C54"/>
    <w:rsid w:val="00D317B4"/>
    <w:rsid w:val="00D37F92"/>
    <w:rsid w:val="00D400CF"/>
    <w:rsid w:val="00D4623F"/>
    <w:rsid w:val="00D53C50"/>
    <w:rsid w:val="00D53E81"/>
    <w:rsid w:val="00D62C4B"/>
    <w:rsid w:val="00D638D7"/>
    <w:rsid w:val="00D70BD5"/>
    <w:rsid w:val="00D73491"/>
    <w:rsid w:val="00D75018"/>
    <w:rsid w:val="00D76C7D"/>
    <w:rsid w:val="00D82200"/>
    <w:rsid w:val="00D84B8F"/>
    <w:rsid w:val="00D8520D"/>
    <w:rsid w:val="00D93755"/>
    <w:rsid w:val="00D963F7"/>
    <w:rsid w:val="00DA3152"/>
    <w:rsid w:val="00DA5362"/>
    <w:rsid w:val="00DB2764"/>
    <w:rsid w:val="00DB3027"/>
    <w:rsid w:val="00DC2D6E"/>
    <w:rsid w:val="00DC3F63"/>
    <w:rsid w:val="00DD01EC"/>
    <w:rsid w:val="00DD17B8"/>
    <w:rsid w:val="00DD2166"/>
    <w:rsid w:val="00DD4854"/>
    <w:rsid w:val="00DE0D93"/>
    <w:rsid w:val="00DE2088"/>
    <w:rsid w:val="00DE7BE8"/>
    <w:rsid w:val="00DF1A6A"/>
    <w:rsid w:val="00DF30AE"/>
    <w:rsid w:val="00DF719C"/>
    <w:rsid w:val="00E01931"/>
    <w:rsid w:val="00E03B41"/>
    <w:rsid w:val="00E066F1"/>
    <w:rsid w:val="00E06CF7"/>
    <w:rsid w:val="00E100B3"/>
    <w:rsid w:val="00E12CDE"/>
    <w:rsid w:val="00E1345A"/>
    <w:rsid w:val="00E13C09"/>
    <w:rsid w:val="00E1461A"/>
    <w:rsid w:val="00E162AB"/>
    <w:rsid w:val="00E22BB1"/>
    <w:rsid w:val="00E27A94"/>
    <w:rsid w:val="00E322CC"/>
    <w:rsid w:val="00E34897"/>
    <w:rsid w:val="00E36DFF"/>
    <w:rsid w:val="00E42A06"/>
    <w:rsid w:val="00E44375"/>
    <w:rsid w:val="00E50685"/>
    <w:rsid w:val="00E53014"/>
    <w:rsid w:val="00E541F1"/>
    <w:rsid w:val="00E56744"/>
    <w:rsid w:val="00E6041D"/>
    <w:rsid w:val="00E60F24"/>
    <w:rsid w:val="00E63255"/>
    <w:rsid w:val="00E649AA"/>
    <w:rsid w:val="00E7270C"/>
    <w:rsid w:val="00E7284C"/>
    <w:rsid w:val="00E72870"/>
    <w:rsid w:val="00E75557"/>
    <w:rsid w:val="00E765D3"/>
    <w:rsid w:val="00E77C0F"/>
    <w:rsid w:val="00E840B0"/>
    <w:rsid w:val="00E91CF1"/>
    <w:rsid w:val="00E91E31"/>
    <w:rsid w:val="00E93220"/>
    <w:rsid w:val="00E958D3"/>
    <w:rsid w:val="00EA133C"/>
    <w:rsid w:val="00EA16C4"/>
    <w:rsid w:val="00EA23E1"/>
    <w:rsid w:val="00EA3163"/>
    <w:rsid w:val="00EB046B"/>
    <w:rsid w:val="00EB0A5A"/>
    <w:rsid w:val="00EB3F73"/>
    <w:rsid w:val="00EB578E"/>
    <w:rsid w:val="00EB75C1"/>
    <w:rsid w:val="00EC49F1"/>
    <w:rsid w:val="00EC511E"/>
    <w:rsid w:val="00ED1FFA"/>
    <w:rsid w:val="00ED2E40"/>
    <w:rsid w:val="00ED5B6B"/>
    <w:rsid w:val="00ED614D"/>
    <w:rsid w:val="00ED6FCB"/>
    <w:rsid w:val="00ED7ADB"/>
    <w:rsid w:val="00EE1B55"/>
    <w:rsid w:val="00EE2176"/>
    <w:rsid w:val="00EE23F4"/>
    <w:rsid w:val="00EE50D1"/>
    <w:rsid w:val="00EF4100"/>
    <w:rsid w:val="00EF7B06"/>
    <w:rsid w:val="00F00480"/>
    <w:rsid w:val="00F030C5"/>
    <w:rsid w:val="00F05485"/>
    <w:rsid w:val="00F062FE"/>
    <w:rsid w:val="00F109AC"/>
    <w:rsid w:val="00F11E20"/>
    <w:rsid w:val="00F12267"/>
    <w:rsid w:val="00F13AD9"/>
    <w:rsid w:val="00F14532"/>
    <w:rsid w:val="00F2128F"/>
    <w:rsid w:val="00F243B6"/>
    <w:rsid w:val="00F30E15"/>
    <w:rsid w:val="00F31748"/>
    <w:rsid w:val="00F35441"/>
    <w:rsid w:val="00F3551F"/>
    <w:rsid w:val="00F35D59"/>
    <w:rsid w:val="00F422C4"/>
    <w:rsid w:val="00F45492"/>
    <w:rsid w:val="00F45EE6"/>
    <w:rsid w:val="00F46AC0"/>
    <w:rsid w:val="00F477C3"/>
    <w:rsid w:val="00F5225E"/>
    <w:rsid w:val="00F5445B"/>
    <w:rsid w:val="00F55DA7"/>
    <w:rsid w:val="00F60C64"/>
    <w:rsid w:val="00F64A15"/>
    <w:rsid w:val="00F654A0"/>
    <w:rsid w:val="00F67753"/>
    <w:rsid w:val="00F700F7"/>
    <w:rsid w:val="00F71010"/>
    <w:rsid w:val="00F733DD"/>
    <w:rsid w:val="00F74786"/>
    <w:rsid w:val="00F8340B"/>
    <w:rsid w:val="00F83A9F"/>
    <w:rsid w:val="00F86170"/>
    <w:rsid w:val="00F87C43"/>
    <w:rsid w:val="00F942CD"/>
    <w:rsid w:val="00F951F1"/>
    <w:rsid w:val="00F96D0A"/>
    <w:rsid w:val="00FA4C02"/>
    <w:rsid w:val="00FA7EAB"/>
    <w:rsid w:val="00FB0CF8"/>
    <w:rsid w:val="00FB225A"/>
    <w:rsid w:val="00FB2686"/>
    <w:rsid w:val="00FC1AD9"/>
    <w:rsid w:val="00FC2C28"/>
    <w:rsid w:val="00FD4E10"/>
    <w:rsid w:val="00FD5509"/>
    <w:rsid w:val="00FE3CB5"/>
    <w:rsid w:val="00FE4C27"/>
    <w:rsid w:val="00FF0A9A"/>
    <w:rsid w:val="00FF1C99"/>
    <w:rsid w:val="00FF73DE"/>
    <w:rsid w:val="029119C5"/>
    <w:rsid w:val="03E0258E"/>
    <w:rsid w:val="04392C7B"/>
    <w:rsid w:val="068D56CD"/>
    <w:rsid w:val="09573962"/>
    <w:rsid w:val="09DD70BF"/>
    <w:rsid w:val="10A61F82"/>
    <w:rsid w:val="10C64A93"/>
    <w:rsid w:val="11185797"/>
    <w:rsid w:val="12213A4B"/>
    <w:rsid w:val="13101155"/>
    <w:rsid w:val="148000B2"/>
    <w:rsid w:val="1AE16AA7"/>
    <w:rsid w:val="1BD9703F"/>
    <w:rsid w:val="1C8800DD"/>
    <w:rsid w:val="1CDE306A"/>
    <w:rsid w:val="21C57FF4"/>
    <w:rsid w:val="22253891"/>
    <w:rsid w:val="22A57662"/>
    <w:rsid w:val="23485F72"/>
    <w:rsid w:val="247E5FEF"/>
    <w:rsid w:val="24821172"/>
    <w:rsid w:val="290A60E3"/>
    <w:rsid w:val="29120F71"/>
    <w:rsid w:val="2A282CB7"/>
    <w:rsid w:val="2CC82306"/>
    <w:rsid w:val="2D894942"/>
    <w:rsid w:val="2DF26512"/>
    <w:rsid w:val="303E6135"/>
    <w:rsid w:val="331B77E7"/>
    <w:rsid w:val="3492284C"/>
    <w:rsid w:val="355B7D16"/>
    <w:rsid w:val="36561233"/>
    <w:rsid w:val="36B934D6"/>
    <w:rsid w:val="373C3AAF"/>
    <w:rsid w:val="383E6B55"/>
    <w:rsid w:val="3BAB67F1"/>
    <w:rsid w:val="3BFF1AFF"/>
    <w:rsid w:val="3E317495"/>
    <w:rsid w:val="3E9A1443"/>
    <w:rsid w:val="43372AD6"/>
    <w:rsid w:val="436B6B55"/>
    <w:rsid w:val="43F25407"/>
    <w:rsid w:val="44F3082D"/>
    <w:rsid w:val="451A33A2"/>
    <w:rsid w:val="451A3F70"/>
    <w:rsid w:val="48E32CA1"/>
    <w:rsid w:val="4C7D380D"/>
    <w:rsid w:val="4FBF6DE2"/>
    <w:rsid w:val="51155195"/>
    <w:rsid w:val="51CD4943"/>
    <w:rsid w:val="51DD29DF"/>
    <w:rsid w:val="527D3462"/>
    <w:rsid w:val="540248E3"/>
    <w:rsid w:val="57D360A7"/>
    <w:rsid w:val="58F63101"/>
    <w:rsid w:val="591C0DC3"/>
    <w:rsid w:val="5DA85633"/>
    <w:rsid w:val="5DFE6042"/>
    <w:rsid w:val="603E7BF6"/>
    <w:rsid w:val="61EB3135"/>
    <w:rsid w:val="638C4A5F"/>
    <w:rsid w:val="63FB6398"/>
    <w:rsid w:val="64F40B2E"/>
    <w:rsid w:val="67D84FF3"/>
    <w:rsid w:val="68326D82"/>
    <w:rsid w:val="69FE01FB"/>
    <w:rsid w:val="6AFF5C1B"/>
    <w:rsid w:val="6C185791"/>
    <w:rsid w:val="6C2A6602"/>
    <w:rsid w:val="6C4B23BA"/>
    <w:rsid w:val="6F93311C"/>
    <w:rsid w:val="705B2B64"/>
    <w:rsid w:val="70D43728"/>
    <w:rsid w:val="712170AA"/>
    <w:rsid w:val="713C56D6"/>
    <w:rsid w:val="71454F74"/>
    <w:rsid w:val="72F90EAF"/>
    <w:rsid w:val="73D51B16"/>
    <w:rsid w:val="749D155F"/>
    <w:rsid w:val="77253507"/>
    <w:rsid w:val="7A430EA6"/>
    <w:rsid w:val="7AFC2853"/>
    <w:rsid w:val="7BE63AD5"/>
    <w:rsid w:val="7BF3536A"/>
    <w:rsid w:val="7CFA011A"/>
    <w:rsid w:val="7D3C66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qFormat/>
    <w:uiPriority w:val="0"/>
    <w:rPr>
      <w:rFonts w:ascii="宋体"/>
      <w:sz w:val="18"/>
      <w:szCs w:val="18"/>
    </w:rPr>
  </w:style>
  <w:style w:type="paragraph" w:styleId="3">
    <w:name w:val="annotation text"/>
    <w:basedOn w:val="1"/>
    <w:link w:val="14"/>
    <w:uiPriority w:val="0"/>
    <w:pPr>
      <w:jc w:val="left"/>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character" w:styleId="10">
    <w:name w:val="page number"/>
    <w:basedOn w:val="9"/>
    <w:uiPriority w:val="0"/>
  </w:style>
  <w:style w:type="character" w:styleId="11">
    <w:name w:val="annotation reference"/>
    <w:uiPriority w:val="0"/>
    <w:rPr>
      <w:sz w:val="21"/>
      <w:szCs w:val="21"/>
    </w:rPr>
  </w:style>
  <w:style w:type="character" w:customStyle="1" w:styleId="12">
    <w:name w:val="页眉 字符"/>
    <w:link w:val="6"/>
    <w:uiPriority w:val="0"/>
    <w:rPr>
      <w:kern w:val="2"/>
      <w:sz w:val="18"/>
      <w:szCs w:val="18"/>
    </w:rPr>
  </w:style>
  <w:style w:type="character" w:customStyle="1" w:styleId="13">
    <w:name w:val="文档结构图 字符"/>
    <w:link w:val="2"/>
    <w:qFormat/>
    <w:uiPriority w:val="0"/>
    <w:rPr>
      <w:rFonts w:ascii="宋体"/>
      <w:kern w:val="2"/>
      <w:sz w:val="18"/>
      <w:szCs w:val="18"/>
    </w:rPr>
  </w:style>
  <w:style w:type="character" w:customStyle="1" w:styleId="14">
    <w:name w:val="批注文字 字符"/>
    <w:link w:val="3"/>
    <w:uiPriority w:val="0"/>
    <w:rPr>
      <w:kern w:val="2"/>
      <w:sz w:val="21"/>
      <w:szCs w:val="24"/>
    </w:rPr>
  </w:style>
  <w:style w:type="character" w:customStyle="1" w:styleId="15">
    <w:name w:val="批注主题 字符"/>
    <w:link w:val="7"/>
    <w:uiPriority w:val="0"/>
    <w:rPr>
      <w:b/>
      <w:bCs/>
      <w:kern w:val="2"/>
      <w:sz w:val="21"/>
      <w:szCs w:val="24"/>
    </w:rPr>
  </w:style>
  <w:style w:type="paragraph" w:customStyle="1" w:styleId="16">
    <w:name w:val="Char1"/>
    <w:basedOn w:val="1"/>
    <w:uiPriority w:val="0"/>
    <w:rPr>
      <w:szCs w:val="20"/>
    </w:rPr>
  </w:style>
  <w:style w:type="paragraph" w:customStyle="1" w:styleId="17">
    <w:name w:val="1"/>
    <w:basedOn w:val="1"/>
    <w:qFormat/>
    <w:uiPriority w:val="0"/>
    <w:rPr>
      <w:szCs w:val="20"/>
    </w:rPr>
  </w:style>
  <w:style w:type="paragraph" w:styleId="1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GIF"/><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4628</Words>
  <Characters>4804</Characters>
  <Lines>34</Lines>
  <Paragraphs>9</Paragraphs>
  <TotalTime>32</TotalTime>
  <ScaleCrop>false</ScaleCrop>
  <LinksUpToDate>false</LinksUpToDate>
  <CharactersWithSpaces>4806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2017-03-30T03:48:00Z</dcterms:created>
  <dc:creator>dell</dc:creator>
  <cp:lastModifiedBy>小孩</cp:lastModifiedBy>
  <cp:lastPrinted>2014-10-16T02:38:00Z</cp:lastPrinted>
  <dcterms:modified xsi:type="dcterms:W3CDTF">2023-05-22T09:13:33Z</dcterms:modified>
  <dc:title>西湖区2011年政府信息公开情况汇报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3F283CB6CC4D446EA576F5E61C642AD1_12</vt:lpwstr>
  </property>
</Properties>
</file>