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表06：</w:t>
      </w:r>
    </w:p>
    <w:tbl>
      <w:tblPr>
        <w:tblStyle w:val="5"/>
        <w:tblW w:w="86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941"/>
        <w:gridCol w:w="869"/>
        <w:gridCol w:w="941"/>
        <w:gridCol w:w="941"/>
        <w:gridCol w:w="869"/>
        <w:gridCol w:w="677"/>
        <w:gridCol w:w="751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8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2017年收入预算总表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17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83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上年结转</w:t>
            </w:r>
          </w:p>
        </w:tc>
        <w:tc>
          <w:tcPr>
            <w:tcW w:w="272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财政拨款</w:t>
            </w:r>
          </w:p>
        </w:tc>
        <w:tc>
          <w:tcPr>
            <w:tcW w:w="64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专户资金</w:t>
            </w:r>
          </w:p>
        </w:tc>
        <w:tc>
          <w:tcPr>
            <w:tcW w:w="72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事业收入(不含专户资金)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1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一般公共预算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政府性基金预算</w:t>
            </w:r>
          </w:p>
        </w:tc>
        <w:tc>
          <w:tcPr>
            <w:tcW w:w="64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西溪街道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西溪街道(本级)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13669.89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13669.89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13669.89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西溪街道社会事务管理服务中心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465.51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465.51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465.51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西溪街道综合服务中心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138.78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138.78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138.78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A4BDD"/>
    <w:rsid w:val="2E1A4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2018-07-30T03:14:00Z</dcterms:created>
  <dc:creator>锦衣夜行</dc:creator>
  <cp:lastModifiedBy>锦衣夜行</cp:lastModifiedBy>
  <dcterms:modified xsi:type="dcterms:W3CDTF">2018-07-30T03:15:02Z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