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5" w:lineRule="atLeast"/>
        <w:ind w:left="0" w:right="0" w:firstLine="0"/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西湖区关于支持瞪羚企业发展的扶持意见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5" w:lineRule="atLeast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（试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  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行）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为支持有较强创新能力、较高成长性、较大发展潜力的瞪羚企业，特制定本扶持意见。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一、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认定条件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    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（一）瞪羚企业指从事信息技术、生物医药、航空航天、新能源、新材料、资源环境、高新技术改造的传统产业、高技术服务业等高新技术产业，具有增长速度快、发展前景好、科技含量高的成长型企业。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（二）财政级次在西湖区（含新迁入企业）、主营业务收入达到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2000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万元且从事高新技术产业的法人企业，提交认定申请年度的前两年主营业务收入增长达到以下标准之一：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）主营业务收入在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5000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万元以下的，年平均增速不低于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25%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2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）主营业务收入在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5000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万元及以上、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亿元以下的，年平均增速不低于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20%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3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）主营业务收入在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亿元及以上的，年平均增速不低于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15%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4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）营业收入增长指标未完全达到认定标准，但列入区上市辅导梯队的后备企业；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（三）瞪羚企业由企业申请，经镇街、平台初审，区发改经信局会同财政局等部门复审后提出建议名单，报区政府常务会议批准。瞪羚企业每年认定一次，认定当年有效。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二、支持政策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（一）支持企业技术创新。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支持申报、承担国家、省、市重大课题和项目，按规定给予资金配套。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对特别重大的创新项目，可另行研究确定。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（二）保障企业发展空间。经认定的瞪羚企业，租用楼宇、厂房用于生产经营的，按照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元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/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天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·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平方的标准，给予生产经营用房房租补贴，单个企业补贴面积原则上不超过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2000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平方米。企业享受租金补贴期内办公用房不得转租；对企业规模较大、税收贡献大、行业竞争力强、有明确上市计划，且建设资金有保障的瞪羚企业，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创新产业用地予以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优先考虑。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（三）支持企业融资发展。企业获得银行贷款按照同期银行贷款基准利率给予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50%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贴息补助，最高不超过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50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万元。西湖区中小企业信用担保中心、区科技金融风险池优先向符合条件的企业担保。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（四）支持企业快速成长。以企业入选年度上一年对区财政贡献为基数，给予企业评定年度对区财政贡献新增部分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50%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的资助</w:t>
      </w:r>
      <w:r>
        <w:rPr>
          <w:rStyle w:val="5"/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专项资助企业用于研发创新、扩大投资和绿色发展，可按以下方式予以兑付：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）支持企业研发投入。以企业当年实际研发投入最高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30%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予以资助。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2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）鼓励企业扩大投资。对企业技术改造等项目，可按其当年实际设备投资额给予最高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20%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的资助。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3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）鼓励企业绿色发展。对企业用于节能减排等绿色发展方面的投入，可按其当年实际发生额给予最高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50%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的资助。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</w:rPr>
        <w:t>三、附则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（一）享受政策的企业，注册地、纳税地必须在西湖区内。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（二）同一项目、标准获得多项资助（奖励）的，按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“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就高、不重复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”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原则进行资助（奖励）。同一项目、标准在低等次已作资助（奖励）的，晋升到高等次时补足差额部分。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（三）享受政策的企业迁出西湖区或注销的，须进行财政、税收清算，所享受的资助（奖励）全额退还。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（四）享受政策的企业应无违法违纪行为，信用记录良好。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（五）本政策支持总额以当年度财政预算为限。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（六）新企业从入区年度起，一般三年内对其全部资助（奖励）额度原则上以其三年对区财政贡献总额为限，以后每年对其财政资助（奖励）原则上以其当年对区财政贡献总额为限，特殊情况一事一议。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        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（七）本意见自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2019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</w:rPr>
        <w:t>1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日起施行，试行一年。具体由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区发改经信局、财政局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  <w:t>负责解释。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Fraktur-Schmu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ktur-Schmuck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2D4C"/>
    <w:rsid w:val="11D30131"/>
    <w:rsid w:val="16EA57D6"/>
    <w:rsid w:val="46CE3D26"/>
    <w:rsid w:val="767E1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XXZXGCY706</dc:creator>
  <cp:lastModifiedBy>Freya1422506713</cp:lastModifiedBy>
  <dcterms:modified xsi:type="dcterms:W3CDTF">2019-07-10T02:02:33Z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