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西湖区关于进一步完善扶持建筑业提升发展的</w:t>
      </w:r>
    </w:p>
    <w:p>
      <w:pPr>
        <w:pStyle w:val="5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若干意见（试行）</w:t>
      </w:r>
    </w:p>
    <w:bookmarkEnd w:id="0"/>
    <w:p>
      <w:pPr>
        <w:spacing w:line="420" w:lineRule="exact"/>
        <w:jc w:val="left"/>
        <w:rPr>
          <w:rFonts w:eastAsia="仿宋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为深入贯彻落实省、市政府关于促进建筑业持续健康发展的精神和要求，进一步做大做强我区建筑业，不断促进提升我区建筑业改革发展和转型升级，根据当前我区建筑业发展面临的新形势、新任务和新要求，结合我区实际，特提出如下意见：</w:t>
      </w:r>
    </w:p>
    <w:p>
      <w:pPr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一、支持建筑企业资质升级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对我区取得特级施工总承包企业，取得特级资质当年给予一次性奖励</w:t>
      </w:r>
      <w:r>
        <w:rPr>
          <w:rFonts w:eastAsia="仿宋_GB2312"/>
          <w:color w:val="000000"/>
          <w:sz w:val="24"/>
          <w:szCs w:val="24"/>
        </w:rPr>
        <w:t>40</w:t>
      </w:r>
      <w:r>
        <w:rPr>
          <w:rFonts w:hint="eastAsia" w:eastAsia="仿宋_GB2312" w:cs="仿宋_GB2312"/>
          <w:color w:val="000000"/>
          <w:sz w:val="24"/>
          <w:szCs w:val="24"/>
        </w:rPr>
        <w:t>万元；对我区施工总承包二级企业资质晋升为总承包一级资质的，当年给予一次性奖励</w:t>
      </w:r>
      <w:r>
        <w:rPr>
          <w:rFonts w:eastAsia="仿宋_GB2312"/>
          <w:color w:val="00000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sz w:val="24"/>
          <w:szCs w:val="24"/>
        </w:rPr>
        <w:t>万元；对专业施工承包二级企业资质晋升为一级专业施工承包资质的，给予一次性奖励</w:t>
      </w:r>
      <w:r>
        <w:rPr>
          <w:rFonts w:eastAsia="仿宋_GB2312"/>
          <w:color w:val="00000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sz w:val="24"/>
          <w:szCs w:val="24"/>
        </w:rPr>
        <w:t>万元。</w:t>
      </w:r>
    </w:p>
    <w:p>
      <w:pPr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二、支持成立、引进优质建筑业企业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对新设立或转入我区的建筑企业，引进第一年，以其缴纳税额超过</w:t>
      </w:r>
      <w:r>
        <w:rPr>
          <w:rFonts w:eastAsia="仿宋_GB2312"/>
          <w:color w:val="000000"/>
          <w:sz w:val="24"/>
          <w:szCs w:val="24"/>
        </w:rPr>
        <w:t>500</w:t>
      </w:r>
      <w:r>
        <w:rPr>
          <w:rFonts w:hint="eastAsia" w:eastAsia="仿宋_GB2312" w:cs="仿宋_GB2312"/>
          <w:color w:val="000000"/>
          <w:sz w:val="24"/>
          <w:szCs w:val="24"/>
        </w:rPr>
        <w:t>万元部分的区财政贡献的</w:t>
      </w:r>
      <w:r>
        <w:rPr>
          <w:rFonts w:eastAsia="仿宋_GB2312"/>
          <w:color w:val="000000"/>
          <w:sz w:val="24"/>
          <w:szCs w:val="24"/>
        </w:rPr>
        <w:t>40%</w:t>
      </w:r>
      <w:r>
        <w:rPr>
          <w:rFonts w:hint="eastAsia" w:eastAsia="仿宋_GB2312" w:cs="仿宋_GB2312"/>
          <w:color w:val="000000"/>
          <w:sz w:val="24"/>
          <w:szCs w:val="24"/>
        </w:rPr>
        <w:t>给予资助。</w:t>
      </w:r>
      <w:r>
        <w:rPr>
          <w:rFonts w:hint="eastAsia" w:eastAsia="仿宋_GB2312" w:cs="仿宋_GB2312"/>
          <w:color w:val="000000"/>
          <w:sz w:val="24"/>
          <w:szCs w:val="24"/>
          <w:shd w:val="clear" w:color="auto" w:fill="FFFFFF"/>
        </w:rPr>
        <w:t>用于支持企业研发投入、扩大投资、绿色发展等，具体可按以下方式予以兑付：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b/>
          <w:bCs/>
          <w:color w:val="000000"/>
          <w:shd w:val="clear" w:color="auto" w:fill="FFFFFF"/>
        </w:rPr>
        <w:t>、支持企业研发投入。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以企业当年实际研发投入最高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30%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予以资助。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b/>
          <w:bCs/>
          <w:color w:val="000000"/>
          <w:shd w:val="clear" w:color="auto" w:fill="FFFFFF"/>
        </w:rPr>
        <w:t>、支持企业扩大生产。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对企业实施产业化、智能化等技术改造，可按其投资额给予最高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20%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的资助。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  <w:t>3</w:t>
      </w:r>
      <w:r>
        <w:rPr>
          <w:rFonts w:hint="eastAsia" w:ascii="Times New Roman" w:hAnsi="Times New Roman" w:eastAsia="仿宋_GB2312" w:cs="仿宋_GB2312"/>
          <w:b/>
          <w:bCs/>
          <w:color w:val="000000"/>
          <w:shd w:val="clear" w:color="auto" w:fill="FFFFFF"/>
        </w:rPr>
        <w:t>、支持企业银行融资。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对企业在三个月以上的银行贷款最高可按银行同期贷款基准利率的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100%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给予贴息。</w:t>
      </w:r>
    </w:p>
    <w:p>
      <w:pPr>
        <w:spacing w:line="420" w:lineRule="exact"/>
        <w:ind w:firstLine="482" w:firstLineChars="200"/>
        <w:rPr>
          <w:rFonts w:eastAsia="仿宋_GB2312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仿宋_GB2312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hint="eastAsia" w:eastAsia="仿宋_GB2312" w:cs="仿宋_GB2312"/>
          <w:b/>
          <w:bCs/>
          <w:color w:val="000000"/>
          <w:sz w:val="24"/>
          <w:szCs w:val="24"/>
          <w:shd w:val="clear" w:color="auto" w:fill="FFFFFF"/>
        </w:rPr>
        <w:t>、支持企业绿色发展。</w:t>
      </w:r>
      <w:r>
        <w:rPr>
          <w:rFonts w:hint="eastAsia" w:eastAsia="仿宋_GB2312" w:cs="仿宋_GB2312"/>
          <w:color w:val="000000"/>
          <w:sz w:val="24"/>
          <w:szCs w:val="24"/>
          <w:shd w:val="clear" w:color="auto" w:fill="FFFFFF"/>
        </w:rPr>
        <w:t>对企业节能减排等绿色发展方面的投入，可按其当年实际发生额给予最高</w:t>
      </w:r>
      <w:r>
        <w:rPr>
          <w:rFonts w:eastAsia="仿宋_GB2312"/>
          <w:color w:val="000000"/>
          <w:sz w:val="24"/>
          <w:szCs w:val="24"/>
          <w:shd w:val="clear" w:color="auto" w:fill="FFFFFF"/>
        </w:rPr>
        <w:t>50%</w:t>
      </w:r>
      <w:r>
        <w:rPr>
          <w:rFonts w:hint="eastAsia" w:eastAsia="仿宋_GB2312" w:cs="仿宋_GB2312"/>
          <w:color w:val="000000"/>
          <w:sz w:val="24"/>
          <w:szCs w:val="24"/>
          <w:shd w:val="clear" w:color="auto" w:fill="FFFFFF"/>
        </w:rPr>
        <w:t>的资助。</w:t>
      </w:r>
    </w:p>
    <w:p>
      <w:pPr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三、实行纳税贡献奖励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  <w:shd w:val="clear" w:color="auto" w:fill="FFFFFF"/>
        </w:rPr>
      </w:pPr>
      <w:r>
        <w:rPr>
          <w:rFonts w:hint="eastAsia" w:eastAsia="仿宋_GB2312" w:cs="仿宋_GB2312"/>
          <w:color w:val="000000"/>
          <w:sz w:val="24"/>
          <w:szCs w:val="24"/>
        </w:rPr>
        <w:t>对首次年纳税额在</w:t>
      </w:r>
      <w:r>
        <w:rPr>
          <w:rFonts w:eastAsia="仿宋_GB2312"/>
          <w:color w:val="000000"/>
          <w:sz w:val="24"/>
          <w:szCs w:val="24"/>
        </w:rPr>
        <w:t>1000</w:t>
      </w:r>
      <w:r>
        <w:rPr>
          <w:rFonts w:hint="eastAsia" w:eastAsia="仿宋_GB2312" w:cs="仿宋_GB2312"/>
          <w:color w:val="000000"/>
          <w:sz w:val="24"/>
          <w:szCs w:val="24"/>
        </w:rPr>
        <w:t>万元（含）以上</w:t>
      </w:r>
      <w:r>
        <w:rPr>
          <w:rFonts w:eastAsia="仿宋_GB2312"/>
          <w:color w:val="000000"/>
          <w:sz w:val="24"/>
          <w:szCs w:val="24"/>
        </w:rPr>
        <w:t>3000</w:t>
      </w:r>
      <w:r>
        <w:rPr>
          <w:rFonts w:hint="eastAsia" w:eastAsia="仿宋_GB2312" w:cs="仿宋_GB2312"/>
          <w:color w:val="000000"/>
          <w:sz w:val="24"/>
          <w:szCs w:val="24"/>
        </w:rPr>
        <w:t>万元（不含）以下的建筑企业，按三年内对区财政贡献当年比上年新增部分</w:t>
      </w:r>
      <w:r>
        <w:rPr>
          <w:rFonts w:eastAsia="仿宋_GB2312"/>
          <w:color w:val="000000"/>
          <w:sz w:val="24"/>
          <w:szCs w:val="24"/>
        </w:rPr>
        <w:t>30%</w:t>
      </w:r>
      <w:r>
        <w:rPr>
          <w:rFonts w:hint="eastAsia" w:eastAsia="仿宋_GB2312" w:cs="仿宋_GB2312"/>
          <w:color w:val="000000"/>
          <w:sz w:val="24"/>
          <w:szCs w:val="24"/>
        </w:rPr>
        <w:t>给予资助；对首次年纳税额在</w:t>
      </w:r>
      <w:r>
        <w:rPr>
          <w:rFonts w:eastAsia="仿宋_GB2312"/>
          <w:color w:val="000000"/>
          <w:sz w:val="24"/>
          <w:szCs w:val="24"/>
        </w:rPr>
        <w:t>3000</w:t>
      </w:r>
      <w:r>
        <w:rPr>
          <w:rFonts w:hint="eastAsia" w:eastAsia="仿宋_GB2312" w:cs="仿宋_GB2312"/>
          <w:color w:val="000000"/>
          <w:sz w:val="24"/>
          <w:szCs w:val="24"/>
        </w:rPr>
        <w:t>万元（含）以上</w:t>
      </w:r>
      <w:r>
        <w:rPr>
          <w:rFonts w:eastAsia="仿宋_GB2312"/>
          <w:color w:val="000000"/>
          <w:sz w:val="24"/>
          <w:szCs w:val="24"/>
        </w:rPr>
        <w:t>5000</w:t>
      </w:r>
      <w:r>
        <w:rPr>
          <w:rFonts w:hint="eastAsia" w:eastAsia="仿宋_GB2312" w:cs="仿宋_GB2312"/>
          <w:color w:val="000000"/>
          <w:sz w:val="24"/>
          <w:szCs w:val="24"/>
        </w:rPr>
        <w:t>万元（不含）以下的建筑企业，按三年内对区财政贡献当年比上年新增部分</w:t>
      </w:r>
      <w:r>
        <w:rPr>
          <w:rFonts w:eastAsia="仿宋_GB2312"/>
          <w:color w:val="000000"/>
          <w:sz w:val="24"/>
          <w:szCs w:val="24"/>
        </w:rPr>
        <w:t>40%</w:t>
      </w:r>
      <w:r>
        <w:rPr>
          <w:rFonts w:hint="eastAsia" w:eastAsia="仿宋_GB2312" w:cs="仿宋_GB2312"/>
          <w:color w:val="000000"/>
          <w:sz w:val="24"/>
          <w:szCs w:val="24"/>
        </w:rPr>
        <w:t>给予资助；对首次年纳税额在</w:t>
      </w:r>
      <w:r>
        <w:rPr>
          <w:rFonts w:eastAsia="仿宋_GB2312"/>
          <w:color w:val="000000"/>
          <w:sz w:val="24"/>
          <w:szCs w:val="24"/>
        </w:rPr>
        <w:t>5000</w:t>
      </w:r>
      <w:r>
        <w:rPr>
          <w:rFonts w:hint="eastAsia" w:eastAsia="仿宋_GB2312" w:cs="仿宋_GB2312"/>
          <w:color w:val="000000"/>
          <w:sz w:val="24"/>
          <w:szCs w:val="24"/>
        </w:rPr>
        <w:t>万元（含）以上的建筑企业，按三年内对区财政贡献当年比上年新增部分</w:t>
      </w:r>
      <w:r>
        <w:rPr>
          <w:rFonts w:eastAsia="仿宋_GB2312"/>
          <w:color w:val="000000"/>
          <w:sz w:val="24"/>
          <w:szCs w:val="24"/>
        </w:rPr>
        <w:t>50%</w:t>
      </w:r>
      <w:r>
        <w:rPr>
          <w:rFonts w:hint="eastAsia" w:eastAsia="仿宋_GB2312" w:cs="仿宋_GB2312"/>
          <w:color w:val="000000"/>
          <w:sz w:val="24"/>
          <w:szCs w:val="24"/>
        </w:rPr>
        <w:t>给予资助。</w:t>
      </w:r>
      <w:r>
        <w:rPr>
          <w:rFonts w:hint="eastAsia" w:eastAsia="仿宋_GB2312" w:cs="仿宋_GB2312"/>
          <w:color w:val="000000"/>
          <w:sz w:val="24"/>
          <w:szCs w:val="24"/>
          <w:shd w:val="clear" w:color="auto" w:fill="FFFFFF"/>
        </w:rPr>
        <w:t>用于支持企业研发投入、扩大投资、绿色发展等，具体可按以下方式予以兑付：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b/>
          <w:bCs/>
          <w:color w:val="000000"/>
          <w:shd w:val="clear" w:color="auto" w:fill="FFFFFF"/>
        </w:rPr>
        <w:t>、支持企业研发投入。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以企业当年实际研发投入最高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30%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予以资助。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ind w:firstLine="482" w:firstLineChars="200"/>
        <w:jc w:val="both"/>
        <w:rPr>
          <w:rFonts w:ascii="Times New Roman" w:hAnsi="Times New Roman" w:eastAsia="仿宋_GB2312" w:cs="Times New Roman"/>
          <w:color w:val="00000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b/>
          <w:bCs/>
          <w:color w:val="000000"/>
          <w:shd w:val="clear" w:color="auto" w:fill="FFFFFF"/>
        </w:rPr>
        <w:t>、支持企业扩大生产。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对企业实施产业化、智能化等技术改造，可按其投资额给予最高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20%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的资助。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hd w:val="clear" w:color="auto" w:fill="FFFFFF"/>
        </w:rPr>
        <w:t>3</w:t>
      </w:r>
      <w:r>
        <w:rPr>
          <w:rFonts w:hint="eastAsia" w:ascii="Times New Roman" w:hAnsi="Times New Roman" w:eastAsia="仿宋_GB2312" w:cs="仿宋_GB2312"/>
          <w:b/>
          <w:bCs/>
          <w:color w:val="000000"/>
          <w:shd w:val="clear" w:color="auto" w:fill="FFFFFF"/>
        </w:rPr>
        <w:t>、支持企业银行融资。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对企业在三个月以上的银行贷款最高可按银行同期贷款基准利率的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100%</w:t>
      </w:r>
      <w:r>
        <w:rPr>
          <w:rFonts w:hint="eastAsia" w:ascii="Times New Roman" w:hAnsi="Times New Roman" w:eastAsia="仿宋_GB2312" w:cs="仿宋_GB2312"/>
          <w:color w:val="000000"/>
          <w:shd w:val="clear" w:color="auto" w:fill="FFFFFF"/>
        </w:rPr>
        <w:t>给予贴息。</w:t>
      </w:r>
    </w:p>
    <w:p>
      <w:pPr>
        <w:spacing w:line="420" w:lineRule="exact"/>
        <w:ind w:firstLine="482" w:firstLineChars="200"/>
        <w:rPr>
          <w:rFonts w:eastAsia="仿宋_GB2312"/>
          <w:b/>
          <w:bCs/>
          <w:color w:val="000000"/>
          <w:sz w:val="24"/>
          <w:szCs w:val="24"/>
        </w:rPr>
      </w:pPr>
      <w:r>
        <w:rPr>
          <w:rFonts w:eastAsia="仿宋_GB2312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hint="eastAsia" w:eastAsia="仿宋_GB2312" w:cs="仿宋_GB2312"/>
          <w:b/>
          <w:bCs/>
          <w:color w:val="000000"/>
          <w:sz w:val="24"/>
          <w:szCs w:val="24"/>
          <w:shd w:val="clear" w:color="auto" w:fill="FFFFFF"/>
        </w:rPr>
        <w:t>、支持企业绿色发展。</w:t>
      </w:r>
      <w:r>
        <w:rPr>
          <w:rFonts w:hint="eastAsia" w:eastAsia="仿宋_GB2312" w:cs="仿宋_GB2312"/>
          <w:color w:val="000000"/>
          <w:sz w:val="24"/>
          <w:szCs w:val="24"/>
          <w:shd w:val="clear" w:color="auto" w:fill="FFFFFF"/>
        </w:rPr>
        <w:t>对企业节能减排等绿色发展方面的投入，可按其当年实际发生额给予最高</w:t>
      </w:r>
      <w:r>
        <w:rPr>
          <w:rFonts w:eastAsia="仿宋_GB2312"/>
          <w:color w:val="000000"/>
          <w:sz w:val="24"/>
          <w:szCs w:val="24"/>
          <w:shd w:val="clear" w:color="auto" w:fill="FFFFFF"/>
        </w:rPr>
        <w:t>50%</w:t>
      </w:r>
      <w:r>
        <w:rPr>
          <w:rFonts w:hint="eastAsia" w:eastAsia="仿宋_GB2312" w:cs="仿宋_GB2312"/>
          <w:color w:val="000000"/>
          <w:sz w:val="24"/>
          <w:szCs w:val="24"/>
          <w:shd w:val="clear" w:color="auto" w:fill="FFFFFF"/>
        </w:rPr>
        <w:t>的资助。</w:t>
      </w:r>
    </w:p>
    <w:p>
      <w:pPr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四、加大对企业科技投入支持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对确定为区重点扶持对象的建筑企业，加大科技投入，由区科技局按规定予以一定数额的技改经费补助，提高企业科技含量。</w:t>
      </w:r>
    </w:p>
    <w:p>
      <w:pPr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五、附则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、享受政策的建筑业企业，注册地和纳税地必须都在西湖区内。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2</w:t>
      </w:r>
      <w:r>
        <w:rPr>
          <w:rFonts w:hint="eastAsia" w:eastAsia="仿宋_GB2312" w:cs="仿宋_GB2312"/>
          <w:color w:val="000000"/>
          <w:sz w:val="24"/>
          <w:szCs w:val="24"/>
        </w:rPr>
        <w:t>、同一项目、标准获得多项资助（奖励）的，按</w:t>
      </w:r>
      <w:r>
        <w:rPr>
          <w:rFonts w:eastAsia="仿宋_GB2312"/>
          <w:color w:val="00000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sz w:val="24"/>
          <w:szCs w:val="24"/>
        </w:rPr>
        <w:t>就高、不重复</w:t>
      </w:r>
      <w:r>
        <w:rPr>
          <w:rFonts w:eastAsia="仿宋_GB2312"/>
          <w:color w:val="00000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sz w:val="24"/>
          <w:szCs w:val="24"/>
        </w:rPr>
        <w:t>原则进行资助（奖励）。同一项目、标准在低等次已作资助（奖励）的，晋升到高等次时补足差额部分。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、享受政策的企业迁出西湖区或注销的，须进行财政、税收清算，所享受的资助（奖励）全额退还。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4</w:t>
      </w:r>
      <w:r>
        <w:rPr>
          <w:rFonts w:hint="eastAsia" w:eastAsia="仿宋_GB2312" w:cs="仿宋_GB2312"/>
          <w:color w:val="000000"/>
          <w:sz w:val="24"/>
          <w:szCs w:val="24"/>
        </w:rPr>
        <w:t>、享受政策的企业应无违法违纪行为，信用记录良好。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5</w:t>
      </w:r>
      <w:r>
        <w:rPr>
          <w:rFonts w:hint="eastAsia" w:eastAsia="仿宋_GB2312" w:cs="仿宋_GB2312"/>
          <w:color w:val="000000"/>
          <w:sz w:val="24"/>
          <w:szCs w:val="24"/>
        </w:rPr>
        <w:t>、本政策支持总额以当年度财政预算为限。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6</w:t>
      </w:r>
      <w:r>
        <w:rPr>
          <w:rFonts w:hint="eastAsia" w:eastAsia="仿宋_GB2312" w:cs="仿宋_GB2312"/>
          <w:color w:val="000000"/>
          <w:sz w:val="24"/>
          <w:szCs w:val="24"/>
        </w:rPr>
        <w:t>、财政资助（奖励）原则上以其当年对区财政贡献总额为限，特殊情况一事一议。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7</w:t>
      </w:r>
      <w:r>
        <w:rPr>
          <w:rFonts w:hint="eastAsia" w:eastAsia="仿宋_GB2312" w:cs="仿宋_GB2312"/>
          <w:color w:val="000000"/>
          <w:sz w:val="24"/>
          <w:szCs w:val="24"/>
        </w:rPr>
        <w:t>、符合条件企业根据年度申报通知的具体要求，向所属镇街提出申请，经区住建局、区财政局审核通过后发文执行，扶持资金由镇街直接拨付到申请企业。</w:t>
      </w:r>
    </w:p>
    <w:p>
      <w:pPr>
        <w:tabs>
          <w:tab w:val="left" w:pos="6521"/>
        </w:tabs>
        <w:spacing w:line="420" w:lineRule="exact"/>
        <w:ind w:right="26"/>
        <w:jc w:val="left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本意见自</w:t>
      </w:r>
      <w:r>
        <w:rPr>
          <w:rFonts w:eastAsia="仿宋_GB2312"/>
          <w:color w:val="000000"/>
          <w:sz w:val="24"/>
          <w:szCs w:val="24"/>
        </w:rPr>
        <w:t>2019</w:t>
      </w:r>
      <w:r>
        <w:rPr>
          <w:rFonts w:hint="eastAsia" w:eastAsia="仿宋_GB2312" w:cs="仿宋_GB2312"/>
          <w:color w:val="000000"/>
          <w:sz w:val="24"/>
          <w:szCs w:val="24"/>
        </w:rPr>
        <w:t>年</w:t>
      </w: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月</w:t>
      </w: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日起施行，试行一年。具体条款由西湖</w:t>
      </w:r>
      <w:r>
        <w:rPr>
          <w:rFonts w:hint="eastAsia" w:eastAsia="仿宋_GB2312" w:cs="仿宋_GB2312"/>
          <w:color w:val="000000"/>
          <w:sz w:val="24"/>
          <w:szCs w:val="24"/>
          <w:shd w:val="clear" w:color="auto" w:fill="FFFFFF"/>
        </w:rPr>
        <w:t>区住建局、区财政局</w:t>
      </w:r>
      <w:r>
        <w:rPr>
          <w:rFonts w:hint="eastAsia" w:eastAsia="仿宋_GB2312" w:cs="仿宋_GB2312"/>
          <w:color w:val="000000"/>
          <w:sz w:val="24"/>
          <w:szCs w:val="24"/>
        </w:rPr>
        <w:t>负责解释。此前我区出台的《西湖区扶持培育建筑业发展打造建筑业强区若干意见》（西政办</w:t>
      </w:r>
      <w:r>
        <w:rPr>
          <w:rFonts w:eastAsia="仿宋_GB2312"/>
          <w:color w:val="000000"/>
          <w:sz w:val="24"/>
          <w:szCs w:val="24"/>
        </w:rPr>
        <w:t xml:space="preserve"> </w:t>
      </w:r>
      <w:r>
        <w:rPr>
          <w:rFonts w:hint="eastAsia" w:eastAsia="仿宋_GB2312" w:cs="仿宋_GB2312"/>
          <w:color w:val="000000"/>
          <w:sz w:val="24"/>
          <w:szCs w:val="24"/>
        </w:rPr>
        <w:t>〔</w:t>
      </w:r>
      <w:r>
        <w:rPr>
          <w:rFonts w:eastAsia="仿宋_GB2312"/>
          <w:color w:val="000000"/>
          <w:sz w:val="24"/>
          <w:szCs w:val="24"/>
        </w:rPr>
        <w:t>2013</w:t>
      </w:r>
      <w:r>
        <w:rPr>
          <w:rFonts w:hint="eastAsia" w:eastAsia="仿宋_GB2312" w:cs="仿宋_GB2312"/>
          <w:color w:val="000000"/>
          <w:sz w:val="24"/>
          <w:szCs w:val="24"/>
        </w:rPr>
        <w:t>〕</w:t>
      </w:r>
      <w:r>
        <w:rPr>
          <w:rFonts w:eastAsia="仿宋_GB2312"/>
          <w:color w:val="000000"/>
          <w:sz w:val="24"/>
          <w:szCs w:val="24"/>
        </w:rPr>
        <w:t xml:space="preserve"> 149</w:t>
      </w:r>
      <w:r>
        <w:rPr>
          <w:rFonts w:hint="eastAsia" w:eastAsia="仿宋_GB2312" w:cs="仿宋_GB2312"/>
          <w:color w:val="000000"/>
          <w:sz w:val="24"/>
          <w:szCs w:val="24"/>
        </w:rPr>
        <w:t>号）与本意见不符的内容以本意见为准。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Fraktur-Schmu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ktur-Schmuck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2D4C"/>
    <w:rsid w:val="08B22779"/>
    <w:rsid w:val="11D30131"/>
    <w:rsid w:val="16EA57D6"/>
    <w:rsid w:val="1BB25CA1"/>
    <w:rsid w:val="1E870EC6"/>
    <w:rsid w:val="223B38C7"/>
    <w:rsid w:val="29E87A46"/>
    <w:rsid w:val="2C353AA5"/>
    <w:rsid w:val="3D3B2D26"/>
    <w:rsid w:val="46190601"/>
    <w:rsid w:val="46CE3D26"/>
    <w:rsid w:val="4EDE5A38"/>
    <w:rsid w:val="5E3D0C3B"/>
    <w:rsid w:val="69743266"/>
    <w:rsid w:val="756358AF"/>
    <w:rsid w:val="767E1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line="560" w:lineRule="exact"/>
      <w:ind w:firstLine="880" w:firstLineChars="200"/>
      <w:outlineLvl w:val="2"/>
    </w:pPr>
    <w:rPr>
      <w:rFonts w:ascii="Calibri" w:hAnsi="Calibri" w:eastAsia="楷体_GB2312" w:cs="Calibri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99"/>
    <w:pPr>
      <w:jc w:val="left"/>
    </w:pPr>
    <w:rPr>
      <w:rFonts w:eastAsia="仿宋_GB2312"/>
      <w:sz w:val="32"/>
      <w:szCs w:val="32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annotation reference"/>
    <w:basedOn w:val="7"/>
    <w:semiHidden/>
    <w:qFormat/>
    <w:uiPriority w:val="99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Heading 3 Char"/>
    <w:basedOn w:val="7"/>
    <w:link w:val="3"/>
    <w:qFormat/>
    <w:locked/>
    <w:uiPriority w:val="99"/>
    <w:rPr>
      <w:rFonts w:ascii="Calibri" w:hAnsi="Calibri" w:eastAsia="楷体_GB2312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XXZXGCY706</dc:creator>
  <cp:lastModifiedBy>Freya1422506713</cp:lastModifiedBy>
  <dcterms:modified xsi:type="dcterms:W3CDTF">2019-07-10T02:19:01Z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