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标段编号：XHZFCG-2023-G-10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标段名称：杭州市西湖区疾病预防控制中心综合物业服务采购项目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273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杭州锦辉物业管理有限公司</w:t>
            </w:r>
          </w:p>
        </w:tc>
        <w:tc>
          <w:tcPr>
            <w:tcW w:w="4257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杭州万物梁行物业服务有限公司</w:t>
            </w:r>
          </w:p>
        </w:tc>
        <w:tc>
          <w:tcPr>
            <w:tcW w:w="425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杭州宇恒物业管理有限公司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投标文件不满足招标文件的其它实质性要求的</w:t>
            </w:r>
            <w:r>
              <w:rPr>
                <w:rFonts w:hint="eastAsia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作无效标处理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蓝精灵智慧物业服务有限公司</w:t>
            </w:r>
          </w:p>
        </w:tc>
        <w:tc>
          <w:tcPr>
            <w:tcW w:w="425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浙江灿本物业管理有限公司</w:t>
            </w:r>
          </w:p>
        </w:tc>
        <w:tc>
          <w:tcPr>
            <w:tcW w:w="425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6BB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900"/>
      </w:tabs>
      <w:spacing w:before="260" w:after="260" w:line="416" w:lineRule="auto"/>
      <w:ind w:left="900" w:hanging="720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2023-05-26T06:47:06Z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7D51CA754D904E51881344F0678D076E</vt:lpwstr>
  </property>
</Properties>
</file>