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p>
    <w:p>
      <w:pPr>
        <w:adjustRightInd/>
        <w:spacing w:line="360" w:lineRule="auto"/>
        <w:jc w:val="center"/>
        <w:rPr>
          <w:rFonts w:ascii="宋体" w:hAnsi="宋体" w:cs="宋体"/>
          <w:b/>
          <w:sz w:val="44"/>
          <w:szCs w:val="44"/>
          <w:highlight w:val="none"/>
        </w:rPr>
      </w:pPr>
    </w:p>
    <w:p>
      <w:pPr>
        <w:spacing w:line="360" w:lineRule="auto"/>
        <w:jc w:val="center"/>
        <w:rPr>
          <w:rFonts w:ascii="宋体" w:hAnsi="宋体" w:cs="宋体"/>
          <w:b/>
          <w:sz w:val="44"/>
          <w:szCs w:val="44"/>
          <w:highlight w:val="none"/>
        </w:rPr>
      </w:pPr>
    </w:p>
    <w:p>
      <w:pPr>
        <w:adjustRightInd/>
        <w:spacing w:line="360" w:lineRule="auto"/>
        <w:jc w:val="center"/>
        <w:rPr>
          <w:rFonts w:ascii="宋体" w:hAnsi="宋体" w:cs="宋体"/>
          <w:b/>
          <w:sz w:val="48"/>
          <w:szCs w:val="48"/>
          <w:highlight w:val="none"/>
        </w:rPr>
      </w:pPr>
    </w:p>
    <w:p>
      <w:pPr>
        <w:adjustRightInd/>
        <w:spacing w:line="360" w:lineRule="auto"/>
        <w:jc w:val="center"/>
        <w:rPr>
          <w:rFonts w:hint="eastAsia" w:ascii="宋体" w:hAnsi="宋体" w:cs="宋体"/>
          <w:b/>
          <w:bCs/>
          <w:sz w:val="48"/>
          <w:szCs w:val="48"/>
          <w:highlight w:val="none"/>
          <w:lang w:eastAsia="zh-CN"/>
        </w:rPr>
      </w:pPr>
      <w:r>
        <w:rPr>
          <w:rFonts w:hint="eastAsia" w:ascii="宋体" w:hAnsi="宋体" w:cs="宋体"/>
          <w:b/>
          <w:bCs/>
          <w:sz w:val="48"/>
          <w:szCs w:val="48"/>
          <w:highlight w:val="none"/>
          <w:lang w:eastAsia="zh-CN"/>
        </w:rPr>
        <w:t>杭州市文溪中学校园网络及监控系统建设采购项目</w:t>
      </w:r>
    </w:p>
    <w:p>
      <w:pPr>
        <w:spacing w:line="360" w:lineRule="auto"/>
        <w:jc w:val="center"/>
        <w:rPr>
          <w:rFonts w:hint="eastAsia" w:ascii="宋体" w:hAnsi="宋体" w:eastAsia="宋体" w:cs="宋体"/>
          <w:b/>
          <w:sz w:val="52"/>
          <w:szCs w:val="52"/>
          <w:highlight w:val="none"/>
        </w:rPr>
      </w:pPr>
      <w:r>
        <w:rPr>
          <w:rFonts w:hint="eastAsia" w:ascii="宋体" w:hAnsi="宋体" w:eastAsia="宋体" w:cs="宋体"/>
          <w:b/>
          <w:sz w:val="52"/>
          <w:szCs w:val="52"/>
          <w:highlight w:val="none"/>
        </w:rPr>
        <w:t>招标文件</w:t>
      </w:r>
    </w:p>
    <w:p>
      <w:pPr>
        <w:pStyle w:val="4"/>
        <w:rPr>
          <w:rFonts w:hint="eastAsia"/>
          <w:highlight w:val="none"/>
          <w:lang w:eastAsia="zh-CN"/>
        </w:rPr>
      </w:pPr>
    </w:p>
    <w:p>
      <w:pPr>
        <w:adjustRightInd/>
        <w:spacing w:line="360" w:lineRule="auto"/>
        <w:jc w:val="center"/>
        <w:rPr>
          <w:rFonts w:ascii="宋体" w:hAnsi="宋体" w:cs="宋体"/>
          <w:b/>
          <w:sz w:val="44"/>
          <w:szCs w:val="44"/>
          <w:highlight w:val="none"/>
        </w:rPr>
      </w:pPr>
      <w:r>
        <w:rPr>
          <w:rFonts w:hint="eastAsia" w:ascii="宋体" w:hAnsi="宋体" w:cs="宋体"/>
          <w:b/>
          <w:sz w:val="44"/>
          <w:szCs w:val="44"/>
          <w:highlight w:val="none"/>
        </w:rPr>
        <w:t xml:space="preserve"> （电子招投标）</w:t>
      </w:r>
    </w:p>
    <w:p>
      <w:pPr>
        <w:snapToGrid w:val="0"/>
        <w:spacing w:line="360" w:lineRule="auto"/>
        <w:jc w:val="center"/>
        <w:rPr>
          <w:rFonts w:hint="eastAsia" w:ascii="宋体" w:hAnsi="宋体" w:eastAsia="宋体" w:cs="宋体"/>
          <w:sz w:val="30"/>
          <w:szCs w:val="30"/>
          <w:highlight w:val="none"/>
          <w:lang w:eastAsia="zh-CN"/>
        </w:rPr>
      </w:pPr>
      <w:r>
        <w:rPr>
          <w:rFonts w:hint="eastAsia" w:ascii="宋体" w:hAnsi="宋体" w:cs="宋体"/>
          <w:sz w:val="30"/>
          <w:szCs w:val="30"/>
          <w:highlight w:val="none"/>
        </w:rPr>
        <w:t>编号:</w:t>
      </w:r>
      <w:r>
        <w:rPr>
          <w:rFonts w:hint="eastAsia" w:ascii="宋体" w:hAnsi="宋体" w:cs="宋体"/>
          <w:sz w:val="30"/>
          <w:szCs w:val="30"/>
          <w:highlight w:val="none"/>
          <w:lang w:eastAsia="zh-CN"/>
        </w:rPr>
        <w:t>XHZFCG-2023-G-18</w:t>
      </w:r>
    </w:p>
    <w:p>
      <w:pPr>
        <w:adjustRightInd/>
        <w:spacing w:line="360" w:lineRule="auto"/>
        <w:rPr>
          <w:rFonts w:ascii="宋体" w:hAnsi="宋体" w:cs="宋体"/>
          <w:sz w:val="28"/>
          <w:szCs w:val="20"/>
          <w:highlight w:val="none"/>
        </w:rPr>
      </w:pPr>
    </w:p>
    <w:p>
      <w:pPr>
        <w:spacing w:line="360" w:lineRule="auto"/>
        <w:jc w:val="center"/>
        <w:rPr>
          <w:rFonts w:ascii="宋体" w:hAnsi="宋体" w:cs="宋体"/>
          <w:b/>
          <w:sz w:val="44"/>
          <w:szCs w:val="44"/>
          <w:highlight w:val="none"/>
        </w:rPr>
      </w:pPr>
    </w:p>
    <w:p>
      <w:pPr>
        <w:spacing w:line="360" w:lineRule="auto"/>
        <w:jc w:val="center"/>
        <w:rPr>
          <w:rFonts w:ascii="宋体" w:hAnsi="宋体" w:cs="宋体"/>
          <w:b/>
          <w:sz w:val="44"/>
          <w:szCs w:val="44"/>
          <w:highlight w:val="none"/>
        </w:rPr>
      </w:pPr>
    </w:p>
    <w:p>
      <w:pPr>
        <w:spacing w:line="360" w:lineRule="auto"/>
        <w:jc w:val="center"/>
        <w:rPr>
          <w:rFonts w:ascii="宋体" w:hAnsi="宋体" w:cs="宋体"/>
          <w:sz w:val="24"/>
          <w:highlight w:val="none"/>
        </w:rPr>
      </w:pPr>
    </w:p>
    <w:p>
      <w:pPr>
        <w:spacing w:line="360" w:lineRule="auto"/>
        <w:jc w:val="center"/>
        <w:rPr>
          <w:rFonts w:ascii="宋体" w:hAnsi="宋体" w:cs="宋体"/>
          <w:sz w:val="24"/>
          <w:highlight w:val="none"/>
        </w:rPr>
      </w:pPr>
    </w:p>
    <w:p>
      <w:pPr>
        <w:spacing w:line="360" w:lineRule="auto"/>
        <w:rPr>
          <w:rFonts w:ascii="宋体" w:hAnsi="宋体" w:cs="宋体"/>
          <w:sz w:val="32"/>
          <w:szCs w:val="32"/>
          <w:highlight w:val="none"/>
        </w:rPr>
      </w:pPr>
    </w:p>
    <w:p>
      <w:pPr>
        <w:spacing w:line="360" w:lineRule="auto"/>
        <w:jc w:val="center"/>
        <w:rPr>
          <w:rFonts w:hint="eastAsia" w:ascii="宋体" w:hAnsi="宋体" w:eastAsia="宋体" w:cs="宋体"/>
          <w:sz w:val="32"/>
          <w:szCs w:val="32"/>
          <w:highlight w:val="none"/>
          <w:lang w:eastAsia="zh-CN"/>
        </w:rPr>
      </w:pPr>
      <w:r>
        <w:rPr>
          <w:rFonts w:hint="eastAsia" w:ascii="宋体" w:hAnsi="宋体" w:cs="宋体"/>
          <w:sz w:val="32"/>
          <w:szCs w:val="32"/>
          <w:highlight w:val="none"/>
          <w:lang w:eastAsia="zh-CN"/>
        </w:rPr>
        <w:t>杭州市文溪中学</w:t>
      </w:r>
    </w:p>
    <w:p>
      <w:pPr>
        <w:snapToGrid w:val="0"/>
        <w:spacing w:line="360" w:lineRule="auto"/>
        <w:jc w:val="center"/>
        <w:rPr>
          <w:rFonts w:hint="eastAsia" w:ascii="宋体" w:hAnsi="宋体" w:cs="宋体"/>
          <w:bCs/>
          <w:sz w:val="32"/>
          <w:szCs w:val="32"/>
          <w:highlight w:val="none"/>
        </w:rPr>
      </w:pPr>
      <w:r>
        <w:rPr>
          <w:rFonts w:hint="eastAsia" w:ascii="宋体" w:hAnsi="宋体" w:cs="宋体"/>
          <w:bCs/>
          <w:sz w:val="32"/>
          <w:szCs w:val="32"/>
          <w:highlight w:val="none"/>
        </w:rPr>
        <w:t xml:space="preserve"> 杭州市西湖区政府采购中心</w:t>
      </w:r>
      <w:bookmarkStart w:id="408" w:name="_GoBack"/>
      <w:bookmarkEnd w:id="408"/>
    </w:p>
    <w:p>
      <w:pPr>
        <w:snapToGrid w:val="0"/>
        <w:spacing w:line="360" w:lineRule="auto"/>
        <w:jc w:val="center"/>
        <w:rPr>
          <w:rFonts w:ascii="宋体" w:hAnsi="宋体" w:cs="宋体"/>
          <w:bCs/>
          <w:sz w:val="32"/>
          <w:szCs w:val="32"/>
          <w:highlight w:val="none"/>
        </w:rPr>
      </w:pPr>
      <w:r>
        <w:rPr>
          <w:rFonts w:hint="eastAsia" w:ascii="宋体" w:hAnsi="宋体" w:cs="宋体"/>
          <w:bCs/>
          <w:sz w:val="32"/>
          <w:szCs w:val="32"/>
          <w:highlight w:val="none"/>
        </w:rPr>
        <w:t>二〇二</w:t>
      </w:r>
      <w:r>
        <w:rPr>
          <w:rFonts w:hint="eastAsia" w:ascii="宋体" w:hAnsi="宋体" w:cs="宋体"/>
          <w:bCs/>
          <w:sz w:val="32"/>
          <w:szCs w:val="32"/>
          <w:highlight w:val="none"/>
          <w:lang w:eastAsia="zh-CN"/>
        </w:rPr>
        <w:t>三</w:t>
      </w:r>
      <w:r>
        <w:rPr>
          <w:rFonts w:hint="eastAsia" w:ascii="宋体" w:hAnsi="宋体" w:cs="宋体"/>
          <w:bCs/>
          <w:sz w:val="32"/>
          <w:szCs w:val="32"/>
          <w:highlight w:val="none"/>
        </w:rPr>
        <w:t>年</w:t>
      </w:r>
      <w:r>
        <w:rPr>
          <w:rFonts w:hint="eastAsia" w:ascii="宋体" w:hAnsi="宋体" w:cs="宋体"/>
          <w:bCs/>
          <w:sz w:val="32"/>
          <w:szCs w:val="32"/>
          <w:highlight w:val="none"/>
          <w:lang w:eastAsia="zh-CN"/>
        </w:rPr>
        <w:t>五</w:t>
      </w:r>
      <w:r>
        <w:rPr>
          <w:rFonts w:hint="eastAsia" w:ascii="宋体" w:hAnsi="宋体" w:cs="宋体"/>
          <w:bCs/>
          <w:sz w:val="32"/>
          <w:szCs w:val="32"/>
          <w:highlight w:val="none"/>
        </w:rPr>
        <w:t>月</w:t>
      </w:r>
      <w:r>
        <w:rPr>
          <w:rFonts w:hint="eastAsia" w:ascii="宋体" w:hAnsi="宋体" w:cs="宋体"/>
          <w:bCs/>
          <w:sz w:val="32"/>
          <w:szCs w:val="32"/>
          <w:highlight w:val="none"/>
          <w:lang w:val="en-US" w:eastAsia="zh-CN"/>
        </w:rPr>
        <w:t>二十三</w:t>
      </w:r>
      <w:r>
        <w:rPr>
          <w:rFonts w:hint="eastAsia" w:ascii="宋体" w:hAnsi="宋体" w:cs="宋体"/>
          <w:bCs/>
          <w:sz w:val="32"/>
          <w:szCs w:val="32"/>
          <w:highlight w:val="none"/>
        </w:rPr>
        <w:t>日</w:t>
      </w:r>
    </w:p>
    <w:p>
      <w:pPr>
        <w:spacing w:line="360" w:lineRule="auto"/>
        <w:jc w:val="center"/>
        <w:rPr>
          <w:rFonts w:ascii="宋体" w:hAnsi="宋体" w:cs="宋体"/>
          <w:sz w:val="24"/>
          <w:highlight w:val="none"/>
        </w:rPr>
      </w:pPr>
      <w:r>
        <w:rPr>
          <w:rFonts w:hint="eastAsia" w:ascii="宋体" w:hAnsi="宋体" w:cs="宋体"/>
          <w:sz w:val="24"/>
          <w:highlight w:val="none"/>
        </w:rPr>
        <w:br w:type="page"/>
      </w:r>
      <w:bookmarkStart w:id="0" w:name="_Hlt67893495"/>
      <w:bookmarkEnd w:id="0"/>
    </w:p>
    <w:p>
      <w:pPr>
        <w:spacing w:line="360" w:lineRule="auto"/>
        <w:jc w:val="center"/>
        <w:rPr>
          <w:rFonts w:ascii="宋体" w:hAnsi="宋体" w:cs="宋体"/>
          <w:sz w:val="24"/>
          <w:highlight w:val="none"/>
        </w:rPr>
      </w:pPr>
    </w:p>
    <w:p>
      <w:pPr>
        <w:spacing w:line="360" w:lineRule="auto"/>
        <w:jc w:val="center"/>
        <w:rPr>
          <w:rFonts w:ascii="宋体" w:hAnsi="宋体" w:cs="宋体"/>
          <w:b/>
          <w:sz w:val="48"/>
          <w:szCs w:val="48"/>
          <w:highlight w:val="none"/>
        </w:rPr>
      </w:pPr>
      <w:r>
        <w:rPr>
          <w:rFonts w:hint="eastAsia" w:ascii="宋体" w:hAnsi="宋体" w:cs="宋体"/>
          <w:b/>
          <w:sz w:val="48"/>
          <w:szCs w:val="48"/>
          <w:highlight w:val="none"/>
        </w:rPr>
        <w:t>目  录</w:t>
      </w:r>
    </w:p>
    <w:p>
      <w:pPr>
        <w:spacing w:line="360" w:lineRule="auto"/>
        <w:rPr>
          <w:rFonts w:ascii="宋体" w:hAnsi="宋体" w:cs="宋体"/>
          <w:sz w:val="32"/>
          <w:szCs w:val="32"/>
          <w:highlight w:val="none"/>
        </w:rPr>
      </w:pPr>
    </w:p>
    <w:p>
      <w:pPr>
        <w:spacing w:line="360" w:lineRule="auto"/>
        <w:rPr>
          <w:rFonts w:ascii="宋体" w:hAnsi="宋体" w:cs="宋体"/>
          <w:sz w:val="32"/>
          <w:szCs w:val="32"/>
          <w:highlight w:val="none"/>
        </w:rPr>
      </w:pP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第一部分      招标公告</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第二部分      投标人须知</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第三部分      采购需求</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第四部分      评标办法</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第五部分      拟签订的合同文本</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第六部分      应提交的有关格式范例</w:t>
      </w:r>
    </w:p>
    <w:p>
      <w:pPr>
        <w:spacing w:line="360" w:lineRule="auto"/>
        <w:ind w:firstLine="549" w:firstLineChars="229"/>
        <w:rPr>
          <w:rFonts w:ascii="宋体" w:hAnsi="宋体" w:cs="宋体"/>
          <w:sz w:val="24"/>
          <w:highlight w:val="none"/>
        </w:rPr>
      </w:pPr>
      <w:bookmarkStart w:id="1" w:name="_Hlt91233176"/>
      <w:bookmarkEnd w:id="1"/>
      <w:bookmarkStart w:id="2" w:name="_Toc91899869"/>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rPr>
          <w:rFonts w:ascii="宋体" w:hAnsi="宋体" w:cs="宋体"/>
          <w:sz w:val="24"/>
          <w:highlight w:val="none"/>
        </w:rPr>
      </w:pPr>
    </w:p>
    <w:p>
      <w:pPr>
        <w:adjustRightInd/>
        <w:spacing w:line="360" w:lineRule="auto"/>
        <w:jc w:val="center"/>
        <w:outlineLvl w:val="0"/>
        <w:rPr>
          <w:rFonts w:ascii="宋体" w:hAnsi="宋体" w:cs="宋体"/>
          <w:b/>
          <w:sz w:val="36"/>
          <w:szCs w:val="20"/>
          <w:highlight w:val="none"/>
        </w:rPr>
      </w:pPr>
      <w:bookmarkStart w:id="3" w:name="第一部分"/>
      <w:r>
        <w:rPr>
          <w:rFonts w:hint="eastAsia" w:ascii="宋体" w:hAnsi="宋体" w:cs="宋体"/>
          <w:b/>
          <w:sz w:val="36"/>
          <w:szCs w:val="36"/>
          <w:highlight w:val="none"/>
        </w:rPr>
        <w:br w:type="page"/>
      </w:r>
      <w:bookmarkEnd w:id="2"/>
      <w:bookmarkEnd w:id="3"/>
      <w:bookmarkStart w:id="4" w:name="_Hlt74728647"/>
      <w:bookmarkEnd w:id="4"/>
      <w:bookmarkStart w:id="5" w:name="_Hlt74729822"/>
      <w:bookmarkEnd w:id="5"/>
      <w:bookmarkStart w:id="6" w:name="_Hlt74707423"/>
      <w:bookmarkEnd w:id="6"/>
      <w:bookmarkStart w:id="7" w:name="_Hlt74649545"/>
      <w:bookmarkEnd w:id="7"/>
      <w:bookmarkStart w:id="8" w:name="第二部分"/>
      <w:bookmarkStart w:id="9" w:name="_Toc91899870"/>
      <w:bookmarkStart w:id="10" w:name="_Toc91899871"/>
      <w:r>
        <w:rPr>
          <w:rFonts w:hint="eastAsia" w:ascii="宋体" w:hAnsi="宋体" w:cs="宋体"/>
          <w:b/>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highlight w:val="none"/>
        </w:rPr>
      </w:pPr>
      <w:r>
        <w:rPr>
          <w:rFonts w:hint="eastAsia" w:ascii="宋体" w:hAnsi="宋体" w:cs="宋体"/>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highlight w:val="none"/>
          <w:u w:val="single"/>
        </w:rPr>
      </w:pPr>
      <w:r>
        <w:rPr>
          <w:rFonts w:hint="eastAsia" w:ascii="宋体" w:hAnsi="宋体" w:cs="宋体"/>
          <w:sz w:val="24"/>
          <w:highlight w:val="none"/>
          <w:u w:val="single"/>
          <w:lang w:eastAsia="zh-CN"/>
        </w:rPr>
        <w:t>杭州市文溪中学校园网络及监控系统建设采购项目</w:t>
      </w:r>
      <w:r>
        <w:rPr>
          <w:rFonts w:hint="eastAsia" w:ascii="宋体" w:hAnsi="宋体" w:cs="宋体"/>
          <w:sz w:val="24"/>
          <w:highlight w:val="none"/>
        </w:rPr>
        <w:t>招标项目的潜在投标人应在政采云平台（</w:t>
      </w:r>
      <w:r>
        <w:rPr>
          <w:highlight w:val="none"/>
        </w:rPr>
        <w:fldChar w:fldCharType="begin"/>
      </w:r>
      <w:r>
        <w:rPr>
          <w:highlight w:val="none"/>
        </w:rPr>
        <w:instrText xml:space="preserve"> HYPERLINK "https://www.zcygov.cn/）获取（下载）招标文件，并于2021年" </w:instrText>
      </w:r>
      <w:r>
        <w:rPr>
          <w:highlight w:val="none"/>
        </w:rPr>
        <w:fldChar w:fldCharType="separate"/>
      </w:r>
      <w:r>
        <w:rPr>
          <w:rStyle w:val="76"/>
          <w:rFonts w:hint="eastAsia" w:ascii="宋体" w:hAnsi="宋体" w:eastAsia="宋体" w:cs="宋体"/>
          <w:snapToGrid/>
          <w:color w:val="auto"/>
          <w:kern w:val="2"/>
          <w:sz w:val="24"/>
          <w:szCs w:val="24"/>
          <w:highlight w:val="none"/>
        </w:rPr>
        <w:t>https://www.zcygov.cn/）获取（下载）招标文件，并于</w:t>
      </w:r>
      <w:r>
        <w:rPr>
          <w:rFonts w:hint="default" w:ascii="宋体" w:hAnsi="宋体" w:cs="宋体"/>
          <w:sz w:val="24"/>
          <w:highlight w:val="none"/>
          <w:u w:val="single"/>
          <w:lang w:val="en-US"/>
        </w:rPr>
        <w:t>2023</w:t>
      </w:r>
      <w:r>
        <w:rPr>
          <w:rFonts w:hint="eastAsia" w:ascii="宋体" w:hAnsi="宋体" w:cs="宋体"/>
          <w:sz w:val="24"/>
          <w:highlight w:val="none"/>
          <w:u w:val="single"/>
        </w:rPr>
        <w:t>年</w:t>
      </w:r>
      <w:r>
        <w:rPr>
          <w:rFonts w:hint="default" w:ascii="宋体" w:hAnsi="宋体" w:cs="宋体"/>
          <w:sz w:val="24"/>
          <w:highlight w:val="none"/>
          <w:u w:val="single"/>
          <w:lang w:val="en-US"/>
        </w:rPr>
        <w:t>6</w:t>
      </w:r>
      <w:r>
        <w:rPr>
          <w:rFonts w:hint="eastAsia" w:ascii="宋体" w:hAnsi="宋体" w:cs="宋体"/>
          <w:sz w:val="24"/>
          <w:highlight w:val="none"/>
          <w:u w:val="single"/>
        </w:rPr>
        <w:t>月</w:t>
      </w:r>
      <w:r>
        <w:rPr>
          <w:rFonts w:hint="default" w:ascii="宋体" w:hAnsi="宋体" w:cs="宋体"/>
          <w:sz w:val="24"/>
          <w:highlight w:val="none"/>
          <w:u w:val="single"/>
          <w:lang w:val="en-US" w:eastAsia="zh-CN"/>
        </w:rPr>
        <w:t>13</w:t>
      </w:r>
      <w:r>
        <w:rPr>
          <w:rFonts w:hint="eastAsia" w:ascii="宋体" w:hAnsi="宋体" w:cs="宋体"/>
          <w:sz w:val="24"/>
          <w:highlight w:val="none"/>
          <w:u w:val="single"/>
        </w:rPr>
        <w:t>日</w:t>
      </w:r>
      <w:r>
        <w:rPr>
          <w:rFonts w:hint="default" w:ascii="宋体" w:hAnsi="宋体" w:cs="宋体"/>
          <w:sz w:val="24"/>
          <w:highlight w:val="none"/>
          <w:u w:val="single"/>
          <w:lang w:val="en-US"/>
        </w:rPr>
        <w:t>09</w:t>
      </w:r>
      <w:r>
        <w:rPr>
          <w:rFonts w:hint="eastAsia" w:ascii="宋体" w:hAnsi="宋体" w:cs="宋体"/>
          <w:sz w:val="24"/>
          <w:highlight w:val="none"/>
          <w:u w:val="single"/>
        </w:rPr>
        <w:t>点</w:t>
      </w:r>
      <w:r>
        <w:rPr>
          <w:rFonts w:hint="default" w:ascii="宋体" w:hAnsi="宋体" w:cs="宋体"/>
          <w:sz w:val="24"/>
          <w:highlight w:val="none"/>
          <w:u w:val="single"/>
          <w:lang w:val="en-US"/>
        </w:rPr>
        <w:t>30</w:t>
      </w:r>
      <w:r>
        <w:rPr>
          <w:rFonts w:hint="eastAsia" w:ascii="宋体" w:hAnsi="宋体" w:cs="宋体"/>
          <w:sz w:val="24"/>
          <w:highlight w:val="none"/>
          <w:u w:val="single"/>
        </w:rPr>
        <w:t>分</w:t>
      </w:r>
      <w:r>
        <w:rPr>
          <w:rFonts w:hint="eastAsia" w:ascii="宋体" w:hAnsi="宋体" w:cs="宋体"/>
          <w:bCs/>
          <w:sz w:val="24"/>
          <w:highlight w:val="none"/>
          <w:u w:val="single"/>
        </w:rPr>
        <w:t>00秒</w:t>
      </w:r>
      <w:r>
        <w:rPr>
          <w:rFonts w:hint="eastAsia" w:ascii="宋体" w:hAnsi="宋体" w:cs="宋体"/>
          <w:bCs/>
          <w:sz w:val="24"/>
          <w:highlight w:val="none"/>
          <w:u w:val="single"/>
        </w:rPr>
        <w:fldChar w:fldCharType="end"/>
      </w:r>
      <w:r>
        <w:rPr>
          <w:rFonts w:hint="eastAsia" w:ascii="宋体" w:hAnsi="宋体" w:cs="宋体"/>
          <w:bCs/>
          <w:sz w:val="24"/>
          <w:highlight w:val="none"/>
        </w:rPr>
        <w:t>（北京时间）前</w:t>
      </w:r>
      <w:r>
        <w:rPr>
          <w:rFonts w:hint="eastAsia" w:ascii="宋体" w:hAnsi="宋体" w:cs="宋体"/>
          <w:sz w:val="24"/>
          <w:highlight w:val="none"/>
        </w:rPr>
        <w:t>递交（上传）投标文件。</w:t>
      </w:r>
    </w:p>
    <w:p>
      <w:pPr>
        <w:spacing w:line="360" w:lineRule="auto"/>
        <w:rPr>
          <w:rFonts w:ascii="宋体" w:hAnsi="宋体" w:cs="宋体"/>
          <w:b/>
          <w:sz w:val="24"/>
          <w:highlight w:val="none"/>
        </w:rPr>
      </w:pPr>
      <w:r>
        <w:rPr>
          <w:rFonts w:hint="eastAsia" w:ascii="宋体" w:hAnsi="宋体" w:cs="宋体"/>
          <w:b/>
          <w:sz w:val="24"/>
          <w:highlight w:val="none"/>
        </w:rPr>
        <w:t xml:space="preserve">一、项目基本情况                                            </w:t>
      </w:r>
    </w:p>
    <w:p>
      <w:pPr>
        <w:spacing w:line="360" w:lineRule="auto"/>
        <w:rPr>
          <w:rFonts w:hint="eastAsia" w:ascii="宋体" w:hAnsi="宋体" w:eastAsia="宋体" w:cs="宋体"/>
          <w:sz w:val="24"/>
          <w:highlight w:val="none"/>
          <w:lang w:eastAsia="zh-CN"/>
        </w:rPr>
      </w:pPr>
      <w:r>
        <w:rPr>
          <w:rFonts w:hint="eastAsia" w:ascii="宋体" w:hAnsi="宋体" w:cs="宋体"/>
          <w:sz w:val="24"/>
          <w:highlight w:val="none"/>
        </w:rPr>
        <w:t xml:space="preserve">    </w:t>
      </w:r>
      <w:r>
        <w:rPr>
          <w:rFonts w:hint="eastAsia" w:ascii="宋体" w:hAnsi="宋体" w:cs="宋体"/>
          <w:b/>
          <w:sz w:val="24"/>
          <w:highlight w:val="none"/>
        </w:rPr>
        <w:t>项目编号：</w:t>
      </w:r>
      <w:r>
        <w:rPr>
          <w:rFonts w:hint="eastAsia" w:ascii="宋体" w:hAnsi="宋体" w:cs="宋体"/>
          <w:sz w:val="24"/>
          <w:highlight w:val="none"/>
          <w:lang w:eastAsia="zh-CN"/>
        </w:rPr>
        <w:t>XHZFCG-2023-G-18</w:t>
      </w:r>
    </w:p>
    <w:p>
      <w:pPr>
        <w:spacing w:line="360" w:lineRule="auto"/>
        <w:rPr>
          <w:rFonts w:hint="eastAsia" w:ascii="宋体" w:hAnsi="宋体" w:eastAsia="宋体" w:cs="宋体"/>
          <w:sz w:val="24"/>
          <w:highlight w:val="none"/>
          <w:lang w:eastAsia="zh-CN"/>
        </w:rPr>
      </w:pPr>
      <w:r>
        <w:rPr>
          <w:rFonts w:hint="eastAsia" w:ascii="宋体" w:hAnsi="宋体" w:cs="宋体"/>
          <w:sz w:val="24"/>
          <w:highlight w:val="none"/>
        </w:rPr>
        <w:t xml:space="preserve">   </w:t>
      </w:r>
      <w:r>
        <w:rPr>
          <w:rFonts w:hint="eastAsia" w:ascii="宋体" w:hAnsi="宋体" w:cs="宋体"/>
          <w:b/>
          <w:sz w:val="24"/>
          <w:highlight w:val="none"/>
        </w:rPr>
        <w:t xml:space="preserve"> 项目名称：</w:t>
      </w:r>
      <w:r>
        <w:rPr>
          <w:rFonts w:hint="eastAsia" w:ascii="宋体" w:hAnsi="宋体" w:cs="宋体"/>
          <w:sz w:val="24"/>
          <w:highlight w:val="none"/>
          <w:lang w:eastAsia="zh-CN"/>
        </w:rPr>
        <w:t>杭州市文溪中学校园网络及监控系统建设采购项目</w:t>
      </w:r>
    </w:p>
    <w:p>
      <w:pPr>
        <w:spacing w:line="360" w:lineRule="auto"/>
        <w:rPr>
          <w:rFonts w:hint="default" w:ascii="宋体" w:hAnsi="宋体" w:cs="宋体"/>
          <w:sz w:val="24"/>
          <w:highlight w:val="none"/>
          <w:lang w:val="en-US"/>
        </w:rPr>
      </w:pPr>
      <w:r>
        <w:rPr>
          <w:rFonts w:hint="eastAsia" w:ascii="宋体" w:hAnsi="宋体" w:cs="宋体"/>
          <w:sz w:val="24"/>
          <w:highlight w:val="none"/>
        </w:rPr>
        <w:t xml:space="preserve">   </w:t>
      </w:r>
      <w:r>
        <w:rPr>
          <w:rFonts w:hint="eastAsia" w:ascii="宋体" w:hAnsi="宋体" w:cs="宋体"/>
          <w:b/>
          <w:sz w:val="24"/>
          <w:highlight w:val="none"/>
        </w:rPr>
        <w:t xml:space="preserve"> 预算金额（元）：</w:t>
      </w:r>
      <w:r>
        <w:rPr>
          <w:rFonts w:hint="eastAsia" w:ascii="宋体" w:hAnsi="宋体" w:cs="宋体"/>
          <w:sz w:val="24"/>
          <w:highlight w:val="none"/>
        </w:rPr>
        <w:t xml:space="preserve">  </w:t>
      </w:r>
      <w:r>
        <w:rPr>
          <w:rFonts w:hint="eastAsia" w:ascii="宋体" w:hAnsi="宋体" w:cs="宋体"/>
          <w:sz w:val="24"/>
          <w:highlight w:val="none"/>
          <w:lang w:val="en-US" w:eastAsia="zh-CN"/>
        </w:rPr>
        <w:t>470000.00</w:t>
      </w:r>
    </w:p>
    <w:p>
      <w:pPr>
        <w:spacing w:line="360" w:lineRule="auto"/>
        <w:ind w:firstLine="480"/>
        <w:rPr>
          <w:rFonts w:hint="default" w:ascii="宋体" w:hAnsi="宋体" w:cs="宋体"/>
          <w:sz w:val="24"/>
          <w:highlight w:val="none"/>
          <w:lang w:val="en-US"/>
        </w:rPr>
      </w:pPr>
      <w:r>
        <w:rPr>
          <w:rFonts w:hint="eastAsia" w:ascii="宋体" w:hAnsi="宋体" w:cs="宋体"/>
          <w:b/>
          <w:sz w:val="24"/>
          <w:highlight w:val="none"/>
        </w:rPr>
        <w:t>最高限价（元）：</w:t>
      </w:r>
      <w:r>
        <w:rPr>
          <w:rFonts w:hint="eastAsia" w:ascii="宋体" w:hAnsi="宋体" w:cs="宋体"/>
          <w:sz w:val="24"/>
          <w:highlight w:val="none"/>
        </w:rPr>
        <w:t xml:space="preserve">  </w:t>
      </w:r>
      <w:r>
        <w:rPr>
          <w:rFonts w:hint="eastAsia" w:ascii="宋体" w:hAnsi="宋体" w:cs="宋体"/>
          <w:sz w:val="24"/>
          <w:highlight w:val="none"/>
          <w:lang w:val="en-US" w:eastAsia="zh-CN"/>
        </w:rPr>
        <w:t>470000.00</w:t>
      </w:r>
    </w:p>
    <w:p>
      <w:pPr>
        <w:pStyle w:val="5"/>
        <w:spacing w:line="360" w:lineRule="auto"/>
        <w:ind w:firstLine="480"/>
        <w:rPr>
          <w:rFonts w:hint="eastAsia" w:hAnsi="宋体" w:cs="宋体"/>
          <w:bCs/>
          <w:snapToGrid/>
          <w:color w:val="auto"/>
          <w:kern w:val="2"/>
          <w:sz w:val="24"/>
          <w:szCs w:val="24"/>
          <w:highlight w:val="none"/>
          <w:lang w:eastAsia="zh-CN"/>
        </w:rPr>
      </w:pPr>
      <w:r>
        <w:rPr>
          <w:rFonts w:hint="eastAsia" w:hAnsi="宋体" w:cs="宋体"/>
          <w:b/>
          <w:color w:val="auto"/>
          <w:sz w:val="24"/>
          <w:highlight w:val="none"/>
        </w:rPr>
        <w:t>采购需求：</w:t>
      </w:r>
      <w:r>
        <w:rPr>
          <w:rFonts w:hint="eastAsia" w:hAnsi="宋体" w:cs="宋体"/>
          <w:bCs/>
          <w:snapToGrid/>
          <w:color w:val="auto"/>
          <w:kern w:val="2"/>
          <w:sz w:val="24"/>
          <w:szCs w:val="24"/>
          <w:highlight w:val="none"/>
          <w:lang w:eastAsia="zh-CN"/>
        </w:rPr>
        <w:t>杭州市文溪中学校园网络及监控系统建设采购项目，</w:t>
      </w:r>
      <w:r>
        <w:rPr>
          <w:rFonts w:hint="eastAsia" w:hAnsi="宋体" w:cs="宋体"/>
          <w:bCs/>
          <w:snapToGrid/>
          <w:color w:val="auto"/>
          <w:kern w:val="2"/>
          <w:sz w:val="24"/>
          <w:szCs w:val="24"/>
          <w:highlight w:val="none"/>
        </w:rPr>
        <w:t>主要内容：</w:t>
      </w:r>
      <w:r>
        <w:rPr>
          <w:rFonts w:hint="eastAsia" w:hAnsi="宋体" w:cs="宋体"/>
          <w:bCs/>
          <w:snapToGrid/>
          <w:color w:val="auto"/>
          <w:kern w:val="2"/>
          <w:sz w:val="24"/>
          <w:szCs w:val="24"/>
          <w:highlight w:val="none"/>
          <w:lang w:eastAsia="zh-CN"/>
        </w:rPr>
        <w:t>两个新建餐厅网络系统、监控系统、门禁系统、音响系统、存储系统（以上内容需要与暑期餐厅改造施工配合），教室、办公室、专用教室等室内场所新增监控含存储、原有存储升级等，具体包括安装、产品调试（含与原有设备整合）、试运行、验收与相关的操作培训及不少于3年（含）7×24小时免费设备保修和售后现场技术服务等内容。供应商可点击本公告下方“浏览采购文件”查看采购需求。</w:t>
      </w:r>
    </w:p>
    <w:p>
      <w:pPr>
        <w:pStyle w:val="5"/>
        <w:spacing w:line="360" w:lineRule="auto"/>
        <w:ind w:firstLine="480"/>
        <w:rPr>
          <w:rFonts w:hint="eastAsia" w:hAnsi="宋体" w:cs="宋体"/>
          <w:bCs/>
          <w:snapToGrid/>
          <w:color w:val="auto"/>
          <w:kern w:val="2"/>
          <w:sz w:val="24"/>
          <w:szCs w:val="24"/>
          <w:highlight w:val="none"/>
        </w:rPr>
      </w:pPr>
    </w:p>
    <w:p>
      <w:pPr>
        <w:pStyle w:val="5"/>
        <w:spacing w:line="360" w:lineRule="auto"/>
        <w:ind w:firstLine="480"/>
        <w:rPr>
          <w:rFonts w:hint="eastAsia" w:hAnsi="宋体" w:cs="宋体"/>
          <w:bCs/>
          <w:snapToGrid/>
          <w:color w:val="auto"/>
          <w:kern w:val="2"/>
          <w:sz w:val="24"/>
          <w:szCs w:val="24"/>
          <w:highlight w:val="none"/>
        </w:rPr>
      </w:pPr>
      <w:r>
        <w:rPr>
          <w:rFonts w:hint="eastAsia" w:hAnsi="宋体" w:cs="宋体"/>
          <w:bCs/>
          <w:snapToGrid/>
          <w:color w:val="auto"/>
          <w:kern w:val="2"/>
          <w:sz w:val="24"/>
          <w:szCs w:val="24"/>
          <w:highlight w:val="none"/>
        </w:rPr>
        <w:t>标项名称：</w:t>
      </w:r>
      <w:r>
        <w:rPr>
          <w:rFonts w:hint="eastAsia" w:hAnsi="宋体" w:cs="宋体"/>
          <w:sz w:val="24"/>
          <w:highlight w:val="none"/>
          <w:lang w:eastAsia="zh-CN"/>
        </w:rPr>
        <w:t>杭州市文溪中学校园网络及监控系统建设采购项目</w:t>
      </w:r>
    </w:p>
    <w:p>
      <w:pPr>
        <w:pStyle w:val="5"/>
        <w:spacing w:line="360" w:lineRule="auto"/>
        <w:ind w:firstLine="480"/>
        <w:rPr>
          <w:rFonts w:hint="eastAsia" w:hAnsi="宋体" w:eastAsia="宋体" w:cs="宋体"/>
          <w:bCs/>
          <w:snapToGrid/>
          <w:color w:val="auto"/>
          <w:kern w:val="2"/>
          <w:sz w:val="24"/>
          <w:szCs w:val="24"/>
          <w:highlight w:val="none"/>
          <w:lang w:val="en-US" w:eastAsia="zh-CN"/>
        </w:rPr>
      </w:pPr>
      <w:r>
        <w:rPr>
          <w:rFonts w:hint="eastAsia" w:hAnsi="宋体" w:cs="宋体"/>
          <w:bCs/>
          <w:snapToGrid/>
          <w:color w:val="auto"/>
          <w:kern w:val="2"/>
          <w:sz w:val="24"/>
          <w:szCs w:val="24"/>
          <w:highlight w:val="none"/>
        </w:rPr>
        <w:t>数量：</w:t>
      </w:r>
      <w:r>
        <w:rPr>
          <w:rFonts w:hint="default" w:hAnsi="宋体" w:cs="宋体"/>
          <w:bCs/>
          <w:snapToGrid/>
          <w:color w:val="auto"/>
          <w:kern w:val="2"/>
          <w:sz w:val="24"/>
          <w:szCs w:val="24"/>
          <w:highlight w:val="none"/>
          <w:lang w:val="en-US"/>
        </w:rPr>
        <w:t>1</w:t>
      </w:r>
      <w:r>
        <w:rPr>
          <w:rFonts w:hint="eastAsia" w:hAnsi="宋体" w:cs="宋体"/>
          <w:bCs/>
          <w:snapToGrid/>
          <w:color w:val="auto"/>
          <w:kern w:val="2"/>
          <w:sz w:val="24"/>
          <w:szCs w:val="24"/>
          <w:highlight w:val="none"/>
          <w:lang w:val="en-US" w:eastAsia="zh-CN"/>
        </w:rPr>
        <w:t>批</w:t>
      </w:r>
    </w:p>
    <w:p>
      <w:pPr>
        <w:spacing w:line="360" w:lineRule="auto"/>
        <w:ind w:firstLine="480"/>
        <w:rPr>
          <w:rFonts w:hint="default" w:ascii="宋体" w:hAnsi="宋体" w:cs="宋体"/>
          <w:sz w:val="24"/>
          <w:highlight w:val="none"/>
          <w:lang w:val="en-US"/>
        </w:rPr>
      </w:pPr>
      <w:r>
        <w:rPr>
          <w:rFonts w:hint="eastAsia" w:hAnsi="宋体" w:cs="宋体"/>
          <w:bCs/>
          <w:snapToGrid/>
          <w:color w:val="auto"/>
          <w:kern w:val="2"/>
          <w:sz w:val="24"/>
          <w:szCs w:val="24"/>
          <w:highlight w:val="none"/>
        </w:rPr>
        <w:t>预算金额（元）：</w:t>
      </w:r>
      <w:r>
        <w:rPr>
          <w:rFonts w:hint="default" w:ascii="宋体" w:hAnsi="宋体" w:cs="宋体"/>
          <w:sz w:val="24"/>
          <w:highlight w:val="none"/>
          <w:lang w:val="en-US" w:eastAsia="zh-CN"/>
        </w:rPr>
        <w:t>470000.00</w:t>
      </w:r>
    </w:p>
    <w:p>
      <w:pPr>
        <w:pStyle w:val="5"/>
        <w:spacing w:line="360" w:lineRule="auto"/>
        <w:ind w:firstLine="480"/>
        <w:rPr>
          <w:rFonts w:hint="eastAsia" w:hAnsi="宋体" w:cs="宋体"/>
          <w:bCs/>
          <w:snapToGrid/>
          <w:color w:val="auto"/>
          <w:kern w:val="2"/>
          <w:sz w:val="24"/>
          <w:szCs w:val="24"/>
          <w:highlight w:val="none"/>
          <w:lang w:eastAsia="zh-CN"/>
        </w:rPr>
      </w:pPr>
      <w:r>
        <w:rPr>
          <w:rFonts w:hint="eastAsia" w:hAnsi="宋体" w:cs="宋体"/>
          <w:bCs/>
          <w:snapToGrid/>
          <w:color w:val="auto"/>
          <w:kern w:val="2"/>
          <w:sz w:val="24"/>
          <w:szCs w:val="24"/>
          <w:highlight w:val="none"/>
        </w:rPr>
        <w:t>简要规格描述或项目基本概况介绍、用途：</w:t>
      </w:r>
      <w:r>
        <w:rPr>
          <w:rFonts w:hint="eastAsia" w:hAnsi="宋体" w:cs="宋体"/>
          <w:bCs/>
          <w:snapToGrid/>
          <w:color w:val="auto"/>
          <w:kern w:val="2"/>
          <w:sz w:val="24"/>
          <w:szCs w:val="24"/>
          <w:highlight w:val="none"/>
          <w:lang w:eastAsia="zh-CN"/>
        </w:rPr>
        <w:t>两个新建餐厅网络系统、监控系统、门禁系统、音响系统、存储系统（以上内容需要与暑期餐厅改造施工配合），教室、办公室、专用教室等室内场所新增监控含存储、原有存储升级等，具体包括安装、产品调试（含与原有设备整合）、试运行、验收与相关的操作培训及不少于3年（含）7×24小时免费设备保修和售后现场技术服务等内容。</w:t>
      </w:r>
    </w:p>
    <w:p>
      <w:pPr>
        <w:pStyle w:val="5"/>
        <w:spacing w:line="360" w:lineRule="auto"/>
        <w:ind w:firstLine="480"/>
        <w:rPr>
          <w:rFonts w:hint="eastAsia" w:ascii="宋体" w:hAnsi="宋体" w:eastAsia="宋体" w:cs="宋体"/>
          <w:highlight w:val="none"/>
          <w:lang w:val="en-US" w:eastAsia="zh-CN"/>
        </w:rPr>
      </w:pPr>
      <w:r>
        <w:rPr>
          <w:rFonts w:hint="eastAsia" w:hAnsi="宋体" w:cs="宋体"/>
          <w:bCs/>
          <w:snapToGrid/>
          <w:color w:val="auto"/>
          <w:kern w:val="2"/>
          <w:sz w:val="24"/>
          <w:szCs w:val="24"/>
          <w:highlight w:val="none"/>
        </w:rPr>
        <w:t>备注：</w:t>
      </w:r>
    </w:p>
    <w:p>
      <w:pPr>
        <w:pStyle w:val="129"/>
        <w:numPr>
          <w:ilvl w:val="0"/>
          <w:numId w:val="1"/>
        </w:numPr>
        <w:spacing w:line="360" w:lineRule="auto"/>
        <w:ind w:left="0" w:leftChars="0" w:firstLine="482" w:firstLineChars="200"/>
        <w:outlineLvl w:val="2"/>
        <w:rPr>
          <w:rFonts w:hint="eastAsia" w:ascii="宋体" w:hAnsi="宋体" w:eastAsia="宋体" w:cs="宋体"/>
          <w:highlight w:val="none"/>
          <w:lang w:val="en-US" w:eastAsia="zh-CN"/>
        </w:rPr>
      </w:pPr>
      <w:r>
        <w:rPr>
          <w:rFonts w:hint="eastAsia" w:ascii="宋体" w:hAnsi="宋体" w:cs="宋体"/>
          <w:b/>
          <w:highlight w:val="none"/>
        </w:rPr>
        <w:t>合同</w:t>
      </w:r>
      <w:r>
        <w:rPr>
          <w:rFonts w:hint="eastAsia" w:ascii="宋体" w:hAnsi="宋体" w:cs="宋体"/>
          <w:b/>
          <w:highlight w:val="none"/>
          <w:lang w:eastAsia="zh-CN"/>
        </w:rPr>
        <w:t>履约</w:t>
      </w:r>
      <w:r>
        <w:rPr>
          <w:rFonts w:hint="eastAsia" w:ascii="宋体" w:hAnsi="宋体" w:cs="宋体"/>
          <w:b/>
          <w:highlight w:val="none"/>
        </w:rPr>
        <w:t>期限：</w:t>
      </w:r>
      <w:r>
        <w:rPr>
          <w:rFonts w:hint="eastAsia"/>
          <w:b/>
          <w:bCs/>
          <w:highlight w:val="none"/>
          <w:lang w:eastAsia="zh-CN"/>
        </w:rPr>
        <w:t>合同签订后30天内完成全部建设内容；正常试运行1个月，培训并交付使用。</w:t>
      </w:r>
    </w:p>
    <w:p>
      <w:pPr>
        <w:pStyle w:val="5"/>
        <w:spacing w:line="360" w:lineRule="auto"/>
        <w:ind w:firstLine="480"/>
        <w:rPr>
          <w:rFonts w:hAnsi="宋体" w:cs="宋体"/>
          <w:color w:val="auto"/>
          <w:kern w:val="0"/>
          <w:sz w:val="24"/>
          <w:highlight w:val="none"/>
        </w:rPr>
      </w:pPr>
      <w:r>
        <w:rPr>
          <w:rFonts w:hint="eastAsia" w:hAnsi="宋体" w:cs="宋体"/>
          <w:b/>
          <w:color w:val="auto"/>
          <w:sz w:val="24"/>
          <w:highlight w:val="none"/>
          <w:lang w:val="en-US" w:eastAsia="zh-CN"/>
        </w:rPr>
        <w:t>2、</w:t>
      </w:r>
      <w:r>
        <w:rPr>
          <w:rFonts w:hint="eastAsia" w:hAnsi="宋体" w:cs="宋体"/>
          <w:b/>
          <w:color w:val="auto"/>
          <w:sz w:val="24"/>
          <w:highlight w:val="none"/>
        </w:rPr>
        <w:t>本项目接受联合体投标：</w:t>
      </w:r>
      <w:sdt>
        <w:sdtPr>
          <w:rPr>
            <w:rFonts w:hint="eastAsia" w:hAnsi="宋体" w:cs="宋体"/>
            <w:color w:val="auto"/>
            <w:kern w:val="0"/>
            <w:sz w:val="24"/>
            <w:highlight w:val="none"/>
          </w:rPr>
          <w:id w:val="2035453831"/>
          <w14:checkbox>
            <w14:checked w14:val="1"/>
            <w14:checkedState w14:val="00FE" w14:font="Wingdings"/>
            <w14:uncheckedState w14:val="2610" w14:font="MS Gothic"/>
          </w14:checkbox>
        </w:sdtPr>
        <w:sdtEndPr>
          <w:rPr>
            <w:rFonts w:hint="eastAsia" w:hAnsi="宋体" w:cs="宋体"/>
            <w:color w:val="auto"/>
            <w:kern w:val="0"/>
            <w:sz w:val="24"/>
            <w:highlight w:val="none"/>
          </w:rPr>
        </w:sdtEndPr>
        <w:sdtContent>
          <w:r>
            <w:rPr>
              <w:rFonts w:hint="eastAsia" w:ascii="Wingdings" w:hAnsi="Wingdings" w:eastAsia="宋体" w:cs="宋体"/>
              <w:snapToGrid w:val="0"/>
              <w:color w:val="auto"/>
              <w:kern w:val="0"/>
              <w:sz w:val="24"/>
              <w:szCs w:val="20"/>
              <w:highlight w:val="none"/>
              <w:lang w:val="en-US" w:eastAsia="zh-CN" w:bidi="ar-SA"/>
            </w:rPr>
            <w:t>þ</w:t>
          </w:r>
        </w:sdtContent>
      </w:sdt>
      <w:r>
        <w:rPr>
          <w:rFonts w:hint="eastAsia" w:hAnsi="宋体" w:cs="宋体"/>
          <w:b/>
          <w:color w:val="auto"/>
          <w:sz w:val="24"/>
          <w:highlight w:val="none"/>
        </w:rPr>
        <w:t>是，</w:t>
      </w:r>
      <w:sdt>
        <w:sdtPr>
          <w:rPr>
            <w:rFonts w:hint="eastAsia" w:hAnsi="宋体" w:cs="宋体"/>
            <w:color w:val="auto"/>
            <w:kern w:val="0"/>
            <w:sz w:val="24"/>
            <w:highlight w:val="none"/>
          </w:rPr>
          <w:id w:val="-1765526721"/>
          <w14:checkbox>
            <w14:checked w14:val="0"/>
            <w14:checkedState w14:val="00FE" w14:font="Wingdings"/>
            <w14:uncheckedState w14:val="2610" w14:font="MS Gothic"/>
          </w14:checkbox>
        </w:sdtPr>
        <w:sdtEndPr>
          <w:rPr>
            <w:rFonts w:hint="eastAsia" w:hAnsi="宋体" w:cs="宋体"/>
            <w:color w:val="auto"/>
            <w:kern w:val="0"/>
            <w:sz w:val="24"/>
            <w:highlight w:val="none"/>
          </w:rPr>
        </w:sdtEndPr>
        <w:sdtContent>
          <w:r>
            <w:rPr>
              <w:rFonts w:hint="eastAsia" w:ascii="MS Gothic" w:hAnsi="MS Gothic" w:eastAsia="宋体" w:cs="宋体"/>
              <w:snapToGrid w:val="0"/>
              <w:color w:val="auto"/>
              <w:kern w:val="0"/>
              <w:sz w:val="24"/>
              <w:szCs w:val="20"/>
              <w:highlight w:val="none"/>
              <w:lang w:val="en-US" w:eastAsia="zh-CN" w:bidi="ar-SA"/>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sz w:val="24"/>
          <w:highlight w:val="none"/>
        </w:rPr>
      </w:pPr>
      <w:r>
        <w:rPr>
          <w:rFonts w:hint="eastAsia" w:ascii="宋体" w:hAnsi="宋体" w:cs="宋体"/>
          <w:b/>
          <w:sz w:val="24"/>
          <w:highlight w:val="none"/>
        </w:rPr>
        <w:t>二、</w:t>
      </w:r>
      <w:bookmarkStart w:id="11" w:name="_Hlk101132948"/>
      <w:r>
        <w:rPr>
          <w:rFonts w:hint="eastAsia" w:ascii="宋体" w:hAnsi="宋体" w:cs="宋体"/>
          <w:b/>
          <w:sz w:val="24"/>
          <w:highlight w:val="none"/>
        </w:rPr>
        <w:t>申请人的资格要求</w:t>
      </w:r>
      <w:bookmarkEnd w:id="11"/>
      <w:r>
        <w:rPr>
          <w:rFonts w:hint="eastAsia" w:ascii="宋体" w:hAnsi="宋体" w:cs="宋体"/>
          <w:b/>
          <w:sz w:val="24"/>
          <w:highlight w:val="none"/>
        </w:rPr>
        <w:t>：</w:t>
      </w:r>
    </w:p>
    <w:p>
      <w:pPr>
        <w:spacing w:line="360" w:lineRule="auto"/>
        <w:ind w:firstLine="480"/>
        <w:rPr>
          <w:rFonts w:ascii="宋体" w:hAnsi="宋体" w:cs="宋体"/>
          <w:snapToGrid w:val="0"/>
          <w:kern w:val="28"/>
          <w:sz w:val="24"/>
          <w:szCs w:val="20"/>
          <w:highlight w:val="none"/>
        </w:rPr>
      </w:pPr>
      <w:r>
        <w:rPr>
          <w:rFonts w:hint="eastAsia" w:ascii="宋体" w:hAnsi="宋体" w:cs="宋体"/>
          <w:snapToGrid w:val="0"/>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highlight w:val="none"/>
        </w:rPr>
      </w:pPr>
      <w:r>
        <w:rPr>
          <w:rFonts w:hint="eastAsia" w:ascii="宋体" w:hAnsi="宋体" w:cs="宋体"/>
          <w:snapToGrid w:val="0"/>
          <w:kern w:val="28"/>
          <w:sz w:val="24"/>
          <w:szCs w:val="20"/>
          <w:highlight w:val="none"/>
        </w:rPr>
        <w:t xml:space="preserve">    </w:t>
      </w:r>
      <w:r>
        <w:rPr>
          <w:rFonts w:ascii="宋体" w:hAnsi="宋体" w:cs="宋体"/>
          <w:snapToGrid w:val="0"/>
          <w:kern w:val="28"/>
          <w:sz w:val="24"/>
          <w:szCs w:val="20"/>
          <w:highlight w:val="none"/>
        </w:rPr>
        <w:t>2</w:t>
      </w:r>
      <w:r>
        <w:rPr>
          <w:rFonts w:hint="eastAsia" w:ascii="宋体" w:hAnsi="宋体" w:cs="宋体"/>
          <w:snapToGrid w:val="0"/>
          <w:kern w:val="28"/>
          <w:sz w:val="24"/>
          <w:szCs w:val="20"/>
          <w:highlight w:val="none"/>
        </w:rPr>
        <w:t>.</w:t>
      </w:r>
      <w:r>
        <w:rPr>
          <w:rFonts w:hint="eastAsia"/>
          <w:highlight w:val="none"/>
        </w:rPr>
        <w:t xml:space="preserve"> </w:t>
      </w:r>
      <w:r>
        <w:rPr>
          <w:rFonts w:hint="eastAsia" w:ascii="宋体" w:hAnsi="宋体" w:cs="宋体"/>
          <w:snapToGrid w:val="0"/>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highlight w:val="none"/>
        </w:rPr>
      </w:pPr>
      <w:r>
        <w:rPr>
          <w:rFonts w:ascii="宋体" w:hAnsi="宋体" w:cs="宋体"/>
          <w:snapToGrid w:val="0"/>
          <w:kern w:val="28"/>
          <w:sz w:val="24"/>
          <w:szCs w:val="20"/>
          <w:highlight w:val="none"/>
        </w:rPr>
        <w:t>3</w:t>
      </w:r>
      <w:r>
        <w:rPr>
          <w:rFonts w:hint="eastAsia" w:ascii="宋体" w:hAnsi="宋体" w:cs="宋体"/>
          <w:snapToGrid w:val="0"/>
          <w:kern w:val="28"/>
          <w:sz w:val="24"/>
          <w:szCs w:val="20"/>
          <w:highlight w:val="none"/>
        </w:rPr>
        <w:t>.落实政府采购政策需满足的资格要求：</w:t>
      </w:r>
    </w:p>
    <w:p>
      <w:pPr>
        <w:spacing w:line="360" w:lineRule="auto"/>
        <w:ind w:firstLine="480" w:firstLineChars="200"/>
        <w:rPr>
          <w:rFonts w:ascii="宋体" w:hAnsi="宋体" w:cs="宋体"/>
          <w:sz w:val="24"/>
          <w:highlight w:val="none"/>
        </w:rPr>
      </w:pPr>
      <w:sdt>
        <w:sdtPr>
          <w:rPr>
            <w:rFonts w:hint="eastAsia" w:ascii="宋体" w:hAnsi="宋体" w:cs="宋体"/>
            <w:kern w:val="0"/>
            <w:sz w:val="24"/>
            <w:highlight w:val="none"/>
          </w:rPr>
          <w:id w:val="1928616923"/>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MS Gothic" w:hAnsi="MS Gothic" w:eastAsia="宋体" w:cs="宋体"/>
              <w:kern w:val="0"/>
              <w:sz w:val="24"/>
              <w:szCs w:val="24"/>
              <w:highlight w:val="none"/>
              <w:lang w:val="en-US" w:eastAsia="zh-CN" w:bidi="ar-SA"/>
            </w:rPr>
            <w:t>☐</w:t>
          </w:r>
        </w:sdtContent>
      </w:sdt>
      <w:r>
        <w:rPr>
          <w:rFonts w:hint="eastAsia" w:ascii="宋体" w:hAnsi="宋体" w:cs="宋体"/>
          <w:sz w:val="24"/>
          <w:highlight w:val="none"/>
        </w:rPr>
        <w:t>无（注：不得限制大中型企业与小微企业组成联合体参与投标）；</w:t>
      </w:r>
    </w:p>
    <w:p>
      <w:pPr>
        <w:spacing w:line="360" w:lineRule="auto"/>
        <w:ind w:firstLine="480" w:firstLineChars="200"/>
        <w:rPr>
          <w:rFonts w:ascii="宋体" w:hAnsi="宋体" w:cs="宋体"/>
          <w:sz w:val="24"/>
          <w:highlight w:val="none"/>
        </w:rPr>
      </w:pPr>
      <w:sdt>
        <w:sdtPr>
          <w:rPr>
            <w:rFonts w:hint="eastAsia" w:ascii="宋体" w:hAnsi="宋体" w:cs="宋体"/>
            <w:kern w:val="0"/>
            <w:sz w:val="24"/>
            <w:highlight w:val="none"/>
          </w:rPr>
          <w:id w:val="-1024704304"/>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Wingdings" w:hAnsi="Wingdings" w:eastAsia="宋体" w:cs="宋体"/>
              <w:kern w:val="0"/>
              <w:sz w:val="24"/>
              <w:szCs w:val="24"/>
              <w:highlight w:val="none"/>
              <w:lang w:val="en-US" w:eastAsia="zh-CN" w:bidi="ar-SA"/>
            </w:rPr>
            <w:t>þ</w:t>
          </w:r>
        </w:sdtContent>
      </w:sdt>
      <w:r>
        <w:rPr>
          <w:rFonts w:hint="eastAsia" w:ascii="宋体" w:hAnsi="宋体" w:cs="宋体"/>
          <w:kern w:val="0"/>
          <w:sz w:val="24"/>
          <w:highlight w:val="none"/>
        </w:rPr>
        <w:t>专</w:t>
      </w:r>
      <w:r>
        <w:rPr>
          <w:rFonts w:hint="eastAsia" w:ascii="宋体" w:hAnsi="宋体" w:cs="宋体"/>
          <w:sz w:val="24"/>
          <w:highlight w:val="none"/>
        </w:rPr>
        <w:t>门面向中小企业</w:t>
      </w:r>
    </w:p>
    <w:p>
      <w:pPr>
        <w:spacing w:line="360" w:lineRule="auto"/>
        <w:ind w:firstLine="897" w:firstLineChars="374"/>
        <w:rPr>
          <w:rFonts w:ascii="宋体" w:hAnsi="宋体" w:cs="宋体"/>
          <w:sz w:val="24"/>
          <w:highlight w:val="none"/>
          <w:u w:val="single"/>
        </w:rPr>
      </w:pPr>
      <w:sdt>
        <w:sdtPr>
          <w:rPr>
            <w:rFonts w:hint="eastAsia" w:ascii="宋体" w:hAnsi="宋体" w:cs="宋体"/>
            <w:kern w:val="0"/>
            <w:sz w:val="24"/>
            <w:highlight w:val="none"/>
          </w:rPr>
          <w:id w:val="-924730588"/>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Wingdings" w:hAnsi="Wingdings" w:eastAsia="宋体" w:cs="宋体"/>
              <w:kern w:val="0"/>
              <w:sz w:val="24"/>
              <w:szCs w:val="24"/>
              <w:highlight w:val="none"/>
              <w:lang w:val="en-US" w:eastAsia="zh-CN" w:bidi="ar-SA"/>
            </w:rPr>
            <w:t>þ</w:t>
          </w:r>
        </w:sdtContent>
      </w:sdt>
      <w:r>
        <w:rPr>
          <w:rFonts w:hint="eastAsia" w:ascii="宋体" w:hAnsi="宋体" w:cs="宋体"/>
          <w:sz w:val="24"/>
          <w:highlight w:val="none"/>
        </w:rPr>
        <w:t>货物全部由符合政策要求的中小企业制造，提供中小企业声明函；</w:t>
      </w:r>
    </w:p>
    <w:p>
      <w:pPr>
        <w:spacing w:line="360" w:lineRule="auto"/>
        <w:ind w:firstLine="897" w:firstLineChars="374"/>
        <w:rPr>
          <w:rFonts w:ascii="宋体" w:hAnsi="宋体" w:cs="宋体"/>
          <w:sz w:val="24"/>
          <w:highlight w:val="none"/>
        </w:rPr>
      </w:pPr>
      <w:sdt>
        <w:sdtPr>
          <w:rPr>
            <w:rFonts w:hint="eastAsia" w:ascii="宋体" w:hAnsi="宋体" w:cs="宋体"/>
            <w:kern w:val="0"/>
            <w:sz w:val="24"/>
            <w:highlight w:val="none"/>
          </w:rPr>
          <w:id w:val="-1152604937"/>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MS Gothic" w:hAnsi="MS Gothic" w:eastAsia="宋体" w:cs="宋体"/>
              <w:kern w:val="0"/>
              <w:sz w:val="24"/>
              <w:szCs w:val="24"/>
              <w:highlight w:val="none"/>
              <w:lang w:val="en-US" w:eastAsia="zh-CN" w:bidi="ar-SA"/>
            </w:rPr>
            <w:t>☐</w:t>
          </w:r>
        </w:sdtContent>
      </w:sdt>
      <w:r>
        <w:rPr>
          <w:rFonts w:hint="eastAsia" w:ascii="宋体" w:hAnsi="宋体" w:cs="宋体"/>
          <w:sz w:val="24"/>
          <w:highlight w:val="none"/>
        </w:rPr>
        <w:t>货物全部由符合政策要求的小微企业制造，提供中小企业声明函；</w:t>
      </w:r>
    </w:p>
    <w:p>
      <w:pPr>
        <w:spacing w:line="360" w:lineRule="auto"/>
        <w:ind w:firstLine="480" w:firstLineChars="200"/>
        <w:rPr>
          <w:rFonts w:ascii="宋体" w:hAnsi="宋体" w:cs="宋体"/>
          <w:sz w:val="24"/>
          <w:highlight w:val="none"/>
        </w:rPr>
      </w:pPr>
      <w:sdt>
        <w:sdtPr>
          <w:rPr>
            <w:rFonts w:hint="eastAsia" w:ascii="宋体" w:hAnsi="宋体" w:cs="宋体"/>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bookmarkStart w:id="12" w:name="_Hlk101132524"/>
        </w:sdtContent>
      </w:sdt>
      <w:r>
        <w:rPr>
          <w:rFonts w:hint="eastAsia" w:ascii="宋体" w:hAnsi="宋体" w:cs="宋体"/>
          <w:sz w:val="24"/>
          <w:highlight w:val="none"/>
        </w:rPr>
        <w:t>要求以联合体形式参加，提供联合协议和中小企业声明函，联合协议中中小企业合同金额应当达到</w:t>
      </w:r>
      <w:r>
        <w:rPr>
          <w:rFonts w:hint="eastAsia" w:ascii="宋体" w:hAnsi="宋体" w:cs="宋体"/>
          <w:sz w:val="24"/>
          <w:highlight w:val="none"/>
          <w:u w:val="single"/>
        </w:rPr>
        <w:t xml:space="preserve">  </w:t>
      </w:r>
      <w:r>
        <w:rPr>
          <w:rFonts w:hint="eastAsia" w:ascii="宋体" w:hAnsi="宋体" w:cs="宋体"/>
          <w:sz w:val="24"/>
          <w:highlight w:val="none"/>
        </w:rPr>
        <w:t>%，小微企业合同金额应当达到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宋体" w:hAnsi="宋体" w:cs="宋体"/>
          <w:sz w:val="24"/>
          <w:highlight w:val="none"/>
        </w:rPr>
        <w:t>；</w:t>
      </w:r>
    </w:p>
    <w:bookmarkEnd w:id="12"/>
    <w:p>
      <w:pPr>
        <w:spacing w:line="360" w:lineRule="auto"/>
        <w:ind w:firstLine="480" w:firstLineChars="200"/>
        <w:rPr>
          <w:rFonts w:ascii="宋体" w:hAnsi="宋体" w:cs="宋体"/>
          <w:sz w:val="24"/>
          <w:highlight w:val="none"/>
        </w:rPr>
      </w:pPr>
      <w:sdt>
        <w:sdtPr>
          <w:rPr>
            <w:rFonts w:hint="eastAsia" w:ascii="宋体" w:hAnsi="宋体" w:cs="宋体"/>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sz w:val="24"/>
          <w:highlight w:val="none"/>
        </w:rPr>
        <w:t>要求合同分包，提供分包意向协议和中小企业声明函，分包意向协议中中小企业合同金额应当达到达到</w:t>
      </w:r>
      <w:r>
        <w:rPr>
          <w:rFonts w:hint="eastAsia" w:ascii="宋体" w:hAnsi="宋体" w:cs="宋体"/>
          <w:sz w:val="24"/>
          <w:highlight w:val="none"/>
          <w:u w:val="single"/>
        </w:rPr>
        <w:t xml:space="preserve">  </w:t>
      </w:r>
      <w:r>
        <w:rPr>
          <w:rFonts w:hint="eastAsia" w:ascii="宋体" w:hAnsi="宋体" w:cs="宋体"/>
          <w:sz w:val="24"/>
          <w:highlight w:val="none"/>
        </w:rPr>
        <w:t>% ，小微企业合同金额应当达到</w:t>
      </w:r>
      <w:r>
        <w:rPr>
          <w:rFonts w:hint="eastAsia" w:ascii="宋体" w:hAnsi="宋体" w:cs="宋体"/>
          <w:sz w:val="24"/>
          <w:highlight w:val="none"/>
          <w:u w:val="single"/>
        </w:rPr>
        <w:t xml:space="preserve"> </w:t>
      </w:r>
      <w:r>
        <w:rPr>
          <w:rFonts w:hint="eastAsia" w:ascii="宋体" w:hAnsi="宋体" w:cs="宋体"/>
          <w:sz w:val="24"/>
          <w:highlight w:val="none"/>
        </w:rPr>
        <w:t>% ;</w:t>
      </w:r>
      <w:r>
        <w:rPr>
          <w:rFonts w:hint="eastAsia" w:ascii="宋体" w:hAnsi="宋体" w:cs="宋体"/>
          <w:spacing w:val="8"/>
          <w:kern w:val="0"/>
          <w:sz w:val="24"/>
          <w:highlight w:val="none"/>
        </w:rPr>
        <w:t>如果供应商本身提供所有标的均由中小企业制造、承建或承接，视同符合了资格条件，无需再向中小企业分包，无需提供分包意向协议</w:t>
      </w:r>
      <w:r>
        <w:rPr>
          <w:rFonts w:hint="eastAsia" w:ascii="宋体" w:hAnsi="宋体" w:cs="宋体"/>
          <w:sz w:val="24"/>
          <w:highlight w:val="none"/>
        </w:rPr>
        <w:t>；</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w:t>
      </w:r>
    </w:p>
    <w:p>
      <w:pPr>
        <w:snapToGrid w:val="0"/>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50898254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sz w:val="24"/>
          <w:highlight w:val="none"/>
        </w:rPr>
        <w:t>无</w:t>
      </w:r>
    </w:p>
    <w:p>
      <w:pPr>
        <w:snapToGrid w:val="0"/>
        <w:spacing w:line="360" w:lineRule="auto"/>
        <w:ind w:firstLine="480" w:firstLineChars="200"/>
        <w:rPr>
          <w:rFonts w:ascii="宋体" w:hAnsi="宋体" w:cs="宋体"/>
          <w:color w:val="auto"/>
          <w:sz w:val="24"/>
          <w:highlight w:val="none"/>
          <w:u w:val="single"/>
        </w:rPr>
      </w:pPr>
      <w:sdt>
        <w:sdtPr>
          <w:rPr>
            <w:rFonts w:hint="eastAsia" w:ascii="宋体" w:hAnsi="宋体" w:cs="宋体"/>
            <w:color w:val="auto"/>
            <w:kern w:val="0"/>
            <w:sz w:val="24"/>
            <w:highlight w:val="none"/>
          </w:rPr>
          <w:id w:val="-1607112291"/>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sz w:val="24"/>
          <w:highlight w:val="none"/>
        </w:rPr>
        <w:t>有特定资格要求：</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，该特定条件的法律法规依据：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sz w:val="24"/>
          <w:highlight w:val="none"/>
        </w:rPr>
      </w:pPr>
      <w:r>
        <w:rPr>
          <w:rFonts w:ascii="宋体" w:hAnsi="宋体" w:cs="宋体"/>
          <w:sz w:val="24"/>
          <w:highlight w:val="none"/>
        </w:rPr>
        <w:t>5</w:t>
      </w:r>
      <w:r>
        <w:rPr>
          <w:rFonts w:hint="eastAsia" w:ascii="宋体" w:hAnsi="宋体" w:cs="宋体"/>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highlight w:val="none"/>
        </w:rPr>
      </w:pPr>
      <w:r>
        <w:rPr>
          <w:rFonts w:hint="eastAsia" w:ascii="宋体" w:hAnsi="宋体" w:cs="宋体"/>
          <w:b/>
          <w:sz w:val="24"/>
          <w:highlight w:val="none"/>
        </w:rPr>
        <w:t xml:space="preserve">三、获取招标文件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时间：</w:t>
      </w:r>
      <w:r>
        <w:rPr>
          <w:rFonts w:hint="eastAsia" w:ascii="宋体" w:hAnsi="宋体" w:cs="宋体"/>
          <w:sz w:val="24"/>
          <w:highlight w:val="none"/>
        </w:rPr>
        <w:t>/至</w:t>
      </w:r>
      <w:r>
        <w:rPr>
          <w:rFonts w:hint="eastAsia" w:ascii="宋体" w:hAnsi="宋体" w:cs="宋体"/>
          <w:sz w:val="24"/>
          <w:highlight w:val="none"/>
          <w:u w:val="single"/>
        </w:rPr>
        <w:t>202</w:t>
      </w:r>
      <w:r>
        <w:rPr>
          <w:rFonts w:hint="default" w:ascii="宋体" w:hAnsi="宋体" w:cs="宋体"/>
          <w:sz w:val="24"/>
          <w:highlight w:val="none"/>
          <w:u w:val="single"/>
          <w:lang w:val="en-US" w:eastAsia="zh-CN"/>
        </w:rPr>
        <w:t>3</w:t>
      </w:r>
      <w:r>
        <w:rPr>
          <w:rFonts w:hint="eastAsia" w:ascii="宋体" w:hAnsi="宋体" w:cs="宋体"/>
          <w:sz w:val="24"/>
          <w:highlight w:val="none"/>
          <w:u w:val="single"/>
        </w:rPr>
        <w:t>年</w:t>
      </w:r>
      <w:r>
        <w:rPr>
          <w:rFonts w:hint="default" w:ascii="宋体" w:hAnsi="宋体" w:cs="宋体"/>
          <w:sz w:val="24"/>
          <w:highlight w:val="none"/>
          <w:u w:val="single"/>
          <w:lang w:val="en-US" w:eastAsia="zh-CN"/>
        </w:rPr>
        <w:t>6</w:t>
      </w:r>
      <w:r>
        <w:rPr>
          <w:rFonts w:hint="eastAsia" w:ascii="宋体" w:hAnsi="宋体" w:cs="宋体"/>
          <w:sz w:val="24"/>
          <w:highlight w:val="none"/>
          <w:u w:val="single"/>
        </w:rPr>
        <w:t>月</w:t>
      </w:r>
      <w:r>
        <w:rPr>
          <w:rFonts w:hint="default" w:ascii="宋体" w:hAnsi="宋体" w:cs="宋体"/>
          <w:sz w:val="24"/>
          <w:highlight w:val="none"/>
          <w:u w:val="single"/>
          <w:lang w:val="en-US"/>
        </w:rPr>
        <w:t>13</w:t>
      </w:r>
      <w:r>
        <w:rPr>
          <w:rFonts w:hint="eastAsia" w:ascii="宋体" w:hAnsi="宋体" w:cs="宋体"/>
          <w:sz w:val="24"/>
          <w:highlight w:val="none"/>
          <w:u w:val="single"/>
        </w:rPr>
        <w:t>日</w:t>
      </w:r>
      <w:r>
        <w:rPr>
          <w:rFonts w:hint="eastAsia" w:ascii="宋体" w:hAnsi="宋体" w:cs="宋体"/>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地点（网址）：</w:t>
      </w:r>
      <w:r>
        <w:rPr>
          <w:rFonts w:hint="eastAsia" w:ascii="宋体" w:hAnsi="宋体" w:cs="宋体"/>
          <w:sz w:val="24"/>
          <w:highlight w:val="none"/>
        </w:rPr>
        <w:t xml:space="preserve">政采云平台（https://www.zcygov.cn/）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方式：</w:t>
      </w:r>
      <w:r>
        <w:rPr>
          <w:rFonts w:hint="eastAsia" w:ascii="宋体" w:hAnsi="宋体" w:cs="宋体"/>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售价（元）：</w:t>
      </w:r>
      <w:r>
        <w:rPr>
          <w:rFonts w:hint="eastAsia" w:ascii="宋体" w:hAnsi="宋体" w:cs="宋体"/>
          <w:sz w:val="24"/>
          <w:highlight w:val="none"/>
        </w:rPr>
        <w:t xml:space="preserve">0 </w:t>
      </w:r>
      <w:r>
        <w:rPr>
          <w:rFonts w:hint="eastAsia" w:ascii="宋体" w:hAnsi="宋体" w:cs="宋体"/>
          <w:sz w:val="24"/>
          <w:highlight w:val="none"/>
        </w:rPr>
        <w:tab/>
      </w:r>
    </w:p>
    <w:p>
      <w:pPr>
        <w:spacing w:line="360" w:lineRule="auto"/>
        <w:rPr>
          <w:rFonts w:ascii="宋体" w:hAnsi="宋体" w:cs="宋体"/>
          <w:b/>
          <w:sz w:val="24"/>
          <w:highlight w:val="none"/>
        </w:rPr>
      </w:pPr>
      <w:r>
        <w:rPr>
          <w:rFonts w:hint="eastAsia" w:ascii="宋体" w:hAnsi="宋体" w:cs="宋体"/>
          <w:b/>
          <w:sz w:val="24"/>
          <w:highlight w:val="none"/>
        </w:rPr>
        <w:t>四、提交投标文件截止时间、开标时间和地点</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提交投标文件截止时间：</w:t>
      </w:r>
      <w:r>
        <w:rPr>
          <w:rFonts w:hint="eastAsia" w:ascii="宋体" w:hAnsi="宋体" w:cs="宋体"/>
          <w:sz w:val="24"/>
          <w:highlight w:val="none"/>
          <w:u w:val="single"/>
        </w:rPr>
        <w:t xml:space="preserve"> 202</w:t>
      </w:r>
      <w:r>
        <w:rPr>
          <w:rFonts w:hint="default" w:ascii="宋体" w:hAnsi="宋体" w:cs="宋体"/>
          <w:sz w:val="24"/>
          <w:highlight w:val="none"/>
          <w:u w:val="single"/>
          <w:lang w:val="en-US" w:eastAsia="zh-CN"/>
        </w:rPr>
        <w:t>3</w:t>
      </w:r>
      <w:r>
        <w:rPr>
          <w:rFonts w:hint="eastAsia" w:ascii="宋体" w:hAnsi="宋体" w:cs="宋体"/>
          <w:sz w:val="24"/>
          <w:highlight w:val="none"/>
          <w:u w:val="single"/>
        </w:rPr>
        <w:t>年</w:t>
      </w:r>
      <w:r>
        <w:rPr>
          <w:rFonts w:hint="default" w:ascii="宋体" w:hAnsi="宋体" w:cs="宋体"/>
          <w:sz w:val="24"/>
          <w:highlight w:val="none"/>
          <w:u w:val="single"/>
          <w:lang w:val="en-US"/>
        </w:rPr>
        <w:t>6</w:t>
      </w:r>
      <w:r>
        <w:rPr>
          <w:rFonts w:hint="eastAsia" w:ascii="宋体" w:hAnsi="宋体" w:cs="宋体"/>
          <w:sz w:val="24"/>
          <w:highlight w:val="none"/>
          <w:u w:val="single"/>
        </w:rPr>
        <w:t>月</w:t>
      </w:r>
      <w:r>
        <w:rPr>
          <w:rFonts w:hint="default" w:ascii="宋体" w:hAnsi="宋体" w:cs="宋体"/>
          <w:sz w:val="24"/>
          <w:highlight w:val="none"/>
          <w:u w:val="single"/>
          <w:lang w:val="en-US"/>
        </w:rPr>
        <w:t>13</w:t>
      </w:r>
      <w:r>
        <w:rPr>
          <w:rFonts w:hint="eastAsia" w:ascii="宋体" w:hAnsi="宋体" w:cs="宋体"/>
          <w:sz w:val="24"/>
          <w:highlight w:val="none"/>
          <w:u w:val="single"/>
        </w:rPr>
        <w:t>日</w:t>
      </w:r>
      <w:r>
        <w:rPr>
          <w:rFonts w:hint="default" w:ascii="宋体" w:hAnsi="宋体" w:cs="宋体"/>
          <w:sz w:val="24"/>
          <w:highlight w:val="none"/>
          <w:u w:val="single"/>
          <w:lang w:val="en-US"/>
        </w:rPr>
        <w:t>09</w:t>
      </w:r>
      <w:r>
        <w:rPr>
          <w:rFonts w:hint="eastAsia" w:ascii="宋体" w:hAnsi="宋体" w:cs="宋体"/>
          <w:sz w:val="24"/>
          <w:highlight w:val="none"/>
          <w:u w:val="single"/>
        </w:rPr>
        <w:t>点</w:t>
      </w:r>
      <w:r>
        <w:rPr>
          <w:rFonts w:hint="default" w:ascii="宋体" w:hAnsi="宋体" w:cs="宋体"/>
          <w:sz w:val="24"/>
          <w:highlight w:val="none"/>
          <w:u w:val="single"/>
          <w:lang w:val="en-US"/>
        </w:rPr>
        <w:t>30</w:t>
      </w:r>
      <w:r>
        <w:rPr>
          <w:rFonts w:hint="eastAsia" w:ascii="宋体" w:hAnsi="宋体" w:cs="宋体"/>
          <w:sz w:val="24"/>
          <w:highlight w:val="none"/>
          <w:u w:val="single"/>
        </w:rPr>
        <w:t>分</w:t>
      </w:r>
      <w:r>
        <w:rPr>
          <w:rFonts w:hint="eastAsia" w:ascii="宋体" w:hAnsi="宋体" w:cs="宋体"/>
          <w:bCs/>
          <w:sz w:val="24"/>
          <w:highlight w:val="none"/>
          <w:u w:val="single"/>
        </w:rPr>
        <w:t xml:space="preserve"> </w:t>
      </w:r>
      <w:r>
        <w:rPr>
          <w:rFonts w:hint="eastAsia" w:ascii="宋体" w:hAnsi="宋体" w:cs="宋体"/>
          <w:sz w:val="24"/>
          <w:highlight w:val="none"/>
        </w:rPr>
        <w:t>（北京时间）</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投标地点（网址）：</w:t>
      </w:r>
      <w:r>
        <w:rPr>
          <w:rFonts w:hint="eastAsia" w:ascii="宋体" w:hAnsi="宋体" w:cs="宋体"/>
          <w:sz w:val="24"/>
          <w:highlight w:val="none"/>
        </w:rPr>
        <w:t xml:space="preserve">政采云平台（https://www.zcygov.cn/） </w:t>
      </w:r>
    </w:p>
    <w:p>
      <w:pPr>
        <w:spacing w:line="360" w:lineRule="auto"/>
        <w:ind w:firstLine="482" w:firstLineChars="200"/>
        <w:rPr>
          <w:rFonts w:ascii="宋体" w:hAnsi="宋体" w:cs="宋体"/>
          <w:bCs/>
          <w:sz w:val="24"/>
          <w:highlight w:val="none"/>
          <w:u w:val="single"/>
        </w:rPr>
      </w:pPr>
      <w:r>
        <w:rPr>
          <w:rFonts w:hint="eastAsia" w:ascii="宋体" w:hAnsi="宋体" w:cs="宋体"/>
          <w:b/>
          <w:sz w:val="24"/>
          <w:highlight w:val="none"/>
        </w:rPr>
        <w:t>开标时间：</w:t>
      </w:r>
      <w:r>
        <w:rPr>
          <w:rFonts w:hint="eastAsia" w:ascii="宋体" w:hAnsi="宋体" w:cs="宋体"/>
          <w:sz w:val="24"/>
          <w:highlight w:val="none"/>
          <w:u w:val="single"/>
        </w:rPr>
        <w:t>202</w:t>
      </w:r>
      <w:r>
        <w:rPr>
          <w:rFonts w:hint="default" w:ascii="宋体" w:hAnsi="宋体" w:cs="宋体"/>
          <w:sz w:val="24"/>
          <w:highlight w:val="none"/>
          <w:u w:val="single"/>
          <w:lang w:val="en-US" w:eastAsia="zh-CN"/>
        </w:rPr>
        <w:t>3</w:t>
      </w:r>
      <w:r>
        <w:rPr>
          <w:rFonts w:hint="eastAsia" w:ascii="宋体" w:hAnsi="宋体" w:cs="宋体"/>
          <w:sz w:val="24"/>
          <w:highlight w:val="none"/>
          <w:u w:val="single"/>
        </w:rPr>
        <w:t>年</w:t>
      </w:r>
      <w:r>
        <w:rPr>
          <w:rFonts w:hint="default" w:ascii="宋体" w:hAnsi="宋体" w:cs="宋体"/>
          <w:sz w:val="24"/>
          <w:highlight w:val="none"/>
          <w:u w:val="single"/>
          <w:lang w:val="en-US" w:eastAsia="zh-CN"/>
        </w:rPr>
        <w:t>6</w:t>
      </w:r>
      <w:r>
        <w:rPr>
          <w:rFonts w:hint="eastAsia" w:ascii="宋体" w:hAnsi="宋体" w:cs="宋体"/>
          <w:sz w:val="24"/>
          <w:highlight w:val="none"/>
          <w:u w:val="single"/>
        </w:rPr>
        <w:t>月</w:t>
      </w:r>
      <w:r>
        <w:rPr>
          <w:rFonts w:hint="default" w:ascii="宋体" w:hAnsi="宋体" w:cs="宋体"/>
          <w:sz w:val="24"/>
          <w:highlight w:val="none"/>
          <w:u w:val="single"/>
          <w:lang w:val="en-US" w:eastAsia="zh-CN"/>
        </w:rPr>
        <w:t>13</w:t>
      </w:r>
      <w:r>
        <w:rPr>
          <w:rFonts w:hint="eastAsia" w:ascii="宋体" w:hAnsi="宋体" w:cs="宋体"/>
          <w:sz w:val="24"/>
          <w:highlight w:val="none"/>
          <w:u w:val="single"/>
        </w:rPr>
        <w:t>日</w:t>
      </w:r>
      <w:r>
        <w:rPr>
          <w:rFonts w:hint="default" w:ascii="宋体" w:hAnsi="宋体" w:cs="宋体"/>
          <w:sz w:val="24"/>
          <w:highlight w:val="none"/>
          <w:u w:val="single"/>
          <w:lang w:val="en-US"/>
        </w:rPr>
        <w:t>09</w:t>
      </w:r>
      <w:r>
        <w:rPr>
          <w:rFonts w:hint="eastAsia" w:ascii="宋体" w:hAnsi="宋体" w:cs="宋体"/>
          <w:sz w:val="24"/>
          <w:highlight w:val="none"/>
          <w:u w:val="single"/>
        </w:rPr>
        <w:t>点</w:t>
      </w:r>
      <w:r>
        <w:rPr>
          <w:rFonts w:hint="default" w:ascii="宋体" w:hAnsi="宋体" w:cs="宋体"/>
          <w:sz w:val="24"/>
          <w:highlight w:val="none"/>
          <w:u w:val="single"/>
          <w:lang w:val="en-US"/>
        </w:rPr>
        <w:t>30</w:t>
      </w:r>
      <w:r>
        <w:rPr>
          <w:rFonts w:hint="eastAsia" w:ascii="宋体" w:hAnsi="宋体" w:cs="宋体"/>
          <w:sz w:val="24"/>
          <w:highlight w:val="none"/>
          <w:u w:val="single"/>
        </w:rPr>
        <w:t>分</w:t>
      </w:r>
      <w:r>
        <w:rPr>
          <w:rFonts w:hint="eastAsia" w:ascii="宋体" w:hAnsi="宋体" w:cs="宋体"/>
          <w:bCs/>
          <w:sz w:val="24"/>
          <w:highlight w:val="none"/>
          <w:u w:val="single"/>
        </w:rPr>
        <w:t xml:space="preserve">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开标地点（网址）：</w:t>
      </w:r>
      <w:r>
        <w:rPr>
          <w:rFonts w:hint="eastAsia" w:ascii="宋体" w:hAnsi="宋体" w:cs="宋体"/>
          <w:sz w:val="24"/>
          <w:highlight w:val="none"/>
        </w:rPr>
        <w:t>政采云平台（https://www.zcygov.cn/）</w:t>
      </w:r>
    </w:p>
    <w:p>
      <w:pPr>
        <w:spacing w:line="360" w:lineRule="auto"/>
        <w:rPr>
          <w:rFonts w:ascii="宋体" w:hAnsi="宋体" w:cs="宋体"/>
          <w:sz w:val="24"/>
          <w:highlight w:val="none"/>
        </w:rPr>
      </w:pPr>
      <w:r>
        <w:rPr>
          <w:rFonts w:hint="eastAsia" w:ascii="宋体" w:hAnsi="宋体" w:cs="宋体"/>
          <w:b/>
          <w:sz w:val="24"/>
          <w:highlight w:val="none"/>
        </w:rPr>
        <w:t xml:space="preserve">五、公告期限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自本公告发布之日起5个工作日。</w:t>
      </w:r>
    </w:p>
    <w:p>
      <w:pPr>
        <w:spacing w:line="360" w:lineRule="auto"/>
        <w:rPr>
          <w:rFonts w:ascii="宋体" w:hAnsi="宋体" w:cs="宋体"/>
          <w:b/>
          <w:sz w:val="24"/>
          <w:highlight w:val="none"/>
        </w:rPr>
      </w:pPr>
      <w:r>
        <w:rPr>
          <w:rFonts w:hint="eastAsia" w:ascii="宋体" w:hAnsi="宋体" w:cs="宋体"/>
          <w:b/>
          <w:sz w:val="24"/>
          <w:highlight w:val="none"/>
        </w:rPr>
        <w:t>六、其他补充事宜</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 1.</w:t>
      </w:r>
      <w:r>
        <w:rPr>
          <w:rFonts w:hint="eastAsia" w:ascii="宋体" w:hAnsi="宋体" w:cs="宋体"/>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highlight w:val="none"/>
        </w:rPr>
      </w:pPr>
      <w:r>
        <w:rPr>
          <w:rFonts w:hint="eastAsia" w:ascii="宋体" w:hAnsi="宋体" w:cs="宋体"/>
          <w:b/>
          <w:sz w:val="24"/>
          <w:highlight w:val="none"/>
        </w:rPr>
        <w:t>七、对本次采购提出询问、质疑、投诉，请按以下方式联系</w:t>
      </w:r>
    </w:p>
    <w:p>
      <w:pPr>
        <w:spacing w:line="360" w:lineRule="auto"/>
        <w:rPr>
          <w:rFonts w:ascii="宋体" w:hAnsi="宋体" w:cs="宋体"/>
          <w:sz w:val="24"/>
          <w:highlight w:val="none"/>
        </w:rPr>
      </w:pPr>
      <w:r>
        <w:rPr>
          <w:rFonts w:hint="eastAsia" w:ascii="宋体" w:hAnsi="宋体" w:cs="宋体"/>
          <w:sz w:val="24"/>
          <w:highlight w:val="none"/>
        </w:rPr>
        <w:t xml:space="preserve">    1.采购人信息</w:t>
      </w:r>
    </w:p>
    <w:p>
      <w:pPr>
        <w:spacing w:line="360" w:lineRule="auto"/>
        <w:rPr>
          <w:rFonts w:hint="eastAsia" w:ascii="宋体" w:hAnsi="宋体" w:eastAsia="宋体" w:cs="宋体"/>
          <w:sz w:val="24"/>
          <w:highlight w:val="none"/>
          <w:lang w:eastAsia="zh-CN"/>
        </w:rPr>
      </w:pPr>
      <w:r>
        <w:rPr>
          <w:rFonts w:hint="eastAsia" w:ascii="宋体" w:hAnsi="宋体" w:cs="宋体"/>
          <w:sz w:val="24"/>
          <w:highlight w:val="none"/>
        </w:rPr>
        <w:t xml:space="preserve">    名    称：</w:t>
      </w:r>
      <w:r>
        <w:rPr>
          <w:rFonts w:hint="eastAsia" w:ascii="宋体" w:hAnsi="宋体" w:cs="宋体"/>
          <w:sz w:val="24"/>
          <w:highlight w:val="none"/>
          <w:lang w:eastAsia="zh-CN"/>
        </w:rPr>
        <w:t>杭州市文溪中学</w:t>
      </w:r>
    </w:p>
    <w:p>
      <w:pPr>
        <w:spacing w:line="360" w:lineRule="auto"/>
        <w:rPr>
          <w:rFonts w:ascii="宋体" w:hAnsi="宋体" w:cs="宋体"/>
          <w:sz w:val="24"/>
          <w:highlight w:val="none"/>
        </w:rPr>
      </w:pPr>
      <w:r>
        <w:rPr>
          <w:rFonts w:hint="eastAsia" w:ascii="宋体" w:hAnsi="宋体" w:cs="宋体"/>
          <w:sz w:val="24"/>
          <w:highlight w:val="none"/>
        </w:rPr>
        <w:t xml:space="preserve">     地    址： </w:t>
      </w:r>
      <w:r>
        <w:rPr>
          <w:rFonts w:hint="eastAsia" w:ascii="宋体" w:hAnsi="宋体" w:cs="宋体"/>
          <w:sz w:val="24"/>
          <w:highlight w:val="none"/>
          <w:lang w:eastAsia="zh-CN"/>
        </w:rPr>
        <w:t>杭州市春申街</w:t>
      </w:r>
      <w:r>
        <w:rPr>
          <w:rFonts w:hint="default" w:ascii="宋体" w:hAnsi="宋体" w:cs="宋体"/>
          <w:sz w:val="24"/>
          <w:highlight w:val="none"/>
          <w:lang w:val="en-US" w:eastAsia="zh-CN"/>
        </w:rPr>
        <w:t>15</w:t>
      </w:r>
      <w:r>
        <w:rPr>
          <w:rFonts w:hint="eastAsia" w:ascii="宋体" w:hAnsi="宋体" w:cs="宋体"/>
          <w:sz w:val="24"/>
          <w:highlight w:val="none"/>
          <w:lang w:val="en-US" w:eastAsia="zh-CN"/>
        </w:rPr>
        <w:t>号</w:t>
      </w:r>
      <w:r>
        <w:rPr>
          <w:rFonts w:hint="eastAsia" w:ascii="宋体" w:hAnsi="宋体" w:cs="宋体"/>
          <w:sz w:val="24"/>
          <w:highlight w:val="none"/>
        </w:rPr>
        <w:t xml:space="preserve">     </w:t>
      </w:r>
    </w:p>
    <w:p>
      <w:pPr>
        <w:spacing w:line="360" w:lineRule="auto"/>
        <w:ind w:firstLine="480"/>
        <w:rPr>
          <w:rFonts w:ascii="宋体" w:hAnsi="宋体" w:cs="宋体"/>
          <w:sz w:val="24"/>
          <w:highlight w:val="none"/>
        </w:rPr>
      </w:pPr>
      <w:r>
        <w:rPr>
          <w:rFonts w:hint="eastAsia" w:ascii="宋体" w:hAnsi="宋体" w:cs="宋体"/>
          <w:sz w:val="24"/>
          <w:highlight w:val="none"/>
        </w:rPr>
        <w:t>传    真： /</w:t>
      </w:r>
    </w:p>
    <w:p>
      <w:pPr>
        <w:spacing w:line="360" w:lineRule="auto"/>
        <w:ind w:firstLine="480"/>
        <w:rPr>
          <w:rFonts w:hint="eastAsia" w:ascii="宋体" w:hAnsi="宋体" w:eastAsia="宋体" w:cs="宋体"/>
          <w:sz w:val="24"/>
          <w:highlight w:val="none"/>
          <w:lang w:eastAsia="zh-CN"/>
        </w:rPr>
      </w:pPr>
      <w:r>
        <w:rPr>
          <w:rFonts w:hint="eastAsia" w:ascii="宋体" w:hAnsi="宋体" w:cs="宋体"/>
          <w:sz w:val="24"/>
          <w:highlight w:val="none"/>
        </w:rPr>
        <w:t xml:space="preserve">项目联系人（询问）： </w:t>
      </w:r>
      <w:r>
        <w:rPr>
          <w:rFonts w:hint="eastAsia" w:ascii="宋体" w:hAnsi="宋体" w:cs="宋体"/>
          <w:sz w:val="24"/>
          <w:highlight w:val="none"/>
          <w:lang w:eastAsia="zh-CN"/>
        </w:rPr>
        <w:t>陈峰</w:t>
      </w:r>
      <w:r>
        <w:rPr>
          <w:rFonts w:hint="eastAsia" w:ascii="宋体" w:hAnsi="宋体" w:cs="宋体"/>
          <w:sz w:val="24"/>
          <w:highlight w:val="none"/>
        </w:rPr>
        <w:t xml:space="preserve"> </w:t>
      </w:r>
      <w:r>
        <w:rPr>
          <w:rFonts w:hint="eastAsia" w:ascii="宋体" w:hAnsi="宋体" w:cs="宋体"/>
          <w:sz w:val="24"/>
          <w:highlight w:val="none"/>
          <w:lang w:eastAsia="zh-CN"/>
        </w:rPr>
        <w:t xml:space="preserve"> </w:t>
      </w:r>
    </w:p>
    <w:p>
      <w:pPr>
        <w:spacing w:line="360" w:lineRule="auto"/>
        <w:ind w:firstLine="480"/>
        <w:rPr>
          <w:rFonts w:hint="default" w:ascii="宋体" w:hAnsi="宋体" w:cs="宋体"/>
          <w:sz w:val="24"/>
          <w:highlight w:val="none"/>
          <w:lang w:val="en-US"/>
        </w:rPr>
      </w:pPr>
      <w:r>
        <w:rPr>
          <w:rFonts w:hint="eastAsia" w:ascii="宋体" w:hAnsi="宋体" w:cs="宋体"/>
          <w:sz w:val="24"/>
          <w:highlight w:val="none"/>
        </w:rPr>
        <w:t xml:space="preserve">项目联系方式（询问）： </w:t>
      </w:r>
      <w:r>
        <w:rPr>
          <w:rFonts w:hint="default" w:ascii="宋体" w:hAnsi="宋体" w:cs="宋体"/>
          <w:sz w:val="24"/>
          <w:highlight w:val="none"/>
          <w:lang w:val="en-US"/>
        </w:rPr>
        <w:t>0571-89930922</w:t>
      </w:r>
    </w:p>
    <w:p>
      <w:pPr>
        <w:spacing w:line="360" w:lineRule="auto"/>
        <w:ind w:firstLine="480"/>
        <w:rPr>
          <w:rFonts w:hint="eastAsia" w:ascii="宋体" w:hAnsi="宋体" w:eastAsia="宋体" w:cs="宋体"/>
          <w:sz w:val="24"/>
          <w:highlight w:val="none"/>
          <w:lang w:val="en-US" w:eastAsia="zh-CN"/>
        </w:rPr>
      </w:pPr>
      <w:r>
        <w:rPr>
          <w:rFonts w:hint="eastAsia" w:ascii="宋体" w:hAnsi="宋体" w:cs="宋体"/>
          <w:sz w:val="24"/>
          <w:highlight w:val="none"/>
        </w:rPr>
        <w:t>质疑联系人：</w:t>
      </w:r>
      <w:r>
        <w:rPr>
          <w:rFonts w:hint="eastAsia" w:ascii="宋体" w:hAnsi="宋体" w:cs="宋体"/>
          <w:sz w:val="24"/>
          <w:highlight w:val="none"/>
          <w:lang w:val="en-US" w:eastAsia="zh-CN"/>
        </w:rPr>
        <w:t>邵建洪</w:t>
      </w:r>
    </w:p>
    <w:p>
      <w:pPr>
        <w:spacing w:line="360" w:lineRule="auto"/>
        <w:rPr>
          <w:rFonts w:hint="default" w:ascii="宋体" w:hAnsi="宋体" w:eastAsia="宋体" w:cs="宋体"/>
          <w:sz w:val="24"/>
          <w:highlight w:val="none"/>
          <w:lang w:val="en-US" w:eastAsia="zh-CN"/>
        </w:rPr>
      </w:pPr>
      <w:r>
        <w:rPr>
          <w:rFonts w:hint="eastAsia" w:ascii="宋体" w:hAnsi="宋体" w:cs="宋体"/>
          <w:sz w:val="24"/>
          <w:highlight w:val="none"/>
        </w:rPr>
        <w:t xml:space="preserve">    质疑联系方式：</w:t>
      </w:r>
      <w:r>
        <w:rPr>
          <w:rFonts w:hint="default" w:ascii="宋体" w:hAnsi="宋体" w:cs="宋体"/>
          <w:sz w:val="24"/>
          <w:highlight w:val="none"/>
          <w:lang w:val="en-US"/>
        </w:rPr>
        <w:t>0571-899</w:t>
      </w:r>
      <w:r>
        <w:rPr>
          <w:rFonts w:hint="eastAsia" w:ascii="宋体" w:hAnsi="宋体" w:cs="宋体"/>
          <w:sz w:val="24"/>
          <w:highlight w:val="none"/>
          <w:lang w:val="en-US" w:eastAsia="zh-CN"/>
        </w:rPr>
        <w:t>30918</w:t>
      </w:r>
    </w:p>
    <w:p>
      <w:pPr>
        <w:spacing w:line="360" w:lineRule="auto"/>
        <w:rPr>
          <w:rFonts w:ascii="宋体" w:hAnsi="宋体" w:cs="宋体"/>
          <w:sz w:val="24"/>
          <w:highlight w:val="none"/>
        </w:rPr>
      </w:pPr>
      <w:r>
        <w:rPr>
          <w:rFonts w:hint="eastAsia" w:ascii="宋体" w:hAnsi="宋体" w:cs="宋体"/>
          <w:sz w:val="24"/>
          <w:highlight w:val="none"/>
        </w:rPr>
        <w:t xml:space="preserve">    2.采购代理机构信息            </w:t>
      </w:r>
    </w:p>
    <w:p>
      <w:pPr>
        <w:spacing w:line="360" w:lineRule="auto"/>
        <w:ind w:firstLine="480"/>
        <w:rPr>
          <w:rFonts w:hint="eastAsia" w:ascii="宋体" w:hAnsi="宋体" w:eastAsia="宋体" w:cs="宋体"/>
          <w:sz w:val="24"/>
          <w:highlight w:val="none"/>
          <w:lang w:eastAsia="zh-CN"/>
        </w:rPr>
      </w:pPr>
      <w:r>
        <w:rPr>
          <w:rFonts w:hint="eastAsia" w:ascii="宋体" w:hAnsi="宋体" w:cs="宋体"/>
          <w:sz w:val="24"/>
          <w:highlight w:val="none"/>
        </w:rPr>
        <w:t>名    称：</w:t>
      </w:r>
      <w:r>
        <w:rPr>
          <w:rFonts w:hint="eastAsia" w:ascii="宋体" w:hAnsi="宋体" w:cs="宋体"/>
          <w:sz w:val="24"/>
          <w:highlight w:val="none"/>
          <w:lang w:eastAsia="zh-CN"/>
        </w:rPr>
        <w:t>杭州市西湖区政府采购中心</w:t>
      </w:r>
    </w:p>
    <w:p>
      <w:pPr>
        <w:spacing w:line="360" w:lineRule="auto"/>
        <w:ind w:firstLine="480"/>
        <w:rPr>
          <w:rFonts w:hint="eastAsia" w:ascii="宋体" w:hAnsi="宋体" w:eastAsia="宋体" w:cs="宋体"/>
          <w:sz w:val="24"/>
          <w:highlight w:val="none"/>
          <w:lang w:eastAsia="zh-CN"/>
        </w:rPr>
      </w:pPr>
      <w:r>
        <w:rPr>
          <w:rFonts w:hint="eastAsia" w:ascii="宋体" w:hAnsi="宋体" w:cs="宋体"/>
          <w:sz w:val="24"/>
          <w:highlight w:val="none"/>
        </w:rPr>
        <w:t>地    址：</w:t>
      </w:r>
      <w:r>
        <w:rPr>
          <w:rFonts w:hint="eastAsia" w:ascii="宋体" w:hAnsi="宋体" w:cs="宋体"/>
          <w:sz w:val="24"/>
          <w:highlight w:val="none"/>
          <w:lang w:eastAsia="zh-CN"/>
        </w:rPr>
        <w:t>杭州市西湖区文一西路858号</w:t>
      </w:r>
    </w:p>
    <w:p>
      <w:pPr>
        <w:spacing w:line="360" w:lineRule="auto"/>
        <w:rPr>
          <w:rFonts w:ascii="宋体" w:hAnsi="宋体" w:cs="宋体"/>
          <w:sz w:val="24"/>
          <w:highlight w:val="none"/>
        </w:rPr>
      </w:pPr>
      <w:r>
        <w:rPr>
          <w:rFonts w:hint="eastAsia" w:ascii="宋体" w:hAnsi="宋体" w:cs="宋体"/>
          <w:sz w:val="24"/>
          <w:highlight w:val="none"/>
        </w:rPr>
        <w:t xml:space="preserve">    传    真：</w:t>
      </w:r>
      <w:r>
        <w:rPr>
          <w:rFonts w:hint="eastAsia" w:ascii="宋体" w:hAnsi="宋体" w:cs="宋体"/>
          <w:sz w:val="24"/>
          <w:highlight w:val="none"/>
          <w:lang w:val="en-US" w:eastAsia="zh-CN"/>
        </w:rPr>
        <w:t>0571-89511006</w:t>
      </w: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    项目联系人（询问）：</w:t>
      </w:r>
      <w:r>
        <w:rPr>
          <w:rFonts w:hint="eastAsia" w:ascii="宋体" w:hAnsi="宋体" w:cs="宋体"/>
          <w:sz w:val="24"/>
          <w:highlight w:val="none"/>
          <w:lang w:eastAsia="zh-CN"/>
        </w:rPr>
        <w:t>江涛</w:t>
      </w:r>
      <w:r>
        <w:rPr>
          <w:rFonts w:hint="eastAsia" w:ascii="宋体" w:hAnsi="宋体" w:cs="宋体"/>
          <w:sz w:val="24"/>
          <w:highlight w:val="none"/>
        </w:rPr>
        <w:t xml:space="preserve">          </w:t>
      </w:r>
    </w:p>
    <w:p>
      <w:pPr>
        <w:spacing w:line="360" w:lineRule="auto"/>
        <w:rPr>
          <w:rFonts w:hint="eastAsia" w:ascii="宋体" w:hAnsi="宋体" w:eastAsia="宋体" w:cs="宋体"/>
          <w:sz w:val="24"/>
          <w:highlight w:val="none"/>
          <w:lang w:eastAsia="zh-CN"/>
        </w:rPr>
      </w:pPr>
      <w:r>
        <w:rPr>
          <w:rFonts w:hint="eastAsia" w:ascii="宋体" w:hAnsi="宋体" w:cs="宋体"/>
          <w:sz w:val="24"/>
          <w:highlight w:val="none"/>
        </w:rPr>
        <w:t xml:space="preserve">    项目联系方式（询问）：</w:t>
      </w:r>
      <w:r>
        <w:rPr>
          <w:rFonts w:hint="eastAsia" w:ascii="宋体" w:hAnsi="宋体" w:cs="宋体"/>
          <w:sz w:val="24"/>
          <w:highlight w:val="none"/>
          <w:lang w:eastAsia="zh-CN"/>
        </w:rPr>
        <w:t>0571-89511007</w:t>
      </w:r>
    </w:p>
    <w:p>
      <w:pPr>
        <w:spacing w:line="360" w:lineRule="auto"/>
        <w:rPr>
          <w:rFonts w:ascii="宋体" w:hAnsi="宋体" w:cs="宋体"/>
          <w:sz w:val="24"/>
          <w:highlight w:val="none"/>
        </w:rPr>
      </w:pPr>
      <w:r>
        <w:rPr>
          <w:rFonts w:hint="eastAsia" w:ascii="宋体" w:hAnsi="宋体" w:cs="宋体"/>
          <w:sz w:val="24"/>
          <w:highlight w:val="none"/>
        </w:rPr>
        <w:t xml:space="preserve">    质疑联系人：</w:t>
      </w:r>
      <w:r>
        <w:rPr>
          <w:rFonts w:hint="eastAsia" w:ascii="宋体" w:hAnsi="宋体" w:cs="宋体"/>
          <w:sz w:val="24"/>
          <w:highlight w:val="none"/>
          <w:lang w:eastAsia="zh-CN"/>
        </w:rPr>
        <w:t>缪新新</w:t>
      </w:r>
      <w:r>
        <w:rPr>
          <w:rFonts w:hint="eastAsia" w:ascii="宋体" w:hAnsi="宋体" w:cs="宋体"/>
          <w:sz w:val="24"/>
          <w:highlight w:val="none"/>
        </w:rPr>
        <w:t xml:space="preserve">              </w:t>
      </w:r>
    </w:p>
    <w:p>
      <w:pPr>
        <w:spacing w:line="360" w:lineRule="auto"/>
        <w:rPr>
          <w:rFonts w:hint="eastAsia" w:ascii="宋体" w:hAnsi="宋体" w:eastAsia="宋体" w:cs="宋体"/>
          <w:sz w:val="24"/>
          <w:highlight w:val="none"/>
          <w:lang w:eastAsia="zh-CN"/>
        </w:rPr>
      </w:pPr>
      <w:r>
        <w:rPr>
          <w:rFonts w:hint="eastAsia" w:ascii="宋体" w:hAnsi="宋体" w:cs="宋体"/>
          <w:sz w:val="24"/>
          <w:highlight w:val="none"/>
        </w:rPr>
        <w:t xml:space="preserve">    质疑联系方式：</w:t>
      </w:r>
      <w:r>
        <w:rPr>
          <w:rFonts w:hint="eastAsia" w:ascii="宋体" w:hAnsi="宋体" w:cs="宋体"/>
          <w:sz w:val="24"/>
          <w:highlight w:val="none"/>
          <w:lang w:eastAsia="zh-CN"/>
        </w:rPr>
        <w:t>0571-89511561</w:t>
      </w:r>
    </w:p>
    <w:p>
      <w:pPr>
        <w:spacing w:line="360" w:lineRule="auto"/>
        <w:rPr>
          <w:rFonts w:ascii="宋体" w:hAnsi="宋体" w:cs="宋体"/>
          <w:sz w:val="24"/>
          <w:highlight w:val="none"/>
        </w:rPr>
      </w:pPr>
      <w:r>
        <w:rPr>
          <w:rFonts w:hint="eastAsia" w:ascii="宋体" w:hAnsi="宋体" w:cs="宋体"/>
          <w:sz w:val="24"/>
          <w:highlight w:val="none"/>
        </w:rPr>
        <w:t xml:space="preserve">    3.同级政府采购监督管理部门            </w:t>
      </w:r>
    </w:p>
    <w:p>
      <w:pPr>
        <w:spacing w:line="360" w:lineRule="auto"/>
        <w:rPr>
          <w:rFonts w:hint="eastAsia" w:ascii="宋体" w:hAnsi="宋体" w:eastAsia="宋体" w:cs="宋体"/>
          <w:sz w:val="24"/>
          <w:highlight w:val="none"/>
          <w:lang w:eastAsia="zh-CN"/>
        </w:rPr>
      </w:pPr>
      <w:r>
        <w:rPr>
          <w:rFonts w:hint="eastAsia" w:ascii="宋体" w:hAnsi="宋体" w:cs="宋体"/>
          <w:sz w:val="24"/>
          <w:highlight w:val="none"/>
        </w:rPr>
        <w:t xml:space="preserve">    名    称：</w:t>
      </w:r>
      <w:r>
        <w:rPr>
          <w:rFonts w:hint="eastAsia" w:ascii="宋体" w:hAnsi="宋体" w:cs="宋体"/>
          <w:sz w:val="24"/>
          <w:highlight w:val="none"/>
          <w:lang w:eastAsia="zh-CN"/>
        </w:rPr>
        <w:t>杭州市西湖区政府采购监管科</w:t>
      </w:r>
    </w:p>
    <w:p>
      <w:pPr>
        <w:spacing w:line="360" w:lineRule="auto"/>
        <w:rPr>
          <w:rFonts w:hint="eastAsia" w:ascii="宋体" w:hAnsi="宋体" w:eastAsia="宋体" w:cs="宋体"/>
          <w:sz w:val="24"/>
          <w:highlight w:val="none"/>
          <w:lang w:eastAsia="zh-CN"/>
        </w:rPr>
      </w:pPr>
      <w:r>
        <w:rPr>
          <w:rFonts w:hint="eastAsia" w:ascii="宋体" w:hAnsi="宋体" w:cs="宋体"/>
          <w:sz w:val="24"/>
          <w:highlight w:val="none"/>
        </w:rPr>
        <w:t xml:space="preserve">    地    址：</w:t>
      </w:r>
      <w:r>
        <w:rPr>
          <w:rFonts w:hint="eastAsia" w:ascii="宋体" w:hAnsi="宋体" w:cs="宋体"/>
          <w:sz w:val="24"/>
          <w:highlight w:val="none"/>
          <w:lang w:eastAsia="zh-CN"/>
        </w:rPr>
        <w:t>杭州市文三西路18号1104室</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 xml:space="preserve">  传    真： /</w:t>
      </w:r>
    </w:p>
    <w:p>
      <w:pPr>
        <w:spacing w:line="360" w:lineRule="auto"/>
        <w:rPr>
          <w:rFonts w:ascii="宋体" w:hAnsi="宋体" w:cs="宋体"/>
          <w:sz w:val="24"/>
          <w:highlight w:val="none"/>
        </w:rPr>
      </w:pPr>
      <w:r>
        <w:rPr>
          <w:rFonts w:hint="eastAsia" w:ascii="宋体" w:hAnsi="宋体" w:cs="宋体"/>
          <w:sz w:val="24"/>
          <w:highlight w:val="none"/>
        </w:rPr>
        <w:t xml:space="preserve">    联系人 ：</w:t>
      </w:r>
      <w:r>
        <w:rPr>
          <w:rFonts w:hint="eastAsia" w:ascii="宋体" w:hAnsi="宋体" w:cs="宋体"/>
          <w:sz w:val="24"/>
          <w:highlight w:val="none"/>
          <w:lang w:eastAsia="zh-CN"/>
        </w:rPr>
        <w:t>韩继伟</w:t>
      </w:r>
      <w:r>
        <w:rPr>
          <w:rFonts w:hint="eastAsia" w:ascii="宋体" w:hAnsi="宋体" w:cs="宋体"/>
          <w:sz w:val="24"/>
          <w:highlight w:val="none"/>
        </w:rPr>
        <w:t xml:space="preserve">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监督投诉电话：0571-89511307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CA问题联系电话（人工）：汇信CA 400-888-4636；天谷CA 400-087-8198。</w:t>
      </w:r>
    </w:p>
    <w:p>
      <w:pPr>
        <w:pStyle w:val="33"/>
        <w:spacing w:line="360" w:lineRule="auto"/>
        <w:rPr>
          <w:rFonts w:hAnsi="宋体" w:cs="宋体"/>
          <w:b/>
          <w:sz w:val="36"/>
          <w:szCs w:val="20"/>
          <w:highlight w:val="none"/>
        </w:rPr>
      </w:pPr>
      <w:r>
        <w:rPr>
          <w:rFonts w:hint="eastAsia" w:hAnsi="宋体" w:cs="宋体"/>
          <w:sz w:val="24"/>
          <w:highlight w:val="none"/>
        </w:rPr>
        <w:t xml:space="preserve">                        </w:t>
      </w:r>
      <w:r>
        <w:rPr>
          <w:rFonts w:hAnsi="宋体" w:cs="宋体"/>
          <w:b/>
          <w:sz w:val="36"/>
          <w:szCs w:val="20"/>
          <w:highlight w:val="none"/>
        </w:rPr>
        <w:t xml:space="preserve"> </w:t>
      </w:r>
    </w:p>
    <w:p>
      <w:pPr>
        <w:pStyle w:val="33"/>
        <w:spacing w:line="360" w:lineRule="auto"/>
        <w:jc w:val="center"/>
        <w:rPr>
          <w:rFonts w:hAnsi="宋体" w:cs="宋体"/>
          <w:b/>
          <w:sz w:val="36"/>
          <w:szCs w:val="20"/>
          <w:highlight w:val="none"/>
        </w:rPr>
      </w:pPr>
      <w:r>
        <w:rPr>
          <w:rFonts w:hint="eastAsia" w:hAnsi="宋体" w:cs="宋体"/>
          <w:b/>
          <w:sz w:val="36"/>
          <w:szCs w:val="20"/>
          <w:highlight w:val="none"/>
        </w:rPr>
        <w:t>第二部分</w:t>
      </w:r>
      <w:bookmarkEnd w:id="8"/>
      <w:r>
        <w:rPr>
          <w:rFonts w:hint="eastAsia" w:hAnsi="宋体" w:cs="宋体"/>
          <w:b/>
          <w:sz w:val="36"/>
          <w:szCs w:val="20"/>
          <w:highlight w:val="none"/>
        </w:rPr>
        <w:t xml:space="preserve"> 投标人须知</w:t>
      </w:r>
      <w:bookmarkEnd w:id="9"/>
    </w:p>
    <w:p>
      <w:pPr>
        <w:snapToGrid w:val="0"/>
        <w:spacing w:line="360" w:lineRule="auto"/>
        <w:jc w:val="center"/>
        <w:rPr>
          <w:rFonts w:ascii="宋体" w:hAnsi="宋体" w:cs="宋体"/>
          <w:b/>
          <w:sz w:val="32"/>
          <w:szCs w:val="20"/>
          <w:highlight w:val="none"/>
        </w:rPr>
      </w:pPr>
      <w:r>
        <w:rPr>
          <w:rFonts w:hint="eastAsia" w:ascii="宋体" w:hAnsi="宋体" w:cs="宋体"/>
          <w:b/>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28" w:type="dxa"/>
          <w:bottom w:w="0" w:type="dxa"/>
          <w:right w:w="28" w:type="dxa"/>
        </w:tblCellMar>
      </w:tblPr>
      <w:tblGrid>
        <w:gridCol w:w="340"/>
        <w:gridCol w:w="1502"/>
        <w:gridCol w:w="71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0" w:type="auto"/>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序号</w:t>
            </w:r>
          </w:p>
        </w:tc>
        <w:tc>
          <w:tcPr>
            <w:tcW w:w="0" w:type="auto"/>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事项</w:t>
            </w:r>
          </w:p>
        </w:tc>
        <w:tc>
          <w:tcPr>
            <w:tcW w:w="0" w:type="auto"/>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5" w:hRule="atLeast"/>
          <w:tblHeader/>
        </w:trPr>
        <w:tc>
          <w:tcPr>
            <w:tcW w:w="0" w:type="auto"/>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r>
              <w:rPr>
                <w:rFonts w:hint="eastAsia" w:ascii="宋体" w:hAnsi="宋体" w:cs="宋体"/>
                <w:sz w:val="24"/>
                <w:highlight w:val="none"/>
              </w:rPr>
              <w:t>1</w:t>
            </w:r>
          </w:p>
        </w:tc>
        <w:tc>
          <w:tcPr>
            <w:tcW w:w="0" w:type="auto"/>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项目属性与核心产品</w:t>
            </w: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default" w:ascii="宋体" w:hAnsi="宋体" w:eastAsia="宋体" w:cs="宋体"/>
                <w:sz w:val="24"/>
                <w:highlight w:val="none"/>
                <w:lang w:val="en-US" w:eastAsia="zh-CN"/>
              </w:rPr>
            </w:pPr>
            <w:r>
              <w:rPr>
                <w:rFonts w:hint="eastAsia" w:ascii="宋体" w:hAnsi="宋体" w:cs="宋体"/>
                <w:sz w:val="24"/>
                <w:highlight w:val="none"/>
              </w:rPr>
              <w:t>货物类，单一产品或</w:t>
            </w:r>
            <w:r>
              <w:rPr>
                <w:rFonts w:hint="eastAsia" w:ascii="宋体" w:hAnsi="宋体" w:cs="宋体"/>
                <w:kern w:val="0"/>
                <w:sz w:val="24"/>
                <w:highlight w:val="none"/>
              </w:rPr>
              <w:t>核心产品为：</w:t>
            </w:r>
            <w:r>
              <w:rPr>
                <w:rFonts w:hint="default" w:ascii="宋体" w:hAnsi="宋体" w:cs="宋体"/>
                <w:kern w:val="0"/>
                <w:sz w:val="24"/>
                <w:highlight w:val="none"/>
                <w:lang w:val="en-US" w:eastAsia="zh-CN"/>
              </w:rPr>
              <w:t>定焦枪型网络摄像机、磁盘阵列、POE交换机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0" w:type="auto"/>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r>
              <w:rPr>
                <w:rFonts w:hint="eastAsia" w:ascii="宋体" w:hAnsi="宋体" w:cs="宋体"/>
                <w:sz w:val="24"/>
                <w:highlight w:val="none"/>
              </w:rPr>
              <w:t>2</w:t>
            </w:r>
          </w:p>
        </w:tc>
        <w:tc>
          <w:tcPr>
            <w:tcW w:w="0" w:type="auto"/>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采购标的及其对应的中小企业划分标准所属行业</w:t>
            </w: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highlight w:val="none"/>
                <w:lang w:val="en-US"/>
              </w:rPr>
            </w:pPr>
            <w:r>
              <w:rPr>
                <w:rFonts w:hint="eastAsia" w:ascii="宋体" w:hAnsi="宋体" w:eastAsia="宋体" w:cs="宋体"/>
                <w:sz w:val="24"/>
                <w:szCs w:val="24"/>
                <w:highlight w:val="none"/>
              </w:rPr>
              <w:t>采购标的：</w:t>
            </w:r>
            <w:r>
              <w:rPr>
                <w:rFonts w:hint="eastAsia" w:ascii="宋体" w:hAnsi="宋体" w:cs="宋体"/>
                <w:kern w:val="0"/>
                <w:sz w:val="24"/>
                <w:highlight w:val="none"/>
                <w:lang w:val="en-US" w:eastAsia="zh-CN"/>
              </w:rPr>
              <w:t>网络及监控系统</w:t>
            </w:r>
            <w:r>
              <w:rPr>
                <w:rFonts w:hint="eastAsia" w:ascii="宋体" w:hAnsi="宋体" w:eastAsia="宋体" w:cs="宋体"/>
                <w:sz w:val="24"/>
                <w:szCs w:val="24"/>
                <w:highlight w:val="none"/>
              </w:rPr>
              <w:t>，所属行业：工业。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0" w:type="auto"/>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r>
              <w:rPr>
                <w:rFonts w:hint="eastAsia" w:ascii="宋体" w:hAnsi="宋体" w:cs="宋体"/>
                <w:sz w:val="24"/>
                <w:highlight w:val="none"/>
              </w:rPr>
              <w:t>3</w:t>
            </w:r>
          </w:p>
        </w:tc>
        <w:tc>
          <w:tcPr>
            <w:tcW w:w="0" w:type="auto"/>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是否允许采购进口产品</w:t>
            </w: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highlight w:val="none"/>
              </w:rPr>
            </w:pPr>
            <w:sdt>
              <w:sdtPr>
                <w:rPr>
                  <w:rFonts w:hint="eastAsia" w:ascii="宋体" w:hAnsi="宋体" w:cs="宋体"/>
                  <w:kern w:val="0"/>
                  <w:sz w:val="24"/>
                  <w:highlight w:val="none"/>
                </w:rPr>
                <w:id w:val="-1828425707"/>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sym w:font="Wingdings" w:char="F0FE"/>
                </w:r>
              </w:sdtContent>
            </w:sdt>
            <w:r>
              <w:rPr>
                <w:rFonts w:hint="eastAsia" w:ascii="宋体" w:hAnsi="宋体" w:cs="宋体"/>
                <w:kern w:val="0"/>
                <w:sz w:val="24"/>
                <w:highlight w:val="none"/>
              </w:rPr>
              <w:t>本项目不允许采购进口产品。</w:t>
            </w:r>
          </w:p>
          <w:p>
            <w:pPr>
              <w:spacing w:line="360" w:lineRule="auto"/>
              <w:rPr>
                <w:rFonts w:hint="eastAsia" w:ascii="宋体" w:hAnsi="宋体" w:cs="宋体"/>
                <w:kern w:val="0"/>
                <w:sz w:val="24"/>
                <w:highlight w:val="none"/>
              </w:rPr>
            </w:pPr>
            <w:sdt>
              <w:sdtPr>
                <w:rPr>
                  <w:rFonts w:hint="eastAsia" w:ascii="宋体" w:hAnsi="宋体" w:cs="宋体"/>
                  <w:kern w:val="0"/>
                  <w:sz w:val="24"/>
                  <w:highlight w:val="none"/>
                </w:rPr>
                <w:id w:val="-52852824"/>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kern w:val="0"/>
                <w:sz w:val="24"/>
                <w:highlight w:val="none"/>
              </w:rPr>
              <w:t>可以就</w:t>
            </w:r>
            <w:r>
              <w:rPr>
                <w:rFonts w:hint="eastAsia" w:ascii="宋体" w:hAnsi="宋体" w:cs="宋体"/>
                <w:sz w:val="24"/>
                <w:highlight w:val="none"/>
                <w:u w:val="single"/>
              </w:rPr>
              <w:t xml:space="preserve">    </w:t>
            </w:r>
            <w:r>
              <w:rPr>
                <w:rFonts w:hint="eastAsia" w:ascii="宋体" w:hAnsi="宋体" w:cs="宋体"/>
                <w:kern w:val="0"/>
                <w:sz w:val="24"/>
                <w:highlight w:val="none"/>
              </w:rPr>
              <w:t>采购进口产品。</w:t>
            </w:r>
          </w:p>
          <w:p>
            <w:pPr>
              <w:spacing w:line="360" w:lineRule="auto"/>
              <w:rPr>
                <w:rFonts w:ascii="宋体" w:hAnsi="宋体" w:cs="宋体"/>
                <w:highlight w:val="none"/>
              </w:rPr>
            </w:pPr>
            <w:r>
              <w:rPr>
                <w:rFonts w:hint="eastAsia" w:ascii="宋体" w:hAnsi="宋体" w:cs="宋体"/>
                <w:kern w:val="0"/>
                <w:sz w:val="24"/>
                <w:highlight w:val="none"/>
              </w:rPr>
              <w:t>优先采购向我国企业转让技术、与我国企业签订消化吸收再创新方案的供应商的进口产品，详见评分标准。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0" w:type="auto"/>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4</w:t>
            </w:r>
          </w:p>
        </w:tc>
        <w:tc>
          <w:tcPr>
            <w:tcW w:w="0" w:type="auto"/>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highlight w:val="none"/>
              </w:rPr>
            </w:pPr>
            <w:r>
              <w:rPr>
                <w:rFonts w:hint="eastAsia" w:ascii="宋体" w:hAnsi="宋体" w:cs="宋体"/>
                <w:b/>
                <w:sz w:val="24"/>
                <w:highlight w:val="none"/>
              </w:rPr>
              <w:t>分包</w:t>
            </w: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cs="宋体"/>
                <w:sz w:val="24"/>
                <w:highlight w:val="none"/>
              </w:rPr>
            </w:pPr>
            <w:sdt>
              <w:sdtPr>
                <w:rPr>
                  <w:rFonts w:hint="eastAsia" w:ascii="宋体" w:hAnsi="宋体" w:cs="宋体"/>
                  <w:kern w:val="0"/>
                  <w:sz w:val="24"/>
                  <w:highlight w:val="none"/>
                </w:rPr>
                <w:id w:val="-1477286927"/>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Wingdings" w:hAnsi="Wingdings" w:eastAsia="宋体" w:cs="宋体"/>
                    <w:kern w:val="0"/>
                    <w:sz w:val="24"/>
                    <w:szCs w:val="24"/>
                    <w:highlight w:val="none"/>
                    <w:lang w:val="en-US" w:eastAsia="zh-CN" w:bidi="ar-SA"/>
                  </w:rPr>
                  <w:t>þ</w:t>
                </w:r>
              </w:sdtContent>
            </w:sdt>
            <w:r>
              <w:rPr>
                <w:rFonts w:hint="eastAsia" w:ascii="宋体" w:hAnsi="宋体" w:cs="宋体"/>
                <w:kern w:val="0"/>
                <w:sz w:val="24"/>
                <w:highlight w:val="none"/>
              </w:rPr>
              <w:t xml:space="preserve"> A</w:t>
            </w:r>
            <w:r>
              <w:rPr>
                <w:rFonts w:hint="eastAsia" w:ascii="宋体" w:hAnsi="宋体" w:cs="宋体"/>
                <w:sz w:val="24"/>
                <w:highlight w:val="none"/>
              </w:rPr>
              <w:t>同意将非主体、非关键性的</w:t>
            </w:r>
            <w:r>
              <w:rPr>
                <w:rFonts w:hint="eastAsia" w:ascii="宋体" w:hAnsi="宋体" w:cs="宋体"/>
                <w:sz w:val="24"/>
                <w:highlight w:val="none"/>
                <w:u w:val="single"/>
              </w:rPr>
              <w:t xml:space="preserve">  </w:t>
            </w:r>
            <w:r>
              <w:rPr>
                <w:rFonts w:hint="eastAsia" w:ascii="宋体" w:hAnsi="宋体" w:cs="宋体"/>
                <w:sz w:val="24"/>
                <w:highlight w:val="none"/>
                <w:u w:val="single"/>
                <w:lang w:eastAsia="zh-CN"/>
              </w:rPr>
              <w:t>系统集成</w:t>
            </w:r>
            <w:r>
              <w:rPr>
                <w:rFonts w:hint="eastAsia" w:ascii="宋体" w:hAnsi="宋体" w:cs="宋体"/>
                <w:sz w:val="24"/>
                <w:highlight w:val="none"/>
                <w:u w:val="single"/>
              </w:rPr>
              <w:t xml:space="preserve">   </w:t>
            </w:r>
            <w:r>
              <w:rPr>
                <w:rFonts w:hint="eastAsia" w:ascii="宋体" w:hAnsi="宋体" w:cs="宋体"/>
                <w:sz w:val="24"/>
                <w:highlight w:val="none"/>
              </w:rPr>
              <w:t>工作分包。</w:t>
            </w:r>
          </w:p>
          <w:p>
            <w:pPr>
              <w:spacing w:line="360" w:lineRule="auto"/>
              <w:rPr>
                <w:rFonts w:ascii="宋体" w:hAnsi="宋体" w:cs="宋体"/>
                <w:sz w:val="24"/>
                <w:highlight w:val="none"/>
              </w:rPr>
            </w:pPr>
            <w:sdt>
              <w:sdtPr>
                <w:rPr>
                  <w:rFonts w:hint="eastAsia" w:ascii="宋体" w:hAnsi="宋体" w:cs="宋体"/>
                  <w:kern w:val="0"/>
                  <w:sz w:val="24"/>
                  <w:highlight w:val="none"/>
                </w:rPr>
                <w:id w:val="-1276331357"/>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MS Gothic" w:hAnsi="MS Gothic" w:eastAsia="宋体" w:cs="宋体"/>
                    <w:kern w:val="0"/>
                    <w:sz w:val="24"/>
                    <w:szCs w:val="24"/>
                    <w:highlight w:val="none"/>
                    <w:lang w:val="en-US" w:eastAsia="zh-CN" w:bidi="ar-SA"/>
                  </w:rPr>
                  <w:t>☐</w:t>
                </w:r>
              </w:sdtContent>
            </w:sdt>
            <w:r>
              <w:rPr>
                <w:rFonts w:hint="eastAsia" w:ascii="宋体" w:hAnsi="宋体" w:cs="宋体"/>
                <w:kern w:val="0"/>
                <w:sz w:val="24"/>
                <w:highlight w:val="none"/>
              </w:rPr>
              <w:t xml:space="preserve"> B</w:t>
            </w:r>
            <w:r>
              <w:rPr>
                <w:rFonts w:hint="eastAsia" w:ascii="宋体" w:hAnsi="宋体" w:cs="宋体"/>
                <w:sz w:val="24"/>
                <w:highlight w:val="none"/>
              </w:rPr>
              <w:t>不同意分包。</w:t>
            </w:r>
          </w:p>
          <w:p>
            <w:pPr>
              <w:spacing w:line="360" w:lineRule="auto"/>
              <w:rPr>
                <w:rFonts w:ascii="宋体" w:hAnsi="宋体" w:cs="宋体"/>
                <w:sz w:val="24"/>
                <w:highlight w:val="none"/>
              </w:rPr>
            </w:pPr>
            <w:r>
              <w:rPr>
                <w:rFonts w:hint="eastAsia" w:ascii="宋体" w:hAnsi="宋体" w:cs="宋体"/>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80" w:hRule="atLeast"/>
          <w:tblHeader/>
        </w:trPr>
        <w:tc>
          <w:tcPr>
            <w:tcW w:w="0" w:type="auto"/>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5</w:t>
            </w:r>
          </w:p>
        </w:tc>
        <w:tc>
          <w:tcPr>
            <w:tcW w:w="0" w:type="auto"/>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开标前答疑会或现场考察</w:t>
            </w: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none"/>
              </w:rPr>
            </w:pPr>
            <w:sdt>
              <w:sdtPr>
                <w:rPr>
                  <w:rFonts w:hint="eastAsia" w:ascii="宋体" w:hAnsi="宋体" w:cs="宋体"/>
                  <w:kern w:val="0"/>
                  <w:sz w:val="24"/>
                  <w:highlight w:val="none"/>
                </w:rPr>
                <w:id w:val="-212966419"/>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sym w:font="Wingdings" w:char="F0FE"/>
                </w:r>
              </w:sdtContent>
            </w:sdt>
            <w:r>
              <w:rPr>
                <w:rFonts w:hint="eastAsia" w:ascii="宋体" w:hAnsi="宋体" w:cs="宋体"/>
                <w:kern w:val="0"/>
                <w:sz w:val="24"/>
                <w:highlight w:val="none"/>
              </w:rPr>
              <w:t>A</w:t>
            </w:r>
            <w:r>
              <w:rPr>
                <w:rFonts w:hint="eastAsia" w:ascii="宋体" w:hAnsi="宋体" w:cs="宋体"/>
                <w:sz w:val="24"/>
                <w:highlight w:val="none"/>
              </w:rPr>
              <w:t>不组织。</w:t>
            </w:r>
          </w:p>
          <w:p>
            <w:pPr>
              <w:spacing w:line="360" w:lineRule="auto"/>
              <w:rPr>
                <w:rFonts w:ascii="宋体" w:hAnsi="宋体" w:cs="宋体"/>
                <w:sz w:val="24"/>
                <w:szCs w:val="20"/>
                <w:highlight w:val="none"/>
              </w:rPr>
            </w:pPr>
            <w:sdt>
              <w:sdtPr>
                <w:rPr>
                  <w:rFonts w:hint="eastAsia" w:ascii="宋体" w:hAnsi="宋体" w:cs="宋体"/>
                  <w:kern w:val="0"/>
                  <w:sz w:val="24"/>
                  <w:highlight w:val="none"/>
                </w:rPr>
                <w:id w:val="-999802974"/>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kern w:val="0"/>
                <w:sz w:val="24"/>
                <w:highlight w:val="none"/>
              </w:rPr>
              <w:t>B组织，</w:t>
            </w:r>
            <w:r>
              <w:rPr>
                <w:rFonts w:hint="eastAsia" w:ascii="宋体" w:hAnsi="宋体" w:cs="宋体"/>
                <w:sz w:val="24"/>
                <w:highlight w:val="none"/>
              </w:rPr>
              <w:t>时间：</w:t>
            </w:r>
            <w:r>
              <w:rPr>
                <w:rFonts w:hint="eastAsia" w:ascii="宋体" w:hAnsi="宋体" w:cs="宋体"/>
                <w:sz w:val="24"/>
                <w:highlight w:val="none"/>
                <w:u w:val="single"/>
              </w:rPr>
              <w:t xml:space="preserve">      </w:t>
            </w:r>
            <w:r>
              <w:rPr>
                <w:rFonts w:hint="eastAsia" w:ascii="宋体" w:hAnsi="宋体" w:cs="宋体"/>
                <w:sz w:val="24"/>
                <w:highlight w:val="none"/>
              </w:rPr>
              <w:t>,地点：</w:t>
            </w:r>
            <w:r>
              <w:rPr>
                <w:rFonts w:hint="eastAsia" w:ascii="宋体" w:hAnsi="宋体" w:cs="宋体"/>
                <w:sz w:val="24"/>
                <w:highlight w:val="none"/>
                <w:u w:val="single"/>
              </w:rPr>
              <w:t xml:space="preserve">      </w:t>
            </w:r>
            <w:r>
              <w:rPr>
                <w:rFonts w:hint="eastAsia" w:ascii="宋体" w:hAnsi="宋体" w:cs="宋体"/>
                <w:sz w:val="24"/>
                <w:highlight w:val="none"/>
              </w:rPr>
              <w:t>，联系人：</w:t>
            </w:r>
            <w:r>
              <w:rPr>
                <w:rFonts w:hint="eastAsia" w:ascii="宋体" w:hAnsi="宋体" w:cs="宋体"/>
                <w:sz w:val="24"/>
                <w:highlight w:val="none"/>
                <w:u w:val="single"/>
              </w:rPr>
              <w:t xml:space="preserve">      </w:t>
            </w:r>
            <w:r>
              <w:rPr>
                <w:rFonts w:hint="eastAsia" w:ascii="宋体" w:hAnsi="宋体" w:cs="宋体"/>
                <w:sz w:val="24"/>
                <w:highlight w:val="none"/>
              </w:rPr>
              <w:t>，联系方式：</w:t>
            </w:r>
            <w:r>
              <w:rPr>
                <w:rFonts w:hint="eastAsia" w:ascii="宋体" w:hAnsi="宋体" w:cs="宋体"/>
                <w:sz w:val="24"/>
                <w:highlight w:val="none"/>
                <w:u w:val="single"/>
              </w:rPr>
              <w:t xml:space="preserve">      </w:t>
            </w:r>
            <w:r>
              <w:rPr>
                <w:rFonts w:hint="eastAsia" w:ascii="宋体" w:hAnsi="宋体" w:cs="宋体"/>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0" w:type="auto"/>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6</w:t>
            </w:r>
          </w:p>
        </w:tc>
        <w:tc>
          <w:tcPr>
            <w:tcW w:w="0" w:type="auto"/>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样品提供</w:t>
            </w: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szCs w:val="24"/>
                <w:highlight w:val="none"/>
              </w:rPr>
            </w:pPr>
            <w:sdt>
              <w:sdtPr>
                <w:rPr>
                  <w:rFonts w:hint="eastAsia"/>
                  <w:highlight w:val="none"/>
                </w:rPr>
                <w:id w:val="-1639946486"/>
                <w14:checkbox>
                  <w14:checked w14:val="1"/>
                  <w14:checkedState w14:val="00FE" w14:font="Wingdings"/>
                  <w14:uncheckedState w14:val="2610" w14:font="MS Gothic"/>
                </w14:checkbox>
              </w:sdtPr>
              <w:sdtEndPr>
                <w:rPr>
                  <w:rFonts w:hint="eastAsia" w:ascii="宋体" w:hAnsi="宋体" w:eastAsia="宋体" w:cs="宋体"/>
                  <w:sz w:val="24"/>
                  <w:szCs w:val="24"/>
                  <w:highlight w:val="none"/>
                </w:rPr>
              </w:sdtEndPr>
              <w:sdtContent>
                <w:r>
                  <w:rPr>
                    <w:rFonts w:hint="eastAsia" w:ascii="Wingdings" w:hAnsi="Wingdings" w:eastAsia="宋体" w:cs="宋体"/>
                    <w:kern w:val="2"/>
                    <w:sz w:val="24"/>
                    <w:szCs w:val="24"/>
                    <w:highlight w:val="none"/>
                    <w:lang w:val="en-US" w:eastAsia="zh-CN" w:bidi="ar-SA"/>
                  </w:rPr>
                  <w:t>þ</w:t>
                </w:r>
              </w:sdtContent>
            </w:sdt>
            <w:r>
              <w:rPr>
                <w:rFonts w:hint="eastAsia" w:ascii="宋体" w:hAnsi="宋体" w:eastAsia="宋体" w:cs="宋体"/>
                <w:sz w:val="24"/>
                <w:szCs w:val="24"/>
                <w:highlight w:val="none"/>
              </w:rPr>
              <w:t>A不要求提供。</w:t>
            </w:r>
          </w:p>
          <w:p>
            <w:pPr>
              <w:spacing w:line="360" w:lineRule="auto"/>
              <w:rPr>
                <w:rFonts w:hint="eastAsia" w:ascii="宋体" w:hAnsi="宋体" w:eastAsia="宋体" w:cs="宋体"/>
                <w:sz w:val="24"/>
                <w:szCs w:val="24"/>
                <w:highlight w:val="none"/>
                <w:lang w:eastAsia="zh-CN"/>
              </w:rPr>
            </w:pPr>
            <w:sdt>
              <w:sdtPr>
                <w:rPr>
                  <w:rFonts w:hint="eastAsia" w:ascii="宋体" w:hAnsi="宋体" w:eastAsia="宋体" w:cs="宋体"/>
                  <w:sz w:val="24"/>
                  <w:szCs w:val="24"/>
                  <w:highlight w:val="none"/>
                </w:rPr>
                <w:id w:val="1026831988"/>
                <w14:checkbox>
                  <w14:checked w14:val="0"/>
                  <w14:checkedState w14:val="00FE" w14:font="Wingdings"/>
                  <w14:uncheckedState w14:val="2610" w14:font="MS Gothic"/>
                </w14:checkbox>
              </w:sdtPr>
              <w:sdtEndPr>
                <w:rPr>
                  <w:rFonts w:hint="eastAsia" w:ascii="宋体" w:hAnsi="宋体" w:eastAsia="宋体" w:cs="宋体"/>
                  <w:sz w:val="24"/>
                  <w:szCs w:val="24"/>
                  <w:highlight w:val="none"/>
                </w:rPr>
              </w:sdtEndPr>
              <w:sdtContent>
                <w:r>
                  <w:rPr>
                    <w:rFonts w:hint="eastAsia" w:ascii="MS Gothic" w:hAnsi="MS Gothic" w:eastAsia="宋体" w:cs="宋体"/>
                    <w:kern w:val="2"/>
                    <w:sz w:val="24"/>
                    <w:szCs w:val="24"/>
                    <w:highlight w:val="none"/>
                    <w:lang w:val="en-US" w:eastAsia="zh-CN" w:bidi="ar-SA"/>
                  </w:rPr>
                  <w:t>☐</w:t>
                </w:r>
              </w:sdtContent>
            </w:sdt>
            <w:r>
              <w:rPr>
                <w:rFonts w:hint="eastAsia" w:ascii="宋体" w:hAnsi="宋体" w:eastAsia="宋体" w:cs="宋体"/>
                <w:sz w:val="24"/>
                <w:szCs w:val="24"/>
                <w:highlight w:val="none"/>
              </w:rPr>
              <w:t>B要求提供（未提供样品或提供样品不满足采购需求实质性条件的供应商，投标无效）</w:t>
            </w:r>
            <w:r>
              <w:rPr>
                <w:rFonts w:hint="eastAsia" w:ascii="宋体" w:hAnsi="宋体" w:eastAsia="宋体" w:cs="宋体"/>
                <w:sz w:val="24"/>
                <w:szCs w:val="24"/>
                <w:highlight w:val="none"/>
                <w:lang w:eastAsia="zh-CN"/>
              </w:rPr>
              <w:t>：</w:t>
            </w:r>
          </w:p>
          <w:p>
            <w:pPr>
              <w:spacing w:line="360" w:lineRule="auto"/>
              <w:rPr>
                <w:rFonts w:ascii="宋体" w:hAnsi="宋体" w:cs="宋体"/>
                <w:kern w:val="0"/>
                <w:sz w:val="24"/>
                <w:highlight w:val="none"/>
              </w:rPr>
            </w:pPr>
            <w:r>
              <w:rPr>
                <w:rFonts w:hint="eastAsia" w:ascii="宋体" w:hAnsi="宋体" w:cs="宋体"/>
                <w:kern w:val="0"/>
                <w:sz w:val="24"/>
                <w:highlight w:val="none"/>
              </w:rPr>
              <w:t>（1）</w:t>
            </w:r>
            <w:r>
              <w:rPr>
                <w:rFonts w:hint="eastAsia" w:ascii="宋体" w:hAnsi="宋体" w:cs="宋体"/>
                <w:snapToGrid w:val="0"/>
                <w:kern w:val="28"/>
                <w:sz w:val="24"/>
                <w:highlight w:val="none"/>
              </w:rPr>
              <w:t>样品：</w:t>
            </w:r>
            <w:r>
              <w:rPr>
                <w:rFonts w:hint="eastAsia" w:ascii="宋体" w:hAnsi="宋体" w:cs="宋体"/>
                <w:sz w:val="24"/>
                <w:highlight w:val="none"/>
                <w:u w:val="single"/>
              </w:rPr>
              <w:t xml:space="preserve">    </w:t>
            </w:r>
            <w:r>
              <w:rPr>
                <w:rFonts w:hint="eastAsia" w:ascii="宋体" w:hAnsi="宋体" w:cs="宋体"/>
                <w:kern w:val="0"/>
                <w:sz w:val="24"/>
                <w:highlight w:val="none"/>
              </w:rPr>
              <w:t>；</w:t>
            </w:r>
            <w:r>
              <w:rPr>
                <w:rFonts w:ascii="宋体" w:hAnsi="宋体" w:cs="宋体"/>
                <w:kern w:val="0"/>
                <w:sz w:val="24"/>
                <w:highlight w:val="none"/>
              </w:rPr>
              <w:t xml:space="preserve"> </w:t>
            </w:r>
          </w:p>
          <w:p>
            <w:pPr>
              <w:spacing w:line="360" w:lineRule="auto"/>
              <w:rPr>
                <w:rFonts w:ascii="宋体" w:hAnsi="宋体" w:cs="宋体"/>
                <w:kern w:val="0"/>
                <w:sz w:val="24"/>
                <w:highlight w:val="none"/>
              </w:rPr>
            </w:pPr>
            <w:r>
              <w:rPr>
                <w:rFonts w:hint="eastAsia" w:ascii="宋体" w:hAnsi="宋体" w:cs="宋体"/>
                <w:kern w:val="0"/>
                <w:sz w:val="24"/>
                <w:highlight w:val="none"/>
              </w:rPr>
              <w:t>（2）</w:t>
            </w:r>
            <w:r>
              <w:rPr>
                <w:rFonts w:hint="eastAsia" w:ascii="宋体" w:hAnsi="宋体" w:cs="宋体"/>
                <w:snapToGrid w:val="0"/>
                <w:kern w:val="28"/>
                <w:sz w:val="24"/>
                <w:highlight w:val="none"/>
              </w:rPr>
              <w:t>样品制作的标准和要求：</w:t>
            </w:r>
            <w:r>
              <w:rPr>
                <w:rFonts w:hint="eastAsia" w:ascii="宋体" w:hAnsi="宋体" w:cs="宋体"/>
                <w:sz w:val="24"/>
                <w:highlight w:val="none"/>
                <w:u w:val="single"/>
              </w:rPr>
              <w:t xml:space="preserve">    </w:t>
            </w:r>
            <w:r>
              <w:rPr>
                <w:rFonts w:hint="eastAsia" w:ascii="宋体" w:hAnsi="宋体" w:cs="宋体"/>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kern w:val="0"/>
                <w:sz w:val="24"/>
                <w:highlight w:val="none"/>
              </w:rPr>
              <w:t>（</w:t>
            </w:r>
            <w:r>
              <w:rPr>
                <w:rFonts w:hint="eastAsia" w:ascii="宋体" w:hAnsi="宋体" w:cs="宋体"/>
                <w:color w:val="auto"/>
                <w:kern w:val="0"/>
                <w:sz w:val="24"/>
                <w:highlight w:val="none"/>
              </w:rPr>
              <w:t>3）样品的评审方法以及评审标准：</w:t>
            </w:r>
          </w:p>
          <w:p>
            <w:pPr>
              <w:spacing w:line="360" w:lineRule="auto"/>
              <w:ind w:firstLine="240" w:firstLineChars="100"/>
              <w:rPr>
                <w:rFonts w:ascii="宋体" w:hAnsi="宋体" w:cs="宋体"/>
                <w:color w:val="auto"/>
                <w:sz w:val="24"/>
                <w:highlight w:val="none"/>
              </w:rPr>
            </w:pPr>
            <w:sdt>
              <w:sdtPr>
                <w:rPr>
                  <w:rFonts w:hint="eastAsia" w:ascii="宋体" w:hAnsi="宋体" w:cs="宋体"/>
                  <w:color w:val="auto"/>
                  <w:kern w:val="0"/>
                  <w:sz w:val="24"/>
                  <w:highlight w:val="none"/>
                </w:rPr>
                <w:id w:val="-1350092240"/>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样品分未超过价格分的50%；</w:t>
            </w:r>
          </w:p>
          <w:p>
            <w:pPr>
              <w:spacing w:line="360" w:lineRule="auto"/>
              <w:ind w:firstLine="240" w:firstLineChars="100"/>
              <w:rPr>
                <w:rFonts w:ascii="宋体" w:hAnsi="宋体" w:cs="宋体"/>
                <w:color w:val="auto"/>
                <w:kern w:val="0"/>
                <w:sz w:val="24"/>
                <w:highlight w:val="none"/>
              </w:rPr>
            </w:pPr>
            <w:sdt>
              <w:sdtPr>
                <w:rPr>
                  <w:rFonts w:hint="eastAsia" w:ascii="宋体" w:hAnsi="宋体" w:cs="宋体"/>
                  <w:color w:val="auto"/>
                  <w:kern w:val="0"/>
                  <w:sz w:val="24"/>
                  <w:highlight w:val="none"/>
                </w:rPr>
                <w:id w:val="-148554041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样品分超过价格分的50%，理由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360" w:lineRule="auto"/>
              <w:ind w:firstLine="240" w:firstLineChars="100"/>
              <w:rPr>
                <w:rFonts w:ascii="宋体" w:hAnsi="宋体" w:cs="宋体"/>
                <w:color w:val="auto"/>
                <w:kern w:val="0"/>
                <w:sz w:val="24"/>
                <w:highlight w:val="none"/>
              </w:rPr>
            </w:pPr>
            <w:r>
              <w:rPr>
                <w:rFonts w:hint="eastAsia" w:ascii="宋体" w:hAnsi="宋体" w:cs="宋体"/>
                <w:snapToGrid w:val="0"/>
                <w:color w:val="auto"/>
                <w:kern w:val="28"/>
                <w:sz w:val="24"/>
                <w:highlight w:val="none"/>
              </w:rPr>
              <w:t>详见招标文件第四部分</w:t>
            </w:r>
            <w:r>
              <w:rPr>
                <w:rFonts w:hint="eastAsia" w:ascii="宋体" w:hAnsi="宋体" w:cs="宋体"/>
                <w:color w:val="auto"/>
                <w:sz w:val="24"/>
                <w:highlight w:val="none"/>
                <w:u w:val="single"/>
              </w:rPr>
              <w:t>评标办法</w:t>
            </w:r>
            <w:r>
              <w:rPr>
                <w:rFonts w:hint="eastAsia" w:ascii="宋体" w:hAnsi="宋体" w:cs="宋体"/>
                <w:color w:val="auto"/>
                <w:kern w:val="0"/>
                <w:sz w:val="24"/>
                <w:highlight w:val="none"/>
              </w:rPr>
              <w:t xml:space="preserve">。 </w:t>
            </w:r>
          </w:p>
          <w:p>
            <w:pPr>
              <w:spacing w:line="360" w:lineRule="auto"/>
              <w:rPr>
                <w:rFonts w:ascii="宋体" w:hAnsi="宋体" w:cs="宋体"/>
                <w:kern w:val="0"/>
                <w:sz w:val="24"/>
                <w:highlight w:val="none"/>
              </w:rPr>
            </w:pPr>
            <w:r>
              <w:rPr>
                <w:rFonts w:hint="eastAsia" w:ascii="宋体" w:hAnsi="宋体" w:cs="宋体"/>
                <w:kern w:val="0"/>
                <w:sz w:val="24"/>
                <w:highlight w:val="none"/>
              </w:rPr>
              <w:t>（4）是否需要随样品提交检测报告：</w:t>
            </w:r>
            <w:sdt>
              <w:sdtPr>
                <w:rPr>
                  <w:rFonts w:hint="eastAsia" w:ascii="宋体" w:hAnsi="宋体" w:cs="宋体"/>
                  <w:kern w:val="0"/>
                  <w:sz w:val="24"/>
                  <w:highlight w:val="none"/>
                </w:rPr>
                <w:id w:val="1303421454"/>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sym w:font="Wingdings" w:char="F0FE"/>
                </w:r>
              </w:sdtContent>
            </w:sdt>
            <w:r>
              <w:rPr>
                <w:rFonts w:hint="eastAsia" w:ascii="宋体" w:hAnsi="宋体" w:cs="宋体"/>
                <w:kern w:val="0"/>
                <w:sz w:val="24"/>
                <w:highlight w:val="none"/>
              </w:rPr>
              <w:t>否；</w:t>
            </w:r>
            <w:sdt>
              <w:sdtPr>
                <w:rPr>
                  <w:rFonts w:hint="eastAsia" w:ascii="宋体" w:hAnsi="宋体" w:cs="宋体"/>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MS Gothic" w:hAnsi="MS Gothic" w:eastAsia="MS Gothic" w:cs="宋体"/>
                    <w:kern w:val="0"/>
                    <w:sz w:val="24"/>
                    <w:highlight w:val="none"/>
                  </w:rPr>
                  <w:t>☐</w:t>
                </w:r>
              </w:sdtContent>
            </w:sdt>
            <w:r>
              <w:rPr>
                <w:rFonts w:hint="eastAsia" w:ascii="宋体" w:hAnsi="宋体" w:cs="宋体"/>
                <w:kern w:val="0"/>
                <w:sz w:val="24"/>
                <w:highlight w:val="none"/>
              </w:rPr>
              <w:t>是，检测机构的要求</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kern w:val="0"/>
                <w:sz w:val="24"/>
                <w:highlight w:val="none"/>
              </w:rPr>
              <w:t>；检测内容</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kern w:val="0"/>
                <w:sz w:val="24"/>
                <w:highlight w:val="none"/>
              </w:rPr>
              <w:t>。</w:t>
            </w:r>
          </w:p>
          <w:p>
            <w:pPr>
              <w:spacing w:line="360" w:lineRule="auto"/>
              <w:rPr>
                <w:rFonts w:ascii="宋体" w:hAnsi="宋体" w:cs="宋体"/>
                <w:color w:val="auto"/>
                <w:sz w:val="24"/>
                <w:highlight w:val="none"/>
              </w:rPr>
            </w:pPr>
            <w:r>
              <w:rPr>
                <w:rFonts w:hint="eastAsia" w:ascii="宋体" w:hAnsi="宋体" w:cs="宋体"/>
                <w:sz w:val="24"/>
                <w:highlight w:val="none"/>
              </w:rPr>
              <w:t>（5）</w:t>
            </w:r>
            <w:r>
              <w:rPr>
                <w:rFonts w:hint="eastAsia" w:ascii="宋体" w:hAnsi="宋体" w:cs="宋体"/>
                <w:color w:val="auto"/>
                <w:sz w:val="24"/>
                <w:highlight w:val="none"/>
              </w:rPr>
              <w:t>提供样品的时间：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highlight w:val="none"/>
              </w:rPr>
            </w:pPr>
            <w:r>
              <w:rPr>
                <w:rFonts w:hint="eastAsia" w:ascii="宋体" w:hAnsi="宋体" w:cs="宋体"/>
                <w:color w:val="auto"/>
                <w:sz w:val="24"/>
                <w:highlight w:val="none"/>
              </w:rPr>
              <w:t xml:space="preserve"> (6)采购活动结束后，对于未中标人提供的样品，采</w:t>
            </w:r>
            <w:r>
              <w:rPr>
                <w:rFonts w:hint="eastAsia" w:ascii="宋体" w:hAnsi="宋体" w:cs="宋体"/>
                <w:sz w:val="24"/>
                <w:highlight w:val="none"/>
              </w:rPr>
              <w:t>购人、采购机构将通知未中标人在规定的时间内取回，逾期未取回的，采购人、采购机构不负保管义务；对于中标人提供的样品，采购人将进行保管、封存，并作为履约验收的参考。</w:t>
            </w:r>
          </w:p>
          <w:p>
            <w:pPr>
              <w:spacing w:line="360" w:lineRule="auto"/>
              <w:rPr>
                <w:rFonts w:hint="eastAsia" w:eastAsia="宋体"/>
                <w:highlight w:val="none"/>
                <w:lang w:eastAsia="zh-CN"/>
              </w:rPr>
            </w:pPr>
            <w:r>
              <w:rPr>
                <w:rFonts w:hint="eastAsia" w:ascii="宋体" w:hAnsi="宋体" w:cs="宋体"/>
                <w:sz w:val="24"/>
                <w:highlight w:val="none"/>
              </w:rPr>
              <w:t>（7）制作、运输、安装和保管样品所发生的一切费用由投标人自理</w:t>
            </w:r>
            <w:r>
              <w:rPr>
                <w:rFonts w:hint="eastAsia" w:ascii="宋体" w:hAnsi="宋体" w:eastAsia="宋体" w:cs="宋体"/>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0" w:type="auto"/>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7</w:t>
            </w:r>
          </w:p>
        </w:tc>
        <w:tc>
          <w:tcPr>
            <w:tcW w:w="0" w:type="auto"/>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highlight w:val="none"/>
              </w:rPr>
            </w:pPr>
            <w:r>
              <w:rPr>
                <w:rFonts w:hint="eastAsia" w:ascii="宋体" w:hAnsi="宋体" w:cs="宋体"/>
                <w:b/>
                <w:sz w:val="24"/>
                <w:highlight w:val="none"/>
              </w:rPr>
              <w:t>方案讲解演示</w:t>
            </w: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none"/>
              </w:rPr>
            </w:pPr>
            <w:sdt>
              <w:sdtPr>
                <w:rPr>
                  <w:rFonts w:hint="eastAsia" w:ascii="宋体" w:hAnsi="宋体" w:cs="宋体"/>
                  <w:kern w:val="0"/>
                  <w:sz w:val="24"/>
                  <w:highlight w:val="none"/>
                </w:rPr>
                <w:id w:val="-1859348549"/>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Wingdings" w:hAnsi="Wingdings" w:eastAsia="宋体" w:cs="宋体"/>
                    <w:kern w:val="0"/>
                    <w:sz w:val="24"/>
                    <w:szCs w:val="24"/>
                    <w:highlight w:val="none"/>
                    <w:lang w:val="en-US" w:eastAsia="zh-CN" w:bidi="ar-SA"/>
                  </w:rPr>
                  <w:t>þ</w:t>
                </w:r>
              </w:sdtContent>
            </w:sdt>
            <w:r>
              <w:rPr>
                <w:rFonts w:hint="eastAsia" w:ascii="宋体" w:hAnsi="宋体" w:cs="宋体"/>
                <w:kern w:val="0"/>
                <w:sz w:val="24"/>
                <w:highlight w:val="none"/>
              </w:rPr>
              <w:t>A</w:t>
            </w:r>
            <w:r>
              <w:rPr>
                <w:rFonts w:hint="eastAsia" w:ascii="宋体" w:hAnsi="宋体" w:cs="宋体"/>
                <w:sz w:val="24"/>
                <w:highlight w:val="none"/>
              </w:rPr>
              <w:t>不组织。</w:t>
            </w:r>
          </w:p>
          <w:p>
            <w:pPr>
              <w:spacing w:line="360" w:lineRule="auto"/>
              <w:rPr>
                <w:rFonts w:ascii="宋体" w:hAnsi="宋体" w:cs="宋体"/>
                <w:kern w:val="0"/>
                <w:sz w:val="24"/>
                <w:highlight w:val="none"/>
              </w:rPr>
            </w:pPr>
            <w:sdt>
              <w:sdtPr>
                <w:rPr>
                  <w:rFonts w:hint="eastAsia" w:ascii="宋体" w:hAnsi="宋体" w:cs="宋体"/>
                  <w:kern w:val="0"/>
                  <w:sz w:val="24"/>
                  <w:highlight w:val="none"/>
                </w:rPr>
                <w:id w:val="1174071719"/>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MS Gothic" w:hAnsi="MS Gothic" w:eastAsia="宋体" w:cs="宋体"/>
                    <w:kern w:val="0"/>
                    <w:sz w:val="24"/>
                    <w:szCs w:val="24"/>
                    <w:highlight w:val="none"/>
                    <w:lang w:val="en-US" w:eastAsia="zh-CN" w:bidi="ar-SA"/>
                  </w:rPr>
                  <w:t>☐</w:t>
                </w:r>
              </w:sdtContent>
            </w:sdt>
            <w:r>
              <w:rPr>
                <w:rFonts w:hint="eastAsia" w:ascii="宋体" w:hAnsi="宋体" w:cs="宋体"/>
                <w:kern w:val="0"/>
                <w:sz w:val="24"/>
                <w:highlight w:val="none"/>
              </w:rPr>
              <w:t>B组织。</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（1）在评标时安排每个投标人进行方案讲解演示。每个投标人时间不超过20分钟，</w:t>
            </w:r>
            <w:r>
              <w:rPr>
                <w:rFonts w:hint="eastAsia" w:ascii="宋体" w:hAnsi="宋体" w:cs="宋体"/>
                <w:b/>
                <w:bCs/>
                <w:kern w:val="0"/>
                <w:sz w:val="24"/>
                <w:highlight w:val="none"/>
              </w:rPr>
              <w:t>讲解次序以投标文件解密时间先后次序为准</w:t>
            </w:r>
            <w:r>
              <w:rPr>
                <w:rFonts w:hint="eastAsia" w:ascii="宋体" w:hAnsi="宋体" w:cs="宋体"/>
                <w:kern w:val="0"/>
                <w:sz w:val="24"/>
                <w:highlight w:val="none"/>
              </w:rPr>
              <w:t>，讲解演示人员不超过3人。讲解演示结束后按要求解答评标委员会提问。</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（2）方案讲解演示方式：</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eastAsia="zh-CN"/>
              </w:rPr>
              <w:t>通过</w:t>
            </w:r>
            <w:r>
              <w:rPr>
                <w:rFonts w:hint="eastAsia" w:ascii="宋体" w:hAnsi="宋体" w:cs="宋体"/>
                <w:kern w:val="0"/>
                <w:sz w:val="24"/>
                <w:highlight w:val="none"/>
              </w:rPr>
              <w:t>政采云平台</w:t>
            </w:r>
            <w:r>
              <w:rPr>
                <w:rFonts w:hint="eastAsia" w:ascii="宋体" w:hAnsi="宋体" w:cs="宋体"/>
                <w:kern w:val="0"/>
                <w:sz w:val="24"/>
                <w:highlight w:val="none"/>
                <w:lang w:eastAsia="zh-CN"/>
              </w:rPr>
              <w:t>进行</w:t>
            </w:r>
            <w:r>
              <w:rPr>
                <w:rFonts w:hint="eastAsia" w:ascii="宋体" w:hAnsi="宋体" w:cs="宋体"/>
                <w:kern w:val="0"/>
                <w:sz w:val="24"/>
                <w:highlight w:val="none"/>
              </w:rPr>
              <w:t>在线讲解演示</w:t>
            </w:r>
            <w:r>
              <w:rPr>
                <w:rFonts w:hint="eastAsia" w:ascii="宋体" w:hAnsi="宋体" w:cs="宋体"/>
                <w:b/>
                <w:bCs/>
                <w:kern w:val="0"/>
                <w:sz w:val="24"/>
                <w:highlight w:val="none"/>
                <w:lang w:eastAsia="zh-CN"/>
              </w:rPr>
              <w:t>或</w:t>
            </w:r>
            <w:r>
              <w:rPr>
                <w:rFonts w:hint="eastAsia" w:ascii="宋体" w:hAnsi="宋体" w:cs="宋体"/>
                <w:kern w:val="0"/>
                <w:sz w:val="24"/>
                <w:highlight w:val="none"/>
                <w:lang w:eastAsia="zh-CN"/>
              </w:rPr>
              <w:t>播放已录制好的演示视频</w:t>
            </w:r>
            <w:r>
              <w:rPr>
                <w:rFonts w:hint="eastAsia" w:ascii="宋体" w:hAnsi="宋体" w:cs="宋体"/>
                <w:kern w:val="0"/>
                <w:sz w:val="24"/>
                <w:highlight w:val="none"/>
              </w:rPr>
              <w:t>。政采云平台在线讲解需投标人根据政采云平台操作要求做好准备工作</w:t>
            </w:r>
            <w:r>
              <w:rPr>
                <w:rFonts w:hint="eastAsia" w:ascii="宋体" w:hAnsi="宋体" w:cs="宋体"/>
                <w:b/>
                <w:bCs/>
                <w:kern w:val="0"/>
                <w:sz w:val="24"/>
                <w:highlight w:val="none"/>
              </w:rPr>
              <w:t>（①提供在线讲解演示，建议使用笔记本和有线/无线蓝牙耳机②播放视频，</w:t>
            </w:r>
            <w:r>
              <w:rPr>
                <w:rFonts w:hint="eastAsia" w:ascii="宋体" w:hAnsi="宋体" w:cs="宋体"/>
                <w:b/>
                <w:bCs/>
                <w:kern w:val="0"/>
                <w:sz w:val="24"/>
                <w:highlight w:val="none"/>
                <w:lang w:eastAsia="zh-CN"/>
              </w:rPr>
              <w:t>为避免视频卡顿等情况发生，</w:t>
            </w:r>
            <w:r>
              <w:rPr>
                <w:rFonts w:hint="eastAsia" w:ascii="宋体" w:hAnsi="宋体" w:cs="宋体"/>
                <w:b/>
                <w:bCs/>
                <w:kern w:val="0"/>
                <w:sz w:val="24"/>
                <w:highlight w:val="none"/>
              </w:rPr>
              <w:t>视频分辨率要求为1280*720）</w:t>
            </w:r>
            <w:r>
              <w:rPr>
                <w:rFonts w:hint="eastAsia" w:ascii="宋体" w:hAnsi="宋体" w:cs="宋体"/>
                <w:kern w:val="0"/>
                <w:sz w:val="24"/>
                <w:highlight w:val="none"/>
                <w:lang w:eastAsia="zh-CN"/>
              </w:rPr>
              <w:t>，请</w:t>
            </w:r>
            <w:r>
              <w:rPr>
                <w:rFonts w:hint="eastAsia" w:ascii="宋体" w:hAnsi="宋体" w:cs="宋体"/>
                <w:kern w:val="0"/>
                <w:sz w:val="24"/>
                <w:highlight w:val="none"/>
              </w:rPr>
              <w:t>提前完善软硬件配置环境。</w:t>
            </w:r>
          </w:p>
          <w:p>
            <w:pPr>
              <w:snapToGrid w:val="0"/>
              <w:spacing w:line="360" w:lineRule="auto"/>
              <w:rPr>
                <w:rFonts w:ascii="宋体" w:hAnsi="宋体" w:cs="宋体"/>
                <w:b/>
                <w:kern w:val="0"/>
                <w:sz w:val="24"/>
                <w:highlight w:val="none"/>
                <w:lang w:val="zh-CN"/>
              </w:rPr>
            </w:pPr>
            <w:r>
              <w:rPr>
                <w:rFonts w:hint="eastAsia" w:ascii="宋体" w:hAnsi="宋体" w:cs="宋体"/>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0" w:type="auto"/>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8</w:t>
            </w:r>
          </w:p>
        </w:tc>
        <w:tc>
          <w:tcPr>
            <w:tcW w:w="0" w:type="auto"/>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投标人应当提供的资格、资信证明文件</w:t>
            </w:r>
          </w:p>
        </w:tc>
        <w:tc>
          <w:tcPr>
            <w:tcW w:w="0" w:type="auto"/>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（1）资格证明文件：见招标文件第二部分11.1。</w:t>
            </w:r>
          </w:p>
          <w:p>
            <w:pPr>
              <w:spacing w:line="360" w:lineRule="auto"/>
              <w:rPr>
                <w:rFonts w:ascii="宋体" w:hAnsi="宋体" w:cs="宋体"/>
                <w:snapToGrid w:val="0"/>
                <w:kern w:val="0"/>
                <w:szCs w:val="21"/>
                <w:highlight w:val="none"/>
              </w:rPr>
            </w:pPr>
            <w:r>
              <w:rPr>
                <w:rFonts w:hint="eastAsia" w:ascii="宋体" w:hAnsi="宋体" w:cs="宋体"/>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0" w:type="auto"/>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0" w:type="auto"/>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p>
        </w:tc>
        <w:tc>
          <w:tcPr>
            <w:tcW w:w="0" w:type="auto"/>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0" w:type="auto"/>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9</w:t>
            </w:r>
          </w:p>
        </w:tc>
        <w:tc>
          <w:tcPr>
            <w:tcW w:w="0" w:type="auto"/>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节能产品、环境标志产品</w:t>
            </w: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0" w:type="auto"/>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10</w:t>
            </w:r>
          </w:p>
        </w:tc>
        <w:tc>
          <w:tcPr>
            <w:tcW w:w="0" w:type="auto"/>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报价要求</w:t>
            </w:r>
          </w:p>
        </w:tc>
        <w:tc>
          <w:tcPr>
            <w:tcW w:w="0" w:type="auto"/>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sz w:val="24"/>
                <w:highlight w:val="none"/>
              </w:rPr>
              <w:t>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jc w:val="left"/>
              <w:rPr>
                <w:rFonts w:ascii="宋体" w:hAnsi="宋体" w:cs="宋体"/>
                <w:b/>
                <w:kern w:val="0"/>
                <w:sz w:val="24"/>
                <w:highlight w:val="none"/>
                <w:lang w:val="zh-CN"/>
              </w:rPr>
            </w:pPr>
            <w:r>
              <w:rPr>
                <w:rFonts w:hint="eastAsia" w:ascii="宋体" w:hAnsi="宋体" w:cs="宋体"/>
                <w:b/>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kern w:val="0"/>
                <w:sz w:val="24"/>
                <w:highlight w:val="none"/>
                <w:lang w:val="zh-CN"/>
              </w:rPr>
            </w:pPr>
            <w:r>
              <w:rPr>
                <w:rFonts w:hint="eastAsia" w:ascii="宋体" w:hAnsi="宋体" w:cs="宋体"/>
                <w:b/>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kern w:val="0"/>
                <w:sz w:val="24"/>
                <w:highlight w:val="none"/>
                <w:lang w:val="zh-CN"/>
              </w:rPr>
            </w:pPr>
            <w:r>
              <w:rPr>
                <w:rFonts w:hint="eastAsia" w:ascii="宋体" w:hAnsi="宋体" w:cs="宋体"/>
                <w:b/>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sz w:val="24"/>
                <w:highlight w:val="none"/>
              </w:rPr>
            </w:pPr>
            <w:r>
              <w:rPr>
                <w:rFonts w:hint="eastAsia" w:ascii="宋体" w:hAnsi="宋体" w:cs="宋体"/>
                <w:b/>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highlight w:val="none"/>
              </w:rPr>
              <w:t>;</w:t>
            </w:r>
          </w:p>
          <w:p>
            <w:pPr>
              <w:spacing w:line="360" w:lineRule="auto"/>
              <w:ind w:firstLine="241" w:firstLineChars="100"/>
              <w:rPr>
                <w:rFonts w:ascii="宋体" w:hAnsi="宋体" w:cs="宋体"/>
                <w:sz w:val="24"/>
                <w:highlight w:val="none"/>
              </w:rPr>
            </w:pPr>
            <w:r>
              <w:rPr>
                <w:rFonts w:hint="eastAsia" w:ascii="宋体" w:hAnsi="宋体" w:cs="宋体"/>
                <w:b/>
                <w:kern w:val="0"/>
                <w:sz w:val="24"/>
                <w:highlight w:val="none"/>
              </w:rPr>
              <w:t>投标人对根据修正原则修正后的报价不确认的</w:t>
            </w:r>
            <w:r>
              <w:rPr>
                <w:rFonts w:hint="eastAsia" w:ascii="宋体" w:hAnsi="宋体" w:cs="宋体"/>
                <w:b/>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68" w:hRule="atLeast"/>
          <w:tblHeader/>
        </w:trPr>
        <w:tc>
          <w:tcPr>
            <w:tcW w:w="0" w:type="auto"/>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11</w:t>
            </w:r>
          </w:p>
        </w:tc>
        <w:tc>
          <w:tcPr>
            <w:tcW w:w="0" w:type="auto"/>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中小企业信用融资</w:t>
            </w: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hAnsi="宋体" w:cs="宋体"/>
                <w:snapToGrid w:val="0"/>
                <w:kern w:val="28"/>
                <w:sz w:val="24"/>
                <w:highlight w:val="none"/>
              </w:rPr>
            </w:pPr>
            <w:r>
              <w:rPr>
                <w:rFonts w:hint="eastAsia" w:ascii="宋体" w:hAnsi="宋体" w:cs="宋体"/>
                <w:snapToGrid w:val="0"/>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0" w:type="auto"/>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12</w:t>
            </w:r>
          </w:p>
        </w:tc>
        <w:tc>
          <w:tcPr>
            <w:tcW w:w="0" w:type="auto"/>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 xml:space="preserve">备份投标文件送达地点和签收人员 </w:t>
            </w:r>
          </w:p>
        </w:tc>
        <w:tc>
          <w:tcPr>
            <w:tcW w:w="0" w:type="auto"/>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Ansi="宋体" w:cs="宋体"/>
                <w:kern w:val="28"/>
                <w:sz w:val="24"/>
                <w:highlight w:val="none"/>
              </w:rPr>
            </w:pPr>
            <w:r>
              <w:rPr>
                <w:rFonts w:hint="eastAsia" w:hAnsi="宋体" w:cs="宋体"/>
                <w:kern w:val="28"/>
                <w:sz w:val="24"/>
                <w:szCs w:val="24"/>
                <w:highlight w:val="none"/>
              </w:rPr>
              <w:t>备份投标文件送达地点：</w:t>
            </w:r>
            <w:r>
              <w:rPr>
                <w:rFonts w:hint="eastAsia" w:hAnsi="宋体" w:cs="宋体"/>
                <w:sz w:val="24"/>
                <w:highlight w:val="none"/>
                <w:u w:val="single"/>
              </w:rPr>
              <w:t>杭州市西湖区文一西路858号（杭州市公共资源交易中心西湖分中心东三楼</w:t>
            </w:r>
            <w:r>
              <w:rPr>
                <w:rFonts w:hint="eastAsia" w:hAnsi="宋体" w:cs="宋体"/>
                <w:sz w:val="24"/>
                <w:highlight w:val="none"/>
                <w:u w:val="single"/>
                <w:lang w:val="en-US" w:eastAsia="zh-CN"/>
              </w:rPr>
              <w:t>329办公室）</w:t>
            </w:r>
            <w:r>
              <w:rPr>
                <w:rFonts w:hint="eastAsia" w:hAnsi="宋体" w:cs="宋体"/>
                <w:kern w:val="28"/>
                <w:sz w:val="24"/>
                <w:szCs w:val="24"/>
                <w:highlight w:val="none"/>
              </w:rPr>
              <w:t>；备份投标文件签收人员联系电话：</w:t>
            </w:r>
            <w:r>
              <w:rPr>
                <w:rFonts w:hint="eastAsia" w:hAnsi="宋体" w:cs="宋体"/>
                <w:sz w:val="24"/>
                <w:highlight w:val="none"/>
                <w:u w:val="single"/>
              </w:rPr>
              <w:t xml:space="preserve"> 0571-89511007</w:t>
            </w:r>
            <w:r>
              <w:rPr>
                <w:rFonts w:hint="eastAsia" w:hAnsi="宋体" w:cs="宋体"/>
                <w:sz w:val="24"/>
                <w:szCs w:val="24"/>
                <w:highlight w:val="none"/>
              </w:rPr>
              <w:t>。</w:t>
            </w:r>
            <w:r>
              <w:rPr>
                <w:rFonts w:hint="eastAsia" w:hAnsi="宋体" w:cs="宋体"/>
                <w:b/>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0" w:hRule="atLeast"/>
          <w:tblHeader/>
        </w:trPr>
        <w:tc>
          <w:tcPr>
            <w:tcW w:w="0" w:type="auto"/>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13</w:t>
            </w:r>
          </w:p>
        </w:tc>
        <w:tc>
          <w:tcPr>
            <w:tcW w:w="0" w:type="auto"/>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lang w:eastAsia="zh-CN"/>
              </w:rPr>
              <w:t>特别</w:t>
            </w:r>
            <w:r>
              <w:rPr>
                <w:rFonts w:hint="eastAsia" w:ascii="宋体" w:hAnsi="宋体" w:cs="宋体"/>
                <w:b/>
                <w:sz w:val="24"/>
                <w:highlight w:val="none"/>
              </w:rPr>
              <w:t>说明</w:t>
            </w: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highlight w:val="none"/>
              </w:rPr>
            </w:pPr>
            <w:r>
              <w:rPr>
                <w:rFonts w:hint="eastAsia" w:ascii="宋体" w:hAnsi="宋体" w:cs="宋体"/>
                <w:snapToGrid w:val="0"/>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0" w:hRule="atLeast"/>
          <w:tblHeader/>
        </w:trPr>
        <w:tc>
          <w:tcPr>
            <w:tcW w:w="0" w:type="auto"/>
            <w:vMerge w:val="continue"/>
            <w:tcBorders>
              <w:left w:val="single" w:color="000000" w:sz="8" w:space="0"/>
              <w:right w:val="single" w:color="000000" w:sz="2" w:space="0"/>
            </w:tcBorders>
            <w:vAlign w:val="center"/>
          </w:tcPr>
          <w:p>
            <w:pPr>
              <w:spacing w:line="360" w:lineRule="auto"/>
              <w:rPr>
                <w:highlight w:val="none"/>
              </w:rPr>
            </w:pPr>
          </w:p>
        </w:tc>
        <w:tc>
          <w:tcPr>
            <w:tcW w:w="0" w:type="auto"/>
            <w:vMerge w:val="continue"/>
            <w:tcBorders>
              <w:left w:val="single" w:color="000000" w:sz="2" w:space="0"/>
              <w:right w:val="single" w:color="000000" w:sz="8" w:space="0"/>
            </w:tcBorders>
            <w:vAlign w:val="center"/>
          </w:tcPr>
          <w:p>
            <w:pPr>
              <w:spacing w:line="360" w:lineRule="auto"/>
              <w:rPr>
                <w:highlight w:val="none"/>
              </w:rPr>
            </w:pP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highlight w:val="none"/>
              </w:rPr>
            </w:pPr>
            <w:sdt>
              <w:sdtPr>
                <w:rPr>
                  <w:rFonts w:hint="eastAsia" w:cs="Arial" w:asciiTheme="minorEastAsia" w:hAnsiTheme="minorEastAsia" w:eastAsiaTheme="minorEastAsia"/>
                  <w:kern w:val="0"/>
                  <w:sz w:val="24"/>
                  <w:highlight w:val="none"/>
                </w:rPr>
                <w:id w:val="-369766551"/>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ascii="宋体" w:hAnsi="宋体" w:cs="宋体"/>
                <w:snapToGrid w:val="0"/>
                <w:kern w:val="28"/>
                <w:sz w:val="24"/>
                <w:highlight w:val="none"/>
              </w:rPr>
              <w:t>联合体投标的，联合体各方均需按招标文件第四部分评标标准要求提供资信证明文件，否则视为不符合相关要求。</w:t>
            </w:r>
          </w:p>
          <w:p>
            <w:pPr>
              <w:spacing w:line="360" w:lineRule="auto"/>
              <w:rPr>
                <w:rFonts w:hint="eastAsia" w:ascii="宋体" w:hAnsi="宋体" w:cs="宋体"/>
                <w:snapToGrid w:val="0"/>
                <w:kern w:val="28"/>
                <w:sz w:val="24"/>
                <w:highlight w:val="none"/>
              </w:rPr>
            </w:pPr>
            <w:sdt>
              <w:sdtPr>
                <w:rPr>
                  <w:rFonts w:hint="eastAsia" w:cs="Arial" w:asciiTheme="minorEastAsia" w:hAnsiTheme="minorEastAsia" w:eastAsiaTheme="minorEastAsia"/>
                  <w:kern w:val="0"/>
                  <w:sz w:val="24"/>
                  <w:highlight w:val="none"/>
                </w:rPr>
                <w:id w:val="1052570136"/>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ascii="Wingdings" w:hAnsi="Wingdings" w:cs="Arial" w:eastAsiaTheme="minorEastAsia"/>
                    <w:kern w:val="0"/>
                    <w:sz w:val="24"/>
                    <w:szCs w:val="24"/>
                    <w:highlight w:val="none"/>
                    <w:lang w:val="en-US" w:eastAsia="zh-CN" w:bidi="ar-SA"/>
                  </w:rPr>
                  <w:t>þ</w:t>
                </w:r>
              </w:sdtContent>
            </w:sdt>
            <w:r>
              <w:rPr>
                <w:rFonts w:hint="eastAsia" w:ascii="宋体" w:hAnsi="宋体" w:cs="宋体"/>
                <w:snapToGrid w:val="0"/>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0" w:hRule="atLeast"/>
          <w:tblHeader/>
        </w:trPr>
        <w:tc>
          <w:tcPr>
            <w:tcW w:w="0" w:type="auto"/>
            <w:vMerge w:val="continue"/>
            <w:tcBorders>
              <w:left w:val="single" w:color="000000" w:sz="8" w:space="0"/>
              <w:bottom w:val="single" w:color="auto" w:sz="4" w:space="0"/>
              <w:right w:val="single" w:color="000000" w:sz="2" w:space="0"/>
            </w:tcBorders>
            <w:vAlign w:val="center"/>
          </w:tcPr>
          <w:p>
            <w:pPr>
              <w:spacing w:line="360" w:lineRule="auto"/>
              <w:rPr>
                <w:highlight w:val="none"/>
              </w:rPr>
            </w:pPr>
          </w:p>
        </w:tc>
        <w:tc>
          <w:tcPr>
            <w:tcW w:w="0" w:type="auto"/>
            <w:vMerge w:val="continue"/>
            <w:tcBorders>
              <w:left w:val="single" w:color="000000" w:sz="2" w:space="0"/>
              <w:bottom w:val="single" w:color="000000" w:sz="8" w:space="0"/>
              <w:right w:val="single" w:color="000000" w:sz="8" w:space="0"/>
            </w:tcBorders>
            <w:vAlign w:val="center"/>
          </w:tcPr>
          <w:p>
            <w:pPr>
              <w:spacing w:line="360" w:lineRule="auto"/>
              <w:rPr>
                <w:highlight w:val="none"/>
              </w:rPr>
            </w:pPr>
          </w:p>
        </w:tc>
        <w:tc>
          <w:tcPr>
            <w:tcW w:w="0" w:type="auto"/>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cs="Arial" w:asciiTheme="minorEastAsia" w:hAnsiTheme="minorEastAsia" w:eastAsiaTheme="minorEastAsia"/>
                <w:kern w:val="0"/>
                <w:sz w:val="24"/>
                <w:highlight w:val="none"/>
              </w:rPr>
            </w:pPr>
            <w:r>
              <w:rPr>
                <w:rFonts w:hint="eastAsia" w:cs="Arial" w:asciiTheme="minorEastAsia" w:hAnsiTheme="minorEastAsia" w:eastAsiaTheme="minorEastAsia"/>
                <w:kern w:val="0"/>
                <w:sz w:val="24"/>
                <w:highlight w:val="none"/>
              </w:rPr>
              <w:t>评审因素对应的要求视为采购需求的一部分。</w:t>
            </w:r>
          </w:p>
        </w:tc>
      </w:tr>
    </w:tbl>
    <w:p>
      <w:pPr>
        <w:snapToGrid w:val="0"/>
        <w:spacing w:line="360" w:lineRule="auto"/>
        <w:jc w:val="center"/>
        <w:rPr>
          <w:rFonts w:ascii="宋体" w:hAnsi="宋体" w:cs="宋体"/>
          <w:b/>
          <w:sz w:val="32"/>
          <w:szCs w:val="20"/>
          <w:highlight w:val="none"/>
        </w:rPr>
      </w:pPr>
    </w:p>
    <w:bookmarkEnd w:id="10"/>
    <w:p>
      <w:pPr>
        <w:adjustRightInd/>
        <w:spacing w:line="360" w:lineRule="auto"/>
        <w:ind w:firstLine="3845" w:firstLineChars="1197"/>
        <w:outlineLvl w:val="0"/>
        <w:rPr>
          <w:rFonts w:ascii="宋体" w:hAnsi="宋体" w:cs="宋体"/>
          <w:b/>
          <w:sz w:val="32"/>
          <w:szCs w:val="20"/>
          <w:highlight w:val="none"/>
        </w:rPr>
      </w:pPr>
      <w:bookmarkStart w:id="13" w:name="_Toc164416483"/>
      <w:bookmarkStart w:id="14" w:name="第三部分"/>
      <w:r>
        <w:rPr>
          <w:rFonts w:hint="eastAsia" w:ascii="宋体" w:hAnsi="宋体" w:cs="宋体"/>
          <w:b/>
          <w:sz w:val="32"/>
          <w:szCs w:val="20"/>
          <w:highlight w:val="none"/>
        </w:rPr>
        <w:t>一、总则</w:t>
      </w:r>
    </w:p>
    <w:p>
      <w:pPr>
        <w:snapToGrid w:val="0"/>
        <w:spacing w:line="360" w:lineRule="auto"/>
        <w:ind w:firstLine="361" w:firstLineChars="150"/>
        <w:jc w:val="left"/>
        <w:outlineLvl w:val="1"/>
        <w:rPr>
          <w:rFonts w:ascii="宋体" w:hAnsi="宋体" w:cs="宋体"/>
          <w:b/>
          <w:sz w:val="24"/>
          <w:highlight w:val="none"/>
        </w:rPr>
      </w:pPr>
      <w:r>
        <w:rPr>
          <w:rFonts w:hint="eastAsia" w:ascii="宋体" w:hAnsi="宋体" w:cs="宋体"/>
          <w:b/>
          <w:sz w:val="24"/>
          <w:highlight w:val="none"/>
        </w:rPr>
        <w:t>1. 适用范围</w:t>
      </w:r>
    </w:p>
    <w:p>
      <w:pPr>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highlight w:val="none"/>
        </w:rPr>
      </w:pPr>
      <w:r>
        <w:rPr>
          <w:rFonts w:hint="eastAsia" w:ascii="宋体" w:hAnsi="宋体" w:cs="宋体"/>
          <w:b/>
          <w:sz w:val="24"/>
          <w:highlight w:val="none"/>
        </w:rPr>
        <w:t xml:space="preserve">   2.定义</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2.1 “采购人”系指招标公告中载明的本项目的采购人。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2.2 “采购机构”系指招标公告中载明的本项目的采购机构。</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2.3 “投标人”系指是指响应招标、参加投标竞争的法人、其他组织或者自然人。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2.6“电子交易平台”是指本项目政府采购活动所依托的政府采购云平台（https://www.zcygov.cn/）。</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2.7 “▲” 系指实质性要求条款，“</w:t>
      </w:r>
      <w:sdt>
        <w:sdtPr>
          <w:rPr>
            <w:rFonts w:hint="eastAsia" w:ascii="宋体" w:hAnsi="宋体" w:cs="宋体"/>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Wingdings" w:hAnsi="Wingdings" w:cs="宋体"/>
              <w:kern w:val="0"/>
              <w:sz w:val="24"/>
              <w:highlight w:val="none"/>
            </w:rPr>
            <w:t>þ</w:t>
          </w:r>
        </w:sdtContent>
      </w:sdt>
      <w:r>
        <w:rPr>
          <w:rFonts w:hint="eastAsia" w:ascii="宋体" w:hAnsi="宋体" w:cs="宋体"/>
          <w:sz w:val="24"/>
          <w:highlight w:val="none"/>
        </w:rPr>
        <w:t>” 系指适用本项目的要求，“</w:t>
      </w:r>
      <w:sdt>
        <w:sdtPr>
          <w:rPr>
            <w:rFonts w:hint="eastAsia" w:ascii="宋体" w:hAnsi="宋体" w:cs="宋体"/>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sz w:val="24"/>
          <w:highlight w:val="none"/>
        </w:rPr>
        <w:t>” 系指不适用本项目的要求。</w:t>
      </w:r>
    </w:p>
    <w:p>
      <w:pPr>
        <w:spacing w:line="360" w:lineRule="auto"/>
        <w:ind w:firstLine="241" w:firstLineChars="100"/>
        <w:rPr>
          <w:rFonts w:ascii="宋体" w:hAnsi="宋体" w:cs="宋体"/>
          <w:b/>
          <w:sz w:val="24"/>
          <w:highlight w:val="none"/>
        </w:rPr>
      </w:pPr>
      <w:r>
        <w:rPr>
          <w:rFonts w:hint="eastAsia" w:ascii="宋体" w:hAnsi="宋体" w:cs="宋体"/>
          <w:b/>
          <w:sz w:val="24"/>
          <w:highlight w:val="none"/>
        </w:rPr>
        <w:t>3.</w:t>
      </w:r>
      <w:r>
        <w:rPr>
          <w:rFonts w:hint="eastAsia" w:ascii="宋体" w:hAnsi="宋体" w:cs="宋体"/>
          <w:highlight w:val="none"/>
        </w:rPr>
        <w:t xml:space="preserve"> </w:t>
      </w:r>
      <w:r>
        <w:rPr>
          <w:rFonts w:hint="eastAsia" w:ascii="宋体" w:hAnsi="宋体" w:cs="宋体"/>
          <w:b/>
          <w:sz w:val="24"/>
          <w:highlight w:val="none"/>
        </w:rPr>
        <w:t>采购项目需要落实的政府采购政策</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kern w:val="0"/>
          <w:sz w:val="24"/>
          <w:highlight w:val="none"/>
        </w:rPr>
        <w:t>优先采购向我国企业转让技术、与我国企业签订消化吸收再创新方案的供应商的进口产品</w:t>
      </w:r>
      <w:r>
        <w:rPr>
          <w:rFonts w:hint="eastAsia" w:ascii="宋体" w:hAnsi="宋体" w:cs="宋体"/>
          <w:sz w:val="24"/>
          <w:highlight w:val="none"/>
        </w:rPr>
        <w:t>。</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3.2 支持绿色发展</w:t>
      </w:r>
    </w:p>
    <w:p>
      <w:pPr>
        <w:spacing w:line="360" w:lineRule="auto"/>
        <w:ind w:firstLine="480" w:firstLineChars="200"/>
        <w:rPr>
          <w:rFonts w:ascii="宋体" w:hAnsi="宋体" w:cs="宋体"/>
          <w:b/>
          <w:sz w:val="24"/>
          <w:highlight w:val="none"/>
        </w:rPr>
      </w:pPr>
      <w:r>
        <w:rPr>
          <w:rFonts w:hint="eastAsia" w:ascii="宋体" w:hAnsi="宋体" w:cs="宋体"/>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3.2.2 </w:t>
      </w:r>
      <w:r>
        <w:rPr>
          <w:rFonts w:hint="eastAsia" w:ascii="宋体" w:hAnsi="宋体" w:cs="宋体"/>
          <w:sz w:val="24"/>
          <w:highlight w:val="none"/>
        </w:rPr>
        <w:t>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sz w:val="24"/>
          <w:highlight w:val="none"/>
        </w:rPr>
        <w:t>3.2.3</w:t>
      </w:r>
      <w:r>
        <w:rPr>
          <w:rFonts w:hint="eastAsia" w:ascii="宋体" w:hAnsi="宋体" w:cs="宋体"/>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5" w:name="_Hlk107568539"/>
      <w:r>
        <w:rPr>
          <w:rFonts w:hint="eastAsia" w:ascii="宋体" w:hAnsi="宋体" w:cs="宋体"/>
          <w:sz w:val="24"/>
          <w:highlight w:val="none"/>
        </w:rPr>
        <w:t>优先采购绿色包装产品、绿色物流配送服务以及循环利用产品</w:t>
      </w:r>
      <w:bookmarkEnd w:id="15"/>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3.3支持中小企业发展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bCs/>
          <w:sz w:val="24"/>
          <w:highlight w:val="none"/>
        </w:rPr>
        <w:t>3.3.2</w:t>
      </w:r>
      <w:r>
        <w:rPr>
          <w:rFonts w:hint="eastAsia" w:ascii="宋体" w:hAnsi="宋体" w:cs="宋体"/>
          <w:kern w:val="0"/>
          <w:sz w:val="24"/>
          <w:highlight w:val="none"/>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3.3.3对于未预留份额专门面向中小企业的政府采购货物项目，以及预留份额政府采购货物项目中的非预留部分标项，对小型和微型企业的投标报价给予</w:t>
      </w:r>
      <w:r>
        <w:rPr>
          <w:rFonts w:hint="eastAsia" w:ascii="宋体" w:hAnsi="宋体" w:cs="宋体"/>
          <w:sz w:val="24"/>
          <w:highlight w:val="none"/>
          <w:lang w:val="en-US" w:eastAsia="zh-CN"/>
        </w:rPr>
        <w:t>20</w:t>
      </w:r>
      <w:r>
        <w:rPr>
          <w:rFonts w:hint="eastAsia" w:ascii="宋体" w:hAnsi="宋体" w:cs="宋体"/>
          <w:sz w:val="24"/>
          <w:highlight w:val="none"/>
        </w:rPr>
        <w:t>%的扣除，用扣除后的价格参与评审。接受大中型企业与小微企业组成联合体或者允许大中型企业向一家或者多家小微企业分包的政府采购货物项目，对于</w:t>
      </w:r>
      <w:bookmarkStart w:id="16" w:name="_Hlk101132181"/>
      <w:r>
        <w:rPr>
          <w:rFonts w:hint="eastAsia" w:ascii="宋体" w:hAnsi="宋体" w:cs="宋体"/>
          <w:sz w:val="24"/>
          <w:highlight w:val="none"/>
        </w:rPr>
        <w:t>联合协议或者分包意向协议约定小微企业的合同份额占到合同总金额30%以上的</w:t>
      </w:r>
      <w:bookmarkEnd w:id="16"/>
      <w:r>
        <w:rPr>
          <w:rFonts w:hint="eastAsia" w:ascii="宋体" w:hAnsi="宋体" w:cs="宋体"/>
          <w:sz w:val="24"/>
          <w:highlight w:val="none"/>
        </w:rPr>
        <w:t>，对联合体或者大中型企业的报价给予</w:t>
      </w:r>
      <w:r>
        <w:rPr>
          <w:rFonts w:hint="eastAsia" w:ascii="宋体" w:hAnsi="宋体" w:cs="宋体"/>
          <w:sz w:val="24"/>
          <w:highlight w:val="none"/>
          <w:lang w:val="en-US" w:eastAsia="zh-CN"/>
        </w:rPr>
        <w:t>6</w:t>
      </w:r>
      <w:r>
        <w:rPr>
          <w:rFonts w:hint="eastAsia" w:ascii="宋体" w:hAnsi="宋体" w:cs="宋体"/>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3.4</w:t>
      </w:r>
      <w:r>
        <w:rPr>
          <w:rFonts w:hint="eastAsia" w:ascii="宋体" w:hAnsi="宋体" w:cs="宋体"/>
          <w:bCs/>
          <w:sz w:val="24"/>
          <w:highlight w:val="none"/>
        </w:rPr>
        <w:t>支持创新发展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3.4.1 采购人优先采购被认定为首台套产品和“制造精品”的自主创新产品。</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3.4.2首台套产品被纳入《首台套产品推广应用指导目录》之日起</w:t>
      </w:r>
      <w:r>
        <w:rPr>
          <w:rFonts w:hint="eastAsia" w:ascii="宋体" w:hAnsi="宋体" w:cs="宋体"/>
          <w:sz w:val="24"/>
          <w:highlight w:val="none"/>
          <w:lang w:val="en-US" w:eastAsia="zh-CN"/>
        </w:rPr>
        <w:t>3</w:t>
      </w:r>
      <w:r>
        <w:rPr>
          <w:rFonts w:hint="eastAsia" w:ascii="宋体" w:hAnsi="宋体" w:cs="宋体"/>
          <w:sz w:val="24"/>
          <w:highlight w:val="none"/>
        </w:rPr>
        <w:t>年内，以及产品核心技术高于国内领先水平，并具有明晰自主知识产权的“制造精品”产品，自认定之日起</w:t>
      </w:r>
      <w:r>
        <w:rPr>
          <w:rFonts w:hint="default" w:ascii="宋体" w:hAnsi="宋体" w:cs="宋体"/>
          <w:sz w:val="24"/>
          <w:highlight w:val="none"/>
          <w:lang w:val="en-US"/>
        </w:rPr>
        <w:t>3</w:t>
      </w:r>
      <w:r>
        <w:rPr>
          <w:rFonts w:hint="eastAsia" w:ascii="宋体" w:hAnsi="宋体" w:cs="宋体"/>
          <w:sz w:val="24"/>
          <w:highlight w:val="none"/>
        </w:rPr>
        <w:t>年内视同已具备相应销售业绩，参加政府采购活动时业绩分值为满分。</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w:t>
      </w:r>
      <w:r>
        <w:rPr>
          <w:rFonts w:hint="default" w:ascii="宋体" w:hAnsi="宋体" w:cs="宋体"/>
          <w:sz w:val="24"/>
          <w:highlight w:val="none"/>
          <w:lang w:val="en-US" w:eastAsia="zh-CN"/>
        </w:rPr>
        <w:t>5</w:t>
      </w:r>
      <w:r>
        <w:rPr>
          <w:rFonts w:hint="eastAsia" w:ascii="宋体" w:hAnsi="宋体" w:cs="宋体"/>
          <w:sz w:val="24"/>
          <w:highlight w:val="none"/>
        </w:rPr>
        <w:t>平等对待内外资企业和符合条件的破产重整企业</w:t>
      </w:r>
    </w:p>
    <w:p>
      <w:pPr>
        <w:spacing w:line="360" w:lineRule="auto"/>
        <w:ind w:firstLine="240" w:firstLineChars="100"/>
        <w:rPr>
          <w:rFonts w:ascii="宋体" w:hAnsi="宋体" w:cs="宋体"/>
          <w:b/>
          <w:sz w:val="24"/>
          <w:highlight w:val="none"/>
        </w:rPr>
      </w:pPr>
      <w:r>
        <w:rPr>
          <w:rFonts w:hint="eastAsia" w:ascii="宋体" w:hAnsi="宋体" w:cs="宋体"/>
          <w:sz w:val="24"/>
          <w:highlight w:val="none"/>
        </w:rPr>
        <w:t>平等对待内外资企业和符合条件的破产重整企业，切实保障企业公平竞争，平等维护企业的合法利益。</w:t>
      </w:r>
      <w:r>
        <w:rPr>
          <w:rFonts w:hint="eastAsia" w:ascii="宋体" w:hAnsi="宋体" w:cs="宋体"/>
          <w:sz w:val="24"/>
          <w:highlight w:val="none"/>
        </w:rPr>
        <w:cr/>
      </w:r>
      <w:r>
        <w:rPr>
          <w:rFonts w:hint="eastAsia" w:ascii="宋体" w:hAnsi="宋体" w:cs="宋体"/>
          <w:b/>
          <w:sz w:val="24"/>
          <w:highlight w:val="none"/>
        </w:rPr>
        <w:t>4. 询问、质疑、投诉</w:t>
      </w:r>
    </w:p>
    <w:p>
      <w:pPr>
        <w:pStyle w:val="887"/>
        <w:shd w:val="clear" w:color="auto" w:fill="FFFFFF"/>
        <w:snapToGrid w:val="0"/>
        <w:spacing w:after="240" w:afterAutospacing="0" w:line="360" w:lineRule="auto"/>
        <w:ind w:firstLine="400"/>
        <w:contextualSpacing/>
        <w:rPr>
          <w:highlight w:val="none"/>
          <w:lang w:val="zh-CN"/>
        </w:rPr>
      </w:pPr>
      <w:r>
        <w:rPr>
          <w:rFonts w:hint="eastAsia"/>
          <w:highlight w:val="none"/>
          <w:lang w:val="zh-CN"/>
        </w:rPr>
        <w:t>4.1在线询问、质疑、投诉</w:t>
      </w:r>
    </w:p>
    <w:p>
      <w:pPr>
        <w:pStyle w:val="887"/>
        <w:shd w:val="clear" w:color="auto" w:fill="FFFFFF"/>
        <w:snapToGrid w:val="0"/>
        <w:spacing w:after="240" w:afterAutospacing="0" w:line="360" w:lineRule="auto"/>
        <w:ind w:firstLine="400"/>
        <w:contextualSpacing/>
        <w:rPr>
          <w:highlight w:val="none"/>
          <w:lang w:val="zh-CN"/>
        </w:rPr>
      </w:pPr>
      <w:r>
        <w:rPr>
          <w:rFonts w:hint="eastAsia"/>
          <w:highlight w:val="none"/>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ascii="宋体" w:hAnsi="宋体" w:cs="宋体"/>
          <w:kern w:val="0"/>
          <w:sz w:val="24"/>
          <w:highlight w:val="none"/>
          <w:lang w:val="zh-CN"/>
        </w:rPr>
      </w:pPr>
      <w:r>
        <w:rPr>
          <w:rFonts w:hint="eastAsia" w:ascii="宋体" w:hAnsi="宋体" w:cs="宋体"/>
          <w:kern w:val="0"/>
          <w:sz w:val="24"/>
          <w:highlight w:val="none"/>
          <w:lang w:val="zh-CN"/>
        </w:rPr>
        <w:t>4.2供应商询问</w:t>
      </w:r>
    </w:p>
    <w:p>
      <w:pPr>
        <w:autoSpaceDE w:val="0"/>
        <w:autoSpaceDN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highlight w:val="none"/>
          <w:lang w:val="zh-CN"/>
        </w:rPr>
      </w:pPr>
      <w:r>
        <w:rPr>
          <w:rFonts w:hint="eastAsia" w:ascii="宋体" w:hAnsi="宋体" w:cs="宋体"/>
          <w:kern w:val="0"/>
          <w:sz w:val="24"/>
          <w:highlight w:val="none"/>
          <w:lang w:val="zh-CN"/>
        </w:rPr>
        <w:t>4.3供应商质疑</w:t>
      </w:r>
    </w:p>
    <w:p>
      <w:pPr>
        <w:pStyle w:val="33"/>
        <w:spacing w:line="360" w:lineRule="auto"/>
        <w:ind w:firstLine="480" w:firstLineChars="200"/>
        <w:rPr>
          <w:rFonts w:hAnsi="宋体" w:cs="宋体"/>
          <w:sz w:val="24"/>
          <w:highlight w:val="none"/>
        </w:rPr>
      </w:pPr>
      <w:r>
        <w:rPr>
          <w:rFonts w:hint="eastAsia" w:hAnsi="宋体" w:cs="宋体"/>
          <w:kern w:val="0"/>
          <w:sz w:val="24"/>
          <w:highlight w:val="none"/>
          <w:lang w:val="zh-CN"/>
        </w:rPr>
        <w:t>4.3</w:t>
      </w:r>
      <w:r>
        <w:rPr>
          <w:rFonts w:hint="eastAsia" w:hAnsi="宋体" w:cs="宋体"/>
          <w:sz w:val="24"/>
          <w:highlight w:val="none"/>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sz w:val="24"/>
          <w:highlight w:val="none"/>
        </w:rPr>
      </w:pPr>
      <w:r>
        <w:rPr>
          <w:rFonts w:hint="eastAsia" w:hAnsi="宋体" w:cs="宋体"/>
          <w:kern w:val="0"/>
          <w:sz w:val="24"/>
          <w:highlight w:val="none"/>
          <w:lang w:val="zh-CN"/>
        </w:rPr>
        <w:t>4.3</w:t>
      </w:r>
      <w:r>
        <w:rPr>
          <w:rFonts w:hint="eastAsia" w:hAnsi="宋体" w:cs="宋体"/>
          <w:sz w:val="24"/>
          <w:highlight w:val="none"/>
        </w:rPr>
        <w:t>.2供应商认为招标文件、采购过程和中标结果使自己的权益受到损害的，可以在知道或者应知其权益受到损害之日起七个工作日内，以书面形式向采购人或者</w:t>
      </w:r>
      <w:r>
        <w:rPr>
          <w:rFonts w:hint="eastAsia" w:hAnsi="宋体" w:cs="宋体"/>
          <w:sz w:val="24"/>
          <w:highlight w:val="none"/>
          <w:lang w:eastAsia="zh-CN"/>
        </w:rPr>
        <w:t>采购代理机构</w:t>
      </w:r>
      <w:r>
        <w:rPr>
          <w:rFonts w:hint="eastAsia" w:hAnsi="宋体" w:cs="宋体"/>
          <w:sz w:val="24"/>
          <w:highlight w:val="none"/>
        </w:rPr>
        <w:t>提出质疑，否则，采购人或者</w:t>
      </w:r>
      <w:r>
        <w:rPr>
          <w:rFonts w:hint="eastAsia" w:hAnsi="宋体" w:cs="宋体"/>
          <w:sz w:val="24"/>
          <w:highlight w:val="none"/>
          <w:lang w:eastAsia="zh-CN"/>
        </w:rPr>
        <w:t>采购代理机构</w:t>
      </w:r>
      <w:r>
        <w:rPr>
          <w:rFonts w:hint="eastAsia" w:hAnsi="宋体" w:cs="宋体"/>
          <w:sz w:val="24"/>
          <w:highlight w:val="none"/>
        </w:rPr>
        <w:t>不予受理：</w:t>
      </w:r>
    </w:p>
    <w:p>
      <w:pPr>
        <w:pStyle w:val="5"/>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4.3.2.1对招标文件提出质疑的，质疑期限为供应商获得招标文件之日或者招标文件公告期限届满之日起计算。</w:t>
      </w:r>
    </w:p>
    <w:p>
      <w:pPr>
        <w:pStyle w:val="33"/>
        <w:spacing w:line="360" w:lineRule="auto"/>
        <w:ind w:left="479" w:leftChars="228"/>
        <w:rPr>
          <w:rFonts w:hAnsi="宋体" w:cs="宋体"/>
          <w:sz w:val="24"/>
          <w:highlight w:val="none"/>
        </w:rPr>
      </w:pPr>
      <w:r>
        <w:rPr>
          <w:rFonts w:hint="eastAsia" w:hAnsi="宋体" w:cs="宋体"/>
          <w:sz w:val="24"/>
          <w:highlight w:val="none"/>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4.3.3</w:t>
      </w:r>
      <w:r>
        <w:rPr>
          <w:rFonts w:hint="eastAsia" w:hAnsi="宋体" w:cs="宋体"/>
          <w:sz w:val="24"/>
          <w:highlight w:val="none"/>
        </w:rPr>
        <w:t>供应商提出质疑应当提交质疑函和必要的证明材料。质疑函应当包括下列内容：</w:t>
      </w:r>
    </w:p>
    <w:p>
      <w:pPr>
        <w:pStyle w:val="33"/>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4.3.3.1供应商的姓名或者名称、地址、邮编、联系人及联系电话；</w:t>
      </w:r>
    </w:p>
    <w:p>
      <w:pPr>
        <w:pStyle w:val="33"/>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4.3.3.2质疑项目的名称、编号；</w:t>
      </w:r>
    </w:p>
    <w:p>
      <w:pPr>
        <w:pStyle w:val="33"/>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4.3.3.3具体、明确的质疑事项和与质疑事项相关的请求；</w:t>
      </w:r>
    </w:p>
    <w:p>
      <w:pPr>
        <w:pStyle w:val="33"/>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4.3.3.4事实依据；</w:t>
      </w:r>
    </w:p>
    <w:p>
      <w:pPr>
        <w:pStyle w:val="33"/>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4.3.3.5必要的法律依据；</w:t>
      </w:r>
    </w:p>
    <w:p>
      <w:pPr>
        <w:pStyle w:val="33"/>
        <w:spacing w:line="360" w:lineRule="auto"/>
        <w:ind w:firstLine="960" w:firstLineChars="400"/>
        <w:rPr>
          <w:rFonts w:hAnsi="宋体" w:cs="宋体"/>
          <w:kern w:val="0"/>
          <w:sz w:val="24"/>
          <w:highlight w:val="none"/>
          <w:lang w:val="zh-CN"/>
        </w:rPr>
      </w:pPr>
      <w:r>
        <w:rPr>
          <w:rFonts w:hint="eastAsia" w:hAnsi="宋体" w:cs="宋体"/>
          <w:kern w:val="0"/>
          <w:sz w:val="24"/>
          <w:highlight w:val="none"/>
          <w:lang w:val="zh-CN"/>
        </w:rPr>
        <w:t>4.3.3.6提出质疑的日期。</w:t>
      </w:r>
    </w:p>
    <w:p>
      <w:pPr>
        <w:pStyle w:val="887"/>
        <w:shd w:val="clear" w:color="auto" w:fill="FFFFFF"/>
        <w:snapToGrid w:val="0"/>
        <w:spacing w:after="240" w:afterAutospacing="0" w:line="360" w:lineRule="auto"/>
        <w:ind w:firstLine="400"/>
        <w:contextualSpacing/>
        <w:rPr>
          <w:highlight w:val="none"/>
        </w:rPr>
      </w:pPr>
      <w:r>
        <w:rPr>
          <w:rFonts w:hint="eastAsia"/>
          <w:highlight w:val="none"/>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rPr>
          <w:highlight w:val="none"/>
        </w:rPr>
      </w:pPr>
      <w:r>
        <w:rPr>
          <w:rFonts w:hint="eastAsia"/>
          <w:highlight w:val="none"/>
        </w:rPr>
        <w:t>质疑函范本及制作说明详见附件2。</w:t>
      </w:r>
    </w:p>
    <w:p>
      <w:pPr>
        <w:pStyle w:val="887"/>
        <w:shd w:val="clear" w:color="auto" w:fill="FFFFFF"/>
        <w:snapToGrid w:val="0"/>
        <w:spacing w:after="240" w:afterAutospacing="0" w:line="360" w:lineRule="auto"/>
        <w:ind w:firstLine="400"/>
        <w:contextualSpacing/>
        <w:rPr>
          <w:highlight w:val="none"/>
        </w:rPr>
      </w:pPr>
      <w:r>
        <w:rPr>
          <w:rFonts w:hint="eastAsia"/>
          <w:highlight w:val="none"/>
        </w:rPr>
        <w:t>4.3.4对同一采购程序环节的质疑，供应商须在法定质疑期内一次性提出。</w:t>
      </w:r>
    </w:p>
    <w:p>
      <w:pPr>
        <w:pStyle w:val="887"/>
        <w:shd w:val="clear" w:color="auto" w:fill="FFFFFF"/>
        <w:snapToGrid w:val="0"/>
        <w:spacing w:after="240" w:afterAutospacing="0" w:line="360" w:lineRule="auto"/>
        <w:ind w:firstLine="400"/>
        <w:contextualSpacing/>
        <w:rPr>
          <w:highlight w:val="none"/>
        </w:rPr>
      </w:pPr>
      <w:r>
        <w:rPr>
          <w:rFonts w:hint="eastAsia"/>
          <w:highlight w:val="none"/>
          <w:lang w:val="zh-CN"/>
        </w:rPr>
        <w:t>4.3</w:t>
      </w:r>
      <w:r>
        <w:rPr>
          <w:rFonts w:hint="eastAsia"/>
          <w:highlight w:val="none"/>
        </w:rPr>
        <w:t>.5采购人或者</w:t>
      </w:r>
      <w:r>
        <w:rPr>
          <w:rFonts w:hint="eastAsia"/>
          <w:highlight w:val="none"/>
          <w:lang w:eastAsia="zh-CN"/>
        </w:rPr>
        <w:t>采购代理机构</w:t>
      </w:r>
      <w:r>
        <w:rPr>
          <w:rFonts w:hint="eastAsia"/>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highlight w:val="none"/>
          <w:lang w:eastAsia="zh-CN"/>
        </w:rPr>
        <w:t>采购代理机构</w:t>
      </w:r>
      <w:r>
        <w:rPr>
          <w:rFonts w:hint="eastAsia"/>
          <w:highlight w:val="none"/>
        </w:rPr>
        <w:t>在质疑回复后5个工作日内，在浙江政府采购网的“其他公告”栏目公开质疑答复，答复内容应当完整。质疑函作为附件上传。</w:t>
      </w:r>
    </w:p>
    <w:p>
      <w:pPr>
        <w:pStyle w:val="887"/>
        <w:shd w:val="clear" w:color="auto" w:fill="FFFFFF"/>
        <w:snapToGrid w:val="0"/>
        <w:spacing w:after="240" w:afterAutospacing="0" w:line="360" w:lineRule="auto"/>
        <w:ind w:firstLine="400"/>
        <w:contextualSpacing/>
        <w:rPr>
          <w:highlight w:val="none"/>
        </w:rPr>
      </w:pPr>
      <w:r>
        <w:rPr>
          <w:rFonts w:hint="eastAsia"/>
          <w:highlight w:val="none"/>
          <w:lang w:val="zh-CN"/>
        </w:rPr>
        <w:t>4.3</w:t>
      </w:r>
      <w:r>
        <w:rPr>
          <w:rFonts w:hint="eastAsia"/>
          <w:highlight w:val="none"/>
        </w:rPr>
        <w:t>.6询问或者质疑事项可能影响采购结果的，采购人应当暂停签订合同，已经签订合同的，应当中止履行合同。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highlight w:val="none"/>
          <w:lang w:val="zh-CN"/>
        </w:rPr>
      </w:pPr>
      <w:r>
        <w:rPr>
          <w:rFonts w:hint="eastAsia"/>
          <w:highlight w:val="none"/>
          <w:lang w:val="zh-CN"/>
        </w:rPr>
        <w:t>4.4供应商投诉</w:t>
      </w:r>
    </w:p>
    <w:p>
      <w:pPr>
        <w:pStyle w:val="887"/>
        <w:shd w:val="clear" w:color="auto" w:fill="FFFFFF"/>
        <w:snapToGrid w:val="0"/>
        <w:spacing w:after="240" w:afterAutospacing="0" w:line="360" w:lineRule="auto"/>
        <w:ind w:firstLine="400"/>
        <w:contextualSpacing/>
        <w:rPr>
          <w:highlight w:val="none"/>
        </w:rPr>
      </w:pPr>
      <w:r>
        <w:rPr>
          <w:rFonts w:hint="eastAsia"/>
          <w:highlight w:val="none"/>
        </w:rPr>
        <w:t>4.4.1质疑供应商对采购人、</w:t>
      </w:r>
      <w:r>
        <w:rPr>
          <w:rFonts w:hint="eastAsia"/>
          <w:highlight w:val="none"/>
          <w:lang w:eastAsia="zh-CN"/>
        </w:rPr>
        <w:t>采购代理机构</w:t>
      </w:r>
      <w:r>
        <w:rPr>
          <w:rFonts w:hint="eastAsia"/>
          <w:highlight w:val="none"/>
        </w:rPr>
        <w:t>的答复不满意或者采购人、</w:t>
      </w:r>
      <w:r>
        <w:rPr>
          <w:rFonts w:hint="eastAsia"/>
          <w:highlight w:val="none"/>
          <w:lang w:eastAsia="zh-CN"/>
        </w:rPr>
        <w:t>采购代理机构</w:t>
      </w:r>
      <w:r>
        <w:rPr>
          <w:rFonts w:hint="eastAsia"/>
          <w:highlight w:val="none"/>
        </w:rPr>
        <w:t>未在规定的时间内作出答复的，可以在答复期满后十五个工作日内向同级政府采购监督管理部门提出投诉。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rPr>
          <w:highlight w:val="none"/>
        </w:rPr>
      </w:pPr>
      <w:r>
        <w:rPr>
          <w:rFonts w:hint="eastAsia"/>
          <w:highlight w:val="none"/>
        </w:rPr>
        <w:t>4.4.</w:t>
      </w:r>
      <w:r>
        <w:rPr>
          <w:rFonts w:hint="eastAsia"/>
          <w:highlight w:val="none"/>
          <w:lang w:val="zh-CN"/>
        </w:rPr>
        <w:t>2</w:t>
      </w:r>
      <w:r>
        <w:rPr>
          <w:rFonts w:hint="eastAsia"/>
          <w:highlight w:val="none"/>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rPr>
          <w:highlight w:val="none"/>
        </w:rPr>
      </w:pPr>
      <w:r>
        <w:rPr>
          <w:rFonts w:hint="eastAsia"/>
          <w:highlight w:val="none"/>
        </w:rPr>
        <w:t>4.4.3供应商投诉应当有明确的请求和必要的证明材料。</w:t>
      </w:r>
    </w:p>
    <w:p>
      <w:pPr>
        <w:pStyle w:val="887"/>
        <w:shd w:val="clear" w:color="auto" w:fill="FFFFFF"/>
        <w:snapToGrid w:val="0"/>
        <w:spacing w:after="240" w:afterAutospacing="0" w:line="360" w:lineRule="auto"/>
        <w:ind w:firstLine="400"/>
        <w:contextualSpacing/>
        <w:rPr>
          <w:highlight w:val="none"/>
        </w:rPr>
      </w:pPr>
      <w:r>
        <w:rPr>
          <w:rFonts w:hint="eastAsia"/>
          <w:highlight w:val="none"/>
        </w:rPr>
        <w:t>4.4.4 以联合体形式参加政府采购活动的，其投诉应当由组成联合体的所有供应商共同提出。</w:t>
      </w:r>
    </w:p>
    <w:p>
      <w:pPr>
        <w:pStyle w:val="887"/>
        <w:shd w:val="clear" w:color="auto" w:fill="FFFFFF"/>
        <w:snapToGrid w:val="0"/>
        <w:spacing w:after="240" w:afterAutospacing="0" w:line="360" w:lineRule="auto"/>
        <w:ind w:firstLine="480" w:firstLineChars="200"/>
        <w:contextualSpacing/>
        <w:rPr>
          <w:highlight w:val="none"/>
        </w:rPr>
      </w:pPr>
      <w:r>
        <w:rPr>
          <w:rFonts w:hint="eastAsia"/>
          <w:highlight w:val="none"/>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7"/>
        <w:shd w:val="clear" w:color="auto" w:fill="FFFFFF"/>
        <w:snapToGrid w:val="0"/>
        <w:spacing w:after="240" w:afterAutospacing="0" w:line="360" w:lineRule="auto"/>
        <w:ind w:firstLine="400"/>
        <w:contextualSpacing/>
        <w:rPr>
          <w:highlight w:val="none"/>
        </w:rPr>
      </w:pPr>
      <w:r>
        <w:rPr>
          <w:rFonts w:hint="eastAsia"/>
          <w:highlight w:val="none"/>
        </w:rPr>
        <w:t>投诉书范本及制作说明详见附件3。</w:t>
      </w:r>
    </w:p>
    <w:p>
      <w:pPr>
        <w:pStyle w:val="887"/>
        <w:shd w:val="clear" w:color="auto" w:fill="FFFFFF"/>
        <w:snapToGrid w:val="0"/>
        <w:spacing w:after="240" w:afterAutospacing="0" w:line="360" w:lineRule="auto"/>
        <w:ind w:firstLine="480" w:firstLineChars="200"/>
        <w:contextualSpacing/>
        <w:rPr>
          <w:highlight w:val="none"/>
        </w:rPr>
      </w:pPr>
    </w:p>
    <w:p>
      <w:pPr>
        <w:pStyle w:val="129"/>
        <w:snapToGrid w:val="0"/>
        <w:spacing w:before="0"/>
        <w:ind w:firstLine="360"/>
        <w:rPr>
          <w:rFonts w:ascii="宋体" w:hAnsi="宋体" w:cs="宋体"/>
          <w:sz w:val="18"/>
          <w:szCs w:val="18"/>
          <w:highlight w:val="none"/>
        </w:rPr>
      </w:pPr>
    </w:p>
    <w:p>
      <w:pPr>
        <w:adjustRightInd/>
        <w:spacing w:line="360" w:lineRule="auto"/>
        <w:jc w:val="center"/>
        <w:outlineLvl w:val="0"/>
        <w:rPr>
          <w:rFonts w:ascii="宋体" w:hAnsi="宋体" w:cs="宋体"/>
          <w:b/>
          <w:sz w:val="32"/>
          <w:szCs w:val="20"/>
          <w:highlight w:val="none"/>
        </w:rPr>
      </w:pPr>
      <w:r>
        <w:rPr>
          <w:rFonts w:hint="eastAsia" w:ascii="宋体" w:hAnsi="宋体" w:cs="宋体"/>
          <w:b/>
          <w:sz w:val="32"/>
          <w:szCs w:val="20"/>
          <w:highlight w:val="none"/>
        </w:rPr>
        <w:t xml:space="preserve">      二、招标文件的构成、澄清、修改</w:t>
      </w:r>
    </w:p>
    <w:p>
      <w:pPr>
        <w:pStyle w:val="33"/>
        <w:spacing w:line="360" w:lineRule="auto"/>
        <w:rPr>
          <w:rFonts w:hAnsi="宋体" w:cs="宋体"/>
          <w:b/>
          <w:sz w:val="24"/>
          <w:szCs w:val="24"/>
          <w:highlight w:val="none"/>
        </w:rPr>
      </w:pPr>
      <w:r>
        <w:rPr>
          <w:rFonts w:hint="eastAsia" w:hAnsi="宋体" w:cs="宋体"/>
          <w:b/>
          <w:sz w:val="24"/>
          <w:szCs w:val="24"/>
          <w:highlight w:val="none"/>
        </w:rPr>
        <w:t>5．招标文件的构成</w:t>
      </w:r>
    </w:p>
    <w:p>
      <w:pPr>
        <w:pStyle w:val="33"/>
        <w:spacing w:line="360" w:lineRule="auto"/>
        <w:ind w:firstLine="480" w:firstLineChars="200"/>
        <w:rPr>
          <w:rFonts w:hAnsi="宋体" w:cs="宋体"/>
          <w:sz w:val="24"/>
          <w:szCs w:val="24"/>
          <w:highlight w:val="none"/>
        </w:rPr>
      </w:pPr>
      <w:r>
        <w:rPr>
          <w:rFonts w:hint="eastAsia" w:hAnsi="宋体" w:cs="宋体"/>
          <w:sz w:val="24"/>
          <w:szCs w:val="24"/>
          <w:highlight w:val="none"/>
        </w:rPr>
        <w:t>5.1 招标文件包括下列文件及附件：</w:t>
      </w:r>
    </w:p>
    <w:p>
      <w:pPr>
        <w:pStyle w:val="33"/>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5.1.1招标公告；</w:t>
      </w:r>
    </w:p>
    <w:p>
      <w:pPr>
        <w:pStyle w:val="33"/>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5.1.2投标人须知；</w:t>
      </w:r>
    </w:p>
    <w:p>
      <w:pPr>
        <w:pStyle w:val="33"/>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5.1.3采购需求；</w:t>
      </w:r>
    </w:p>
    <w:p>
      <w:pPr>
        <w:pStyle w:val="33"/>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5.1.4评标办法；</w:t>
      </w:r>
    </w:p>
    <w:p>
      <w:pPr>
        <w:pStyle w:val="33"/>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5.1.5拟签订的合同文本；</w:t>
      </w:r>
    </w:p>
    <w:p>
      <w:pPr>
        <w:pStyle w:val="33"/>
        <w:tabs>
          <w:tab w:val="left" w:pos="840"/>
        </w:tabs>
        <w:spacing w:line="360" w:lineRule="auto"/>
        <w:ind w:firstLine="960" w:firstLineChars="400"/>
        <w:rPr>
          <w:rFonts w:hAnsi="宋体" w:cs="宋体"/>
          <w:sz w:val="24"/>
          <w:szCs w:val="24"/>
          <w:highlight w:val="none"/>
        </w:rPr>
      </w:pPr>
      <w:r>
        <w:rPr>
          <w:rFonts w:hint="eastAsia" w:hAnsi="宋体" w:cs="宋体"/>
          <w:sz w:val="24"/>
          <w:highlight w:val="none"/>
        </w:rPr>
        <w:t>5.1.6</w:t>
      </w:r>
      <w:r>
        <w:rPr>
          <w:rFonts w:hint="eastAsia" w:hAnsi="宋体" w:cs="宋体"/>
          <w:sz w:val="24"/>
          <w:szCs w:val="24"/>
          <w:highlight w:val="none"/>
        </w:rPr>
        <w:t>应提交的有关格式范例。</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5.2与本项目有关的</w:t>
      </w:r>
      <w:r>
        <w:rPr>
          <w:rFonts w:hint="eastAsia" w:ascii="宋体" w:hAnsi="宋体" w:cs="宋体"/>
          <w:bCs/>
          <w:sz w:val="24"/>
          <w:highlight w:val="none"/>
        </w:rPr>
        <w:t>澄清或者修改的内容为招标文件的组成部分</w:t>
      </w:r>
      <w:r>
        <w:rPr>
          <w:rFonts w:hint="eastAsia" w:ascii="宋体" w:hAnsi="宋体" w:cs="宋体"/>
          <w:sz w:val="24"/>
          <w:highlight w:val="none"/>
        </w:rPr>
        <w:t>。</w:t>
      </w:r>
    </w:p>
    <w:p>
      <w:pPr>
        <w:pStyle w:val="33"/>
        <w:spacing w:line="360" w:lineRule="auto"/>
        <w:rPr>
          <w:rFonts w:hAnsi="宋体" w:cs="宋体"/>
          <w:b/>
          <w:sz w:val="24"/>
          <w:szCs w:val="24"/>
          <w:highlight w:val="none"/>
        </w:rPr>
      </w:pPr>
      <w:r>
        <w:rPr>
          <w:rFonts w:hint="eastAsia" w:hAnsi="宋体" w:cs="宋体"/>
          <w:b/>
          <w:sz w:val="24"/>
          <w:szCs w:val="24"/>
          <w:highlight w:val="none"/>
        </w:rPr>
        <w:t>6. 招标文件的澄清、修改</w:t>
      </w:r>
    </w:p>
    <w:p>
      <w:pPr>
        <w:pStyle w:val="129"/>
        <w:snapToGrid w:val="0"/>
        <w:spacing w:before="0"/>
        <w:ind w:firstLine="480"/>
        <w:rPr>
          <w:rFonts w:ascii="宋体" w:hAnsi="宋体" w:cs="宋体"/>
          <w:highlight w:val="none"/>
        </w:rPr>
      </w:pPr>
      <w:r>
        <w:rPr>
          <w:rFonts w:hint="eastAsia" w:ascii="宋体" w:hAnsi="宋体" w:cs="宋体"/>
          <w:highlight w:val="none"/>
        </w:rPr>
        <w:t>6.1已获取招标文件的潜在投标人，若有问题需要澄清，应于投标截止时间前，以书面形式向采购机构提出。</w:t>
      </w:r>
    </w:p>
    <w:p>
      <w:pPr>
        <w:pStyle w:val="129"/>
        <w:snapToGrid w:val="0"/>
        <w:spacing w:before="0"/>
        <w:ind w:firstLine="480"/>
        <w:rPr>
          <w:rFonts w:ascii="宋体" w:hAnsi="宋体" w:cs="宋体"/>
          <w:highlight w:val="none"/>
        </w:rPr>
      </w:pPr>
      <w:r>
        <w:rPr>
          <w:rFonts w:hint="eastAsia" w:ascii="宋体" w:hAnsi="宋体" w:cs="宋体"/>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hAnsi="宋体" w:cs="宋体"/>
          <w:sz w:val="18"/>
          <w:szCs w:val="18"/>
          <w:highlight w:val="none"/>
          <w:lang w:val="en-US"/>
        </w:rPr>
      </w:pPr>
      <w:r>
        <w:rPr>
          <w:rFonts w:hint="eastAsia" w:hAnsi="宋体" w:cs="宋体"/>
          <w:szCs w:val="24"/>
          <w:highlight w:val="none"/>
          <w:lang w:val="en-US"/>
        </w:rPr>
        <w:t xml:space="preserve">    </w:t>
      </w:r>
    </w:p>
    <w:p>
      <w:pPr>
        <w:adjustRightInd/>
        <w:spacing w:line="360" w:lineRule="auto"/>
        <w:jc w:val="center"/>
        <w:outlineLvl w:val="0"/>
        <w:rPr>
          <w:rFonts w:ascii="宋体" w:hAnsi="宋体" w:cs="宋体"/>
          <w:b/>
          <w:sz w:val="30"/>
          <w:szCs w:val="20"/>
          <w:highlight w:val="none"/>
        </w:rPr>
      </w:pPr>
      <w:r>
        <w:rPr>
          <w:rFonts w:hint="eastAsia" w:ascii="宋体" w:hAnsi="宋体" w:cs="宋体"/>
          <w:b/>
          <w:sz w:val="30"/>
          <w:szCs w:val="20"/>
          <w:highlight w:val="none"/>
        </w:rPr>
        <w:t>三、投标</w:t>
      </w:r>
    </w:p>
    <w:p>
      <w:pPr>
        <w:pStyle w:val="33"/>
        <w:spacing w:line="360" w:lineRule="auto"/>
        <w:rPr>
          <w:rFonts w:hAnsi="宋体" w:cs="宋体"/>
          <w:b/>
          <w:sz w:val="24"/>
          <w:szCs w:val="24"/>
          <w:highlight w:val="none"/>
        </w:rPr>
      </w:pPr>
      <w:r>
        <w:rPr>
          <w:rFonts w:hint="eastAsia" w:hAnsi="宋体" w:cs="宋体"/>
          <w:b/>
          <w:sz w:val="24"/>
          <w:szCs w:val="24"/>
          <w:highlight w:val="none"/>
        </w:rPr>
        <w:t>7. 招标文件的获取</w:t>
      </w:r>
    </w:p>
    <w:p>
      <w:pPr>
        <w:spacing w:line="360" w:lineRule="auto"/>
        <w:ind w:firstLine="480" w:firstLineChars="200"/>
        <w:rPr>
          <w:rFonts w:ascii="宋体" w:hAnsi="宋体" w:cs="宋体"/>
          <w:snapToGrid w:val="0"/>
          <w:kern w:val="28"/>
          <w:sz w:val="24"/>
          <w:highlight w:val="none"/>
        </w:rPr>
      </w:pPr>
      <w:r>
        <w:rPr>
          <w:rFonts w:hint="eastAsia" w:ascii="宋体" w:hAnsi="宋体" w:cs="宋体"/>
          <w:snapToGrid w:val="0"/>
          <w:kern w:val="28"/>
          <w:sz w:val="24"/>
          <w:highlight w:val="none"/>
        </w:rPr>
        <w:t>详见招标公告中获取招标文件的时间期限、地点、方式及招标文件售价。</w:t>
      </w:r>
    </w:p>
    <w:p>
      <w:pPr>
        <w:pStyle w:val="33"/>
        <w:spacing w:line="360" w:lineRule="auto"/>
        <w:rPr>
          <w:rFonts w:hAnsi="宋体" w:cs="宋体"/>
          <w:b/>
          <w:sz w:val="24"/>
          <w:szCs w:val="24"/>
          <w:highlight w:val="none"/>
        </w:rPr>
      </w:pPr>
      <w:r>
        <w:rPr>
          <w:rFonts w:hint="eastAsia" w:hAnsi="宋体" w:cs="宋体"/>
          <w:b/>
          <w:sz w:val="24"/>
          <w:szCs w:val="24"/>
          <w:highlight w:val="none"/>
        </w:rPr>
        <w:t>8.开标前答疑会或现场考察</w:t>
      </w:r>
    </w:p>
    <w:p>
      <w:pPr>
        <w:pStyle w:val="33"/>
        <w:spacing w:line="360" w:lineRule="auto"/>
        <w:ind w:firstLine="480" w:firstLineChars="200"/>
        <w:rPr>
          <w:rFonts w:hAnsi="宋体" w:cs="宋体"/>
          <w:sz w:val="24"/>
          <w:szCs w:val="24"/>
          <w:highlight w:val="none"/>
        </w:rPr>
      </w:pPr>
      <w:r>
        <w:rPr>
          <w:rFonts w:hint="eastAsia" w:hAnsi="宋体" w:cs="宋体"/>
          <w:sz w:val="24"/>
          <w:szCs w:val="24"/>
          <w:highlight w:val="none"/>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szCs w:val="24"/>
          <w:highlight w:val="none"/>
        </w:rPr>
      </w:pPr>
      <w:r>
        <w:rPr>
          <w:rFonts w:hint="eastAsia" w:hAnsi="宋体" w:cs="宋体"/>
          <w:b/>
          <w:kern w:val="28"/>
          <w:sz w:val="24"/>
          <w:szCs w:val="24"/>
          <w:highlight w:val="none"/>
        </w:rPr>
        <w:t>9.投标保证金</w:t>
      </w:r>
    </w:p>
    <w:p>
      <w:pPr>
        <w:pStyle w:val="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3"/>
        <w:spacing w:line="360" w:lineRule="auto"/>
        <w:rPr>
          <w:rFonts w:hAnsi="宋体" w:cs="宋体"/>
          <w:b/>
          <w:sz w:val="24"/>
          <w:szCs w:val="24"/>
          <w:highlight w:val="none"/>
        </w:rPr>
      </w:pPr>
      <w:r>
        <w:rPr>
          <w:rFonts w:hint="eastAsia" w:hAnsi="宋体" w:cs="宋体"/>
          <w:b/>
          <w:sz w:val="24"/>
          <w:szCs w:val="24"/>
          <w:highlight w:val="none"/>
        </w:rPr>
        <w:t>10. 投标文件的语言</w:t>
      </w:r>
    </w:p>
    <w:p>
      <w:pPr>
        <w:autoSpaceDE w:val="0"/>
        <w:autoSpaceDN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rPr>
        <w:t>投标文件及投标人与采购有关的来往通知、函件和文件均应使用中文。</w:t>
      </w:r>
    </w:p>
    <w:p>
      <w:pPr>
        <w:pStyle w:val="33"/>
        <w:spacing w:line="360" w:lineRule="auto"/>
        <w:rPr>
          <w:rFonts w:hAnsi="宋体" w:cs="宋体"/>
          <w:b/>
          <w:sz w:val="24"/>
          <w:szCs w:val="24"/>
          <w:highlight w:val="none"/>
        </w:rPr>
      </w:pPr>
      <w:r>
        <w:rPr>
          <w:rFonts w:hint="eastAsia" w:hAnsi="宋体" w:cs="宋体"/>
          <w:b/>
          <w:sz w:val="24"/>
          <w:szCs w:val="24"/>
          <w:highlight w:val="none"/>
        </w:rPr>
        <w:t>11. 投标文件的组成</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11.1</w:t>
      </w:r>
      <w:r>
        <w:rPr>
          <w:rFonts w:hint="eastAsia" w:ascii="宋体" w:hAnsi="宋体" w:cs="宋体"/>
          <w:b/>
          <w:sz w:val="24"/>
          <w:highlight w:val="none"/>
        </w:rPr>
        <w:t>资格文件</w:t>
      </w:r>
      <w:r>
        <w:rPr>
          <w:rFonts w:hint="eastAsia" w:ascii="宋体" w:hAnsi="宋体" w:cs="宋体"/>
          <w:sz w:val="24"/>
          <w:highlight w:val="none"/>
        </w:rPr>
        <w:t>：</w:t>
      </w:r>
    </w:p>
    <w:p>
      <w:pPr>
        <w:snapToGrid w:val="0"/>
        <w:spacing w:line="360" w:lineRule="auto"/>
        <w:ind w:firstLine="960" w:firstLineChars="400"/>
        <w:rPr>
          <w:rFonts w:hint="eastAsia" w:ascii="宋体" w:hAnsi="宋体" w:cs="宋体"/>
          <w:sz w:val="24"/>
          <w:highlight w:val="none"/>
        </w:rPr>
      </w:pPr>
      <w:r>
        <w:rPr>
          <w:rFonts w:hint="eastAsia" w:ascii="宋体" w:hAnsi="宋体" w:cs="宋体"/>
          <w:sz w:val="24"/>
          <w:highlight w:val="none"/>
        </w:rPr>
        <w:t>11.1.1符合参加政府采购活动应当具备的一般条件的承诺函；</w:t>
      </w:r>
    </w:p>
    <w:p>
      <w:pPr>
        <w:snapToGrid w:val="0"/>
        <w:spacing w:line="360" w:lineRule="auto"/>
        <w:ind w:firstLine="960" w:firstLineChars="400"/>
        <w:rPr>
          <w:rFonts w:hint="default"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11.1.2 联合协议（如果有）；</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11.1.</w:t>
      </w:r>
      <w:r>
        <w:rPr>
          <w:rFonts w:hint="eastAsia" w:ascii="宋体" w:hAnsi="宋体" w:cs="宋体"/>
          <w:sz w:val="24"/>
          <w:highlight w:val="none"/>
          <w:lang w:val="en-US" w:eastAsia="zh-CN"/>
        </w:rPr>
        <w:t>3</w:t>
      </w:r>
      <w:r>
        <w:rPr>
          <w:rFonts w:hint="eastAsia" w:ascii="宋体" w:hAnsi="宋体" w:cs="宋体"/>
          <w:sz w:val="24"/>
          <w:highlight w:val="none"/>
        </w:rPr>
        <w:t>落实政府采购政策需满足的资格要求</w:t>
      </w:r>
      <w:r>
        <w:rPr>
          <w:rFonts w:hint="eastAsia" w:ascii="宋体" w:hAnsi="宋体" w:cs="宋体"/>
          <w:sz w:val="24"/>
          <w:highlight w:val="none"/>
          <w:lang w:eastAsia="zh-CN"/>
        </w:rPr>
        <w:t>（如果有）</w:t>
      </w:r>
      <w:r>
        <w:rPr>
          <w:rFonts w:hint="eastAsia" w:ascii="宋体" w:hAnsi="宋体" w:cs="宋体"/>
          <w:sz w:val="24"/>
          <w:highlight w:val="none"/>
        </w:rPr>
        <w:t>；</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11.1.</w:t>
      </w:r>
      <w:r>
        <w:rPr>
          <w:rFonts w:hint="eastAsia" w:ascii="宋体" w:hAnsi="宋体" w:cs="宋体"/>
          <w:sz w:val="24"/>
          <w:highlight w:val="none"/>
          <w:lang w:val="en-US" w:eastAsia="zh-CN"/>
        </w:rPr>
        <w:t>4</w:t>
      </w:r>
      <w:r>
        <w:rPr>
          <w:rFonts w:hint="eastAsia" w:ascii="宋体" w:hAnsi="宋体" w:cs="宋体"/>
          <w:sz w:val="24"/>
          <w:highlight w:val="none"/>
        </w:rPr>
        <w:t>本项目的特定资格要求</w:t>
      </w:r>
      <w:r>
        <w:rPr>
          <w:rFonts w:hint="eastAsia" w:ascii="宋体" w:hAnsi="宋体" w:cs="宋体"/>
          <w:snapToGrid w:val="0"/>
          <w:kern w:val="28"/>
          <w:sz w:val="24"/>
          <w:szCs w:val="20"/>
          <w:highlight w:val="none"/>
        </w:rPr>
        <w:t>（如果有)</w:t>
      </w:r>
      <w:r>
        <w:rPr>
          <w:rFonts w:hint="eastAsia" w:ascii="宋体" w:hAnsi="宋体" w:cs="宋体"/>
          <w:sz w:val="24"/>
          <w:highlight w:val="none"/>
        </w:rPr>
        <w:t>。</w:t>
      </w:r>
    </w:p>
    <w:p>
      <w:pPr>
        <w:snapToGri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11.</w:t>
      </w:r>
      <w:r>
        <w:rPr>
          <w:rFonts w:hint="eastAsia" w:ascii="宋体" w:hAnsi="宋体" w:cs="宋体"/>
          <w:sz w:val="24"/>
          <w:highlight w:val="none"/>
        </w:rPr>
        <w:t>2</w:t>
      </w:r>
      <w:r>
        <w:rPr>
          <w:rFonts w:hint="eastAsia" w:ascii="宋体" w:hAnsi="宋体" w:cs="宋体"/>
          <w:sz w:val="24"/>
          <w:highlight w:val="none"/>
          <w:lang w:val="zh-CN"/>
        </w:rPr>
        <w:t xml:space="preserve">  </w:t>
      </w:r>
      <w:r>
        <w:rPr>
          <w:rFonts w:hint="eastAsia" w:ascii="宋体" w:hAnsi="宋体" w:cs="宋体"/>
          <w:sz w:val="24"/>
          <w:highlight w:val="none"/>
        </w:rPr>
        <w:t>商务技术</w:t>
      </w:r>
      <w:r>
        <w:rPr>
          <w:rFonts w:hint="eastAsia" w:ascii="宋体" w:hAnsi="宋体" w:cs="宋体"/>
          <w:sz w:val="24"/>
          <w:highlight w:val="none"/>
          <w:lang w:val="zh-CN"/>
        </w:rPr>
        <w:t>文件：</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11.2.1投标函；</w:t>
      </w:r>
      <w:r>
        <w:rPr>
          <w:rFonts w:hint="eastAsia" w:ascii="宋体" w:hAnsi="宋体" w:cs="宋体"/>
          <w:sz w:val="24"/>
          <w:highlight w:val="none"/>
          <w:lang w:val="zh-CN"/>
        </w:rPr>
        <w:t xml:space="preserve"> </w:t>
      </w:r>
    </w:p>
    <w:p>
      <w:pPr>
        <w:snapToGrid w:val="0"/>
        <w:spacing w:line="360" w:lineRule="auto"/>
        <w:ind w:firstLine="960" w:firstLineChars="400"/>
        <w:rPr>
          <w:rFonts w:hint="eastAsia" w:ascii="宋体" w:hAnsi="宋体" w:cs="宋体"/>
          <w:sz w:val="24"/>
          <w:highlight w:val="none"/>
        </w:rPr>
      </w:pPr>
      <w:r>
        <w:rPr>
          <w:rFonts w:hint="eastAsia" w:ascii="宋体" w:hAnsi="宋体" w:cs="宋体"/>
          <w:sz w:val="24"/>
          <w:highlight w:val="none"/>
        </w:rPr>
        <w:t>11.2.2授权委托书或法定代表人（单位负责人、自然人本人）身份证明；</w:t>
      </w:r>
    </w:p>
    <w:p>
      <w:pPr>
        <w:snapToGrid w:val="0"/>
        <w:spacing w:line="360" w:lineRule="auto"/>
        <w:ind w:firstLine="960" w:firstLineChars="400"/>
        <w:rPr>
          <w:rFonts w:hint="default" w:eastAsia="宋体"/>
          <w:highlight w:val="none"/>
          <w:lang w:val="en-US" w:eastAsia="zh-CN"/>
        </w:rPr>
      </w:pPr>
      <w:r>
        <w:rPr>
          <w:rFonts w:hint="eastAsia" w:ascii="宋体" w:hAnsi="宋体" w:cs="宋体"/>
          <w:sz w:val="24"/>
          <w:highlight w:val="none"/>
          <w:lang w:val="en-US" w:eastAsia="zh-CN"/>
        </w:rPr>
        <w:t>11.2.3 分包意向协议（如果有）；</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w:t>
      </w:r>
      <w:r>
        <w:rPr>
          <w:rFonts w:hint="eastAsia" w:ascii="宋体" w:hAnsi="宋体" w:cs="宋体"/>
          <w:sz w:val="24"/>
          <w:highlight w:val="none"/>
          <w:lang w:val="en-US" w:eastAsia="zh-CN"/>
        </w:rPr>
        <w:t>4</w:t>
      </w:r>
      <w:r>
        <w:rPr>
          <w:rFonts w:hint="eastAsia" w:ascii="宋体" w:hAnsi="宋体" w:cs="宋体"/>
          <w:sz w:val="24"/>
          <w:highlight w:val="none"/>
        </w:rPr>
        <w:t>符合性审查资料；</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w:t>
      </w:r>
      <w:r>
        <w:rPr>
          <w:rFonts w:hint="eastAsia" w:ascii="宋体" w:hAnsi="宋体" w:cs="宋体"/>
          <w:sz w:val="24"/>
          <w:highlight w:val="none"/>
          <w:lang w:val="en-US" w:eastAsia="zh-CN"/>
        </w:rPr>
        <w:t>5</w:t>
      </w:r>
      <w:r>
        <w:rPr>
          <w:rFonts w:hint="eastAsia" w:ascii="宋体" w:hAnsi="宋体" w:cs="宋体"/>
          <w:sz w:val="24"/>
          <w:highlight w:val="none"/>
        </w:rPr>
        <w:t>评标标准相应的商务技术资料；</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w:t>
      </w:r>
      <w:r>
        <w:rPr>
          <w:rFonts w:hint="eastAsia" w:ascii="宋体" w:hAnsi="宋体" w:cs="宋体"/>
          <w:sz w:val="24"/>
          <w:highlight w:val="none"/>
          <w:lang w:val="en-US" w:eastAsia="zh-CN"/>
        </w:rPr>
        <w:t>7</w:t>
      </w:r>
      <w:r>
        <w:rPr>
          <w:rFonts w:hint="eastAsia" w:ascii="宋体" w:hAnsi="宋体" w:cs="宋体"/>
          <w:sz w:val="24"/>
          <w:highlight w:val="none"/>
        </w:rPr>
        <w:t>商务技术偏离表；</w:t>
      </w:r>
    </w:p>
    <w:p>
      <w:pPr>
        <w:snapToGrid w:val="0"/>
        <w:spacing w:line="360" w:lineRule="auto"/>
        <w:ind w:firstLine="960" w:firstLineChars="400"/>
        <w:rPr>
          <w:rFonts w:hint="eastAsia" w:ascii="宋体" w:hAnsi="宋体" w:cs="宋体"/>
          <w:sz w:val="24"/>
          <w:highlight w:val="none"/>
          <w:lang w:val="zh-CN"/>
        </w:rPr>
      </w:pPr>
      <w:r>
        <w:rPr>
          <w:rFonts w:hint="eastAsia" w:ascii="宋体" w:hAnsi="宋体" w:cs="宋体"/>
          <w:sz w:val="24"/>
          <w:highlight w:val="none"/>
          <w:lang w:val="zh-CN"/>
        </w:rPr>
        <w:t>11.2.</w:t>
      </w:r>
      <w:r>
        <w:rPr>
          <w:rFonts w:hint="default" w:ascii="宋体" w:hAnsi="宋体" w:cs="宋体"/>
          <w:sz w:val="24"/>
          <w:highlight w:val="none"/>
          <w:lang w:val="en-US" w:eastAsia="zh-CN"/>
        </w:rPr>
        <w:t>8</w:t>
      </w:r>
      <w:r>
        <w:rPr>
          <w:rFonts w:hint="eastAsia" w:ascii="宋体" w:hAnsi="宋体" w:cs="宋体"/>
          <w:sz w:val="24"/>
          <w:highlight w:val="none"/>
          <w:lang w:val="zh-CN"/>
        </w:rPr>
        <w:t>政府采购供应商廉洁自律承诺书。</w:t>
      </w:r>
    </w:p>
    <w:p>
      <w:pPr>
        <w:snapToGrid w:val="0"/>
        <w:spacing w:line="360" w:lineRule="auto"/>
        <w:ind w:firstLine="480" w:firstLineChars="200"/>
        <w:rPr>
          <w:rFonts w:ascii="宋体" w:hAnsi="宋体" w:cs="宋体"/>
          <w:sz w:val="24"/>
          <w:highlight w:val="none"/>
          <w:u w:val="single"/>
          <w:lang w:val="zh-CN"/>
        </w:rPr>
      </w:pPr>
      <w:r>
        <w:rPr>
          <w:rFonts w:hint="eastAsia" w:ascii="宋体" w:hAnsi="宋体" w:cs="宋体"/>
          <w:kern w:val="0"/>
          <w:sz w:val="24"/>
          <w:highlight w:val="none"/>
          <w:lang w:val="zh-CN"/>
        </w:rPr>
        <w:t>11.</w:t>
      </w:r>
      <w:r>
        <w:rPr>
          <w:rFonts w:hint="eastAsia" w:ascii="宋体" w:hAnsi="宋体" w:cs="宋体"/>
          <w:kern w:val="0"/>
          <w:sz w:val="24"/>
          <w:highlight w:val="none"/>
        </w:rPr>
        <w:t>3</w:t>
      </w:r>
      <w:r>
        <w:rPr>
          <w:rFonts w:hint="eastAsia" w:ascii="宋体" w:hAnsi="宋体" w:cs="宋体"/>
          <w:b/>
          <w:sz w:val="24"/>
          <w:highlight w:val="none"/>
        </w:rPr>
        <w:t>报价文件：</w:t>
      </w:r>
      <w:r>
        <w:rPr>
          <w:rFonts w:hint="eastAsia" w:ascii="宋体" w:hAnsi="宋体" w:cs="宋体"/>
          <w:sz w:val="24"/>
          <w:highlight w:val="none"/>
        </w:rPr>
        <w:t xml:space="preserve"> </w:t>
      </w:r>
    </w:p>
    <w:p>
      <w:pPr>
        <w:snapToGrid w:val="0"/>
        <w:spacing w:line="360" w:lineRule="auto"/>
        <w:ind w:firstLine="960" w:firstLineChars="400"/>
        <w:rPr>
          <w:rFonts w:hint="eastAsia" w:ascii="宋体" w:hAnsi="宋体" w:eastAsia="宋体" w:cs="宋体"/>
          <w:sz w:val="24"/>
          <w:highlight w:val="none"/>
          <w:lang w:eastAsia="zh-CN"/>
        </w:rPr>
      </w:pPr>
      <w:r>
        <w:rPr>
          <w:rFonts w:hint="eastAsia" w:ascii="宋体" w:hAnsi="宋体" w:cs="宋体"/>
          <w:sz w:val="24"/>
          <w:highlight w:val="none"/>
        </w:rPr>
        <w:t>11.3.1开标一览表（报价表）</w:t>
      </w:r>
      <w:r>
        <w:rPr>
          <w:rFonts w:hint="eastAsia" w:ascii="宋体" w:hAnsi="宋体" w:cs="宋体"/>
          <w:sz w:val="24"/>
          <w:highlight w:val="none"/>
          <w:lang w:eastAsia="zh-CN"/>
        </w:rPr>
        <w:t>。</w:t>
      </w:r>
    </w:p>
    <w:p>
      <w:pPr>
        <w:spacing w:line="360" w:lineRule="auto"/>
        <w:ind w:firstLine="723" w:firstLineChars="300"/>
        <w:rPr>
          <w:rFonts w:ascii="宋体" w:hAnsi="宋体" w:cs="宋体"/>
          <w:b/>
          <w:sz w:val="24"/>
          <w:highlight w:val="none"/>
        </w:rPr>
      </w:pPr>
      <w:r>
        <w:rPr>
          <w:rFonts w:hint="eastAsia" w:ascii="宋体" w:hAnsi="宋体" w:cs="宋体"/>
          <w:b/>
          <w:sz w:val="24"/>
          <w:highlight w:val="none"/>
        </w:rPr>
        <w:t>投标文件含有采购人不能接受的附加条件的，投标无效；</w:t>
      </w:r>
    </w:p>
    <w:p>
      <w:pPr>
        <w:spacing w:line="360" w:lineRule="auto"/>
        <w:ind w:firstLine="723" w:firstLineChars="300"/>
        <w:rPr>
          <w:rFonts w:ascii="宋体" w:hAnsi="宋体" w:cs="宋体"/>
          <w:b/>
          <w:sz w:val="24"/>
          <w:szCs w:val="21"/>
          <w:highlight w:val="none"/>
        </w:rPr>
      </w:pPr>
      <w:r>
        <w:rPr>
          <w:rFonts w:hint="eastAsia" w:ascii="宋体" w:hAnsi="宋体" w:cs="宋体"/>
          <w:b/>
          <w:sz w:val="24"/>
          <w:highlight w:val="none"/>
        </w:rPr>
        <w:t>投标人提供虚假材料投标的，投标无效。</w:t>
      </w:r>
    </w:p>
    <w:p>
      <w:pPr>
        <w:pStyle w:val="129"/>
        <w:snapToGrid w:val="0"/>
        <w:spacing w:before="0"/>
        <w:ind w:firstLine="0" w:firstLineChars="0"/>
        <w:outlineLvl w:val="0"/>
        <w:rPr>
          <w:rFonts w:ascii="宋体" w:hAnsi="宋体" w:cs="宋体"/>
          <w:b/>
          <w:szCs w:val="24"/>
          <w:highlight w:val="none"/>
        </w:rPr>
      </w:pPr>
      <w:r>
        <w:rPr>
          <w:rFonts w:hint="eastAsia" w:ascii="宋体" w:hAnsi="宋体" w:cs="宋体"/>
          <w:b/>
          <w:szCs w:val="24"/>
          <w:highlight w:val="none"/>
        </w:rPr>
        <w:t>12</w:t>
      </w:r>
      <w:r>
        <w:rPr>
          <w:rFonts w:hint="eastAsia" w:ascii="宋体" w:hAnsi="宋体" w:cs="宋体"/>
          <w:b/>
          <w:kern w:val="0"/>
          <w:szCs w:val="24"/>
          <w:highlight w:val="none"/>
          <w:lang w:val="zh-CN"/>
        </w:rPr>
        <w:t xml:space="preserve">. </w:t>
      </w:r>
      <w:r>
        <w:rPr>
          <w:rFonts w:hint="eastAsia" w:ascii="宋体" w:hAnsi="宋体" w:cs="宋体"/>
          <w:b/>
          <w:szCs w:val="24"/>
          <w:highlight w:val="none"/>
        </w:rPr>
        <w:t>投标文件的编制</w:t>
      </w:r>
    </w:p>
    <w:p>
      <w:pPr>
        <w:spacing w:line="360" w:lineRule="auto"/>
        <w:ind w:firstLine="480" w:firstLineChars="200"/>
        <w:rPr>
          <w:rFonts w:ascii="宋体" w:hAnsi="宋体" w:cs="宋体"/>
          <w:b/>
          <w:sz w:val="24"/>
          <w:highlight w:val="none"/>
        </w:rPr>
      </w:pPr>
      <w:r>
        <w:rPr>
          <w:rFonts w:hint="eastAsia" w:ascii="宋体" w:hAnsi="宋体" w:cs="宋体"/>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highlight w:val="none"/>
        </w:rPr>
      </w:pPr>
      <w:r>
        <w:rPr>
          <w:rFonts w:hint="eastAsia" w:ascii="宋体" w:hAnsi="宋体" w:cs="宋体"/>
          <w:b/>
          <w:sz w:val="24"/>
          <w:highlight w:val="none"/>
        </w:rPr>
        <w:t>13.投标文件的签署、盖章</w:t>
      </w:r>
    </w:p>
    <w:p>
      <w:pPr>
        <w:pStyle w:val="129"/>
        <w:snapToGrid w:val="0"/>
        <w:spacing w:before="0"/>
        <w:ind w:firstLine="480"/>
        <w:rPr>
          <w:rFonts w:ascii="宋体" w:hAnsi="宋体" w:cs="宋体"/>
          <w:b/>
          <w:highlight w:val="none"/>
        </w:rPr>
      </w:pPr>
      <w:r>
        <w:rPr>
          <w:rFonts w:hint="eastAsia" w:ascii="宋体" w:hAnsi="宋体" w:cs="宋体"/>
          <w:szCs w:val="24"/>
          <w:highlight w:val="none"/>
        </w:rPr>
        <w:t>13.1投标文件按照招标文件第六部分格式要</w:t>
      </w:r>
      <w:r>
        <w:rPr>
          <w:rFonts w:hint="eastAsia" w:ascii="宋体" w:hAnsi="宋体" w:cs="宋体"/>
          <w:highlight w:val="none"/>
        </w:rPr>
        <w:t>求进行签署、盖章。</w:t>
      </w:r>
      <w:r>
        <w:rPr>
          <w:rFonts w:hint="eastAsia" w:ascii="宋体" w:hAnsi="宋体" w:cs="宋体"/>
          <w:b/>
          <w:highlight w:val="none"/>
        </w:rPr>
        <w:t>▲投标人的投标文件未按照招标文件要求签署、盖章的，其投标无效</w:t>
      </w:r>
      <w:r>
        <w:rPr>
          <w:rFonts w:hint="eastAsia" w:ascii="宋体" w:hAnsi="宋体" w:cs="宋体"/>
          <w:szCs w:val="24"/>
          <w:highlight w:val="none"/>
        </w:rPr>
        <w:t>。</w:t>
      </w:r>
    </w:p>
    <w:p>
      <w:pPr>
        <w:pStyle w:val="129"/>
        <w:snapToGrid w:val="0"/>
        <w:spacing w:before="0"/>
        <w:ind w:firstLine="480"/>
        <w:rPr>
          <w:rFonts w:ascii="宋体" w:hAnsi="宋体" w:cs="宋体"/>
          <w:highlight w:val="none"/>
        </w:rPr>
      </w:pPr>
      <w:r>
        <w:rPr>
          <w:rFonts w:hint="eastAsia" w:ascii="宋体" w:hAnsi="宋体" w:cs="宋体"/>
          <w:highlight w:val="none"/>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ascii="宋体" w:hAnsi="宋体" w:cs="宋体"/>
          <w:szCs w:val="24"/>
          <w:highlight w:val="none"/>
        </w:rPr>
      </w:pPr>
      <w:r>
        <w:rPr>
          <w:rFonts w:hint="eastAsia" w:ascii="宋体" w:hAnsi="宋体" w:cs="宋体"/>
          <w:highlight w:val="none"/>
        </w:rPr>
        <w:t>13.3招标文件对投标文件签署、盖章的要求适用于电子签名。</w:t>
      </w:r>
    </w:p>
    <w:p>
      <w:pPr>
        <w:pStyle w:val="129"/>
        <w:spacing w:before="0"/>
        <w:ind w:firstLine="0" w:firstLineChars="0"/>
        <w:rPr>
          <w:rFonts w:ascii="宋体" w:hAnsi="宋体" w:cs="宋体"/>
          <w:b/>
          <w:szCs w:val="24"/>
          <w:highlight w:val="none"/>
        </w:rPr>
      </w:pPr>
      <w:r>
        <w:rPr>
          <w:rFonts w:hint="eastAsia" w:ascii="宋体" w:hAnsi="宋体" w:cs="宋体"/>
          <w:b/>
          <w:szCs w:val="24"/>
          <w:highlight w:val="none"/>
        </w:rPr>
        <w:t>14. 投标文件的提交、补充、修改、撤回</w:t>
      </w:r>
    </w:p>
    <w:p>
      <w:pPr>
        <w:pStyle w:val="129"/>
        <w:ind w:firstLine="480"/>
        <w:rPr>
          <w:rFonts w:ascii="宋体" w:hAnsi="宋体" w:cs="宋体"/>
          <w:szCs w:val="24"/>
          <w:highlight w:val="none"/>
        </w:rPr>
      </w:pPr>
      <w:r>
        <w:rPr>
          <w:rFonts w:hint="eastAsia" w:ascii="宋体" w:hAnsi="宋体" w:cs="宋体"/>
          <w:szCs w:val="24"/>
          <w:highlight w:val="none"/>
        </w:rPr>
        <w:t xml:space="preserve">14.1 </w:t>
      </w:r>
      <w:r>
        <w:rPr>
          <w:rFonts w:hint="eastAsia" w:ascii="宋体" w:hAnsi="宋体" w:cs="宋体"/>
          <w:szCs w:val="24"/>
          <w:highlight w:val="none"/>
        </w:rPr>
        <w:t>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29"/>
        <w:spacing w:before="0"/>
        <w:ind w:firstLine="480"/>
        <w:rPr>
          <w:rFonts w:ascii="宋体" w:hAnsi="宋体" w:cs="宋体"/>
          <w:szCs w:val="24"/>
          <w:highlight w:val="none"/>
        </w:rPr>
      </w:pPr>
      <w:r>
        <w:rPr>
          <w:rFonts w:hint="eastAsia" w:ascii="宋体" w:hAnsi="宋体" w:cs="宋体"/>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ascii="宋体" w:hAnsi="宋体" w:cs="宋体"/>
          <w:szCs w:val="24"/>
          <w:highlight w:val="none"/>
        </w:rPr>
      </w:pPr>
      <w:r>
        <w:rPr>
          <w:rFonts w:hint="eastAsia" w:ascii="宋体" w:hAnsi="宋体" w:cs="宋体"/>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hAnsi="宋体" w:cs="宋体"/>
          <w:b/>
          <w:sz w:val="24"/>
          <w:szCs w:val="24"/>
          <w:highlight w:val="none"/>
        </w:rPr>
      </w:pPr>
      <w:r>
        <w:rPr>
          <w:rFonts w:hint="eastAsia" w:hAnsi="宋体" w:cs="宋体"/>
          <w:b/>
          <w:sz w:val="24"/>
          <w:szCs w:val="24"/>
          <w:highlight w:val="none"/>
        </w:rPr>
        <w:t>15.备份投标文件</w:t>
      </w:r>
    </w:p>
    <w:p>
      <w:pPr>
        <w:pStyle w:val="33"/>
        <w:spacing w:line="360" w:lineRule="auto"/>
        <w:ind w:firstLine="360" w:firstLineChars="150"/>
        <w:rPr>
          <w:rFonts w:hAnsi="宋体" w:cs="宋体"/>
          <w:b/>
          <w:sz w:val="24"/>
          <w:szCs w:val="24"/>
          <w:highlight w:val="none"/>
        </w:rPr>
      </w:pPr>
      <w:r>
        <w:rPr>
          <w:rFonts w:hint="eastAsia" w:hAnsi="宋体" w:cs="宋体"/>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sz w:val="24"/>
          <w:szCs w:val="24"/>
          <w:highlight w:val="none"/>
        </w:rPr>
        <w:t>但采购人、采购机构不强制或变相强制投标人提交备份投标文件。</w:t>
      </w:r>
    </w:p>
    <w:p>
      <w:pPr>
        <w:pStyle w:val="33"/>
        <w:spacing w:line="360" w:lineRule="auto"/>
        <w:ind w:firstLine="480" w:firstLineChars="200"/>
        <w:rPr>
          <w:rFonts w:hAnsi="宋体" w:cs="宋体"/>
          <w:b/>
          <w:sz w:val="24"/>
          <w:szCs w:val="24"/>
          <w:highlight w:val="none"/>
        </w:rPr>
      </w:pPr>
      <w:r>
        <w:rPr>
          <w:rFonts w:hint="eastAsia" w:hAnsi="宋体" w:cs="宋体"/>
          <w:sz w:val="24"/>
          <w:szCs w:val="24"/>
          <w:highlight w:val="none"/>
        </w:rPr>
        <w:t>15.2备份投标文件须在“政采云投标客户端”制作生成，并储存在</w:t>
      </w:r>
      <w:r>
        <w:rPr>
          <w:rFonts w:hint="eastAsia" w:hAnsi="宋体" w:cs="宋体"/>
          <w:sz w:val="24"/>
          <w:highlight w:val="none"/>
        </w:rPr>
        <w:t>DVD光盘</w:t>
      </w:r>
      <w:r>
        <w:rPr>
          <w:rFonts w:hint="eastAsia" w:hAnsi="宋体" w:cs="宋体"/>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highlight w:val="none"/>
        </w:rPr>
        <w:t>不符合上述制作、</w:t>
      </w:r>
      <w:r>
        <w:rPr>
          <w:rFonts w:hint="eastAsia" w:hAnsi="宋体" w:cs="宋体"/>
          <w:b/>
          <w:sz w:val="24"/>
          <w:szCs w:val="24"/>
          <w:highlight w:val="none"/>
        </w:rPr>
        <w:t>存储、密封规定的备份投标文件将被视为无效或者被拒绝接收。</w:t>
      </w:r>
    </w:p>
    <w:p>
      <w:pPr>
        <w:pStyle w:val="33"/>
        <w:spacing w:line="360" w:lineRule="auto"/>
        <w:ind w:firstLine="480" w:firstLineChars="200"/>
        <w:rPr>
          <w:rFonts w:hAnsi="宋体" w:cs="宋体"/>
          <w:sz w:val="24"/>
          <w:szCs w:val="24"/>
          <w:highlight w:val="none"/>
        </w:rPr>
      </w:pPr>
      <w:r>
        <w:rPr>
          <w:rFonts w:hint="eastAsia" w:hAnsi="宋体" w:cs="宋体"/>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80" w:firstLineChars="200"/>
        <w:rPr>
          <w:rFonts w:hAnsi="宋体" w:cs="宋体"/>
          <w:sz w:val="24"/>
          <w:szCs w:val="24"/>
          <w:highlight w:val="none"/>
        </w:rPr>
      </w:pPr>
      <w:r>
        <w:rPr>
          <w:rFonts w:hint="eastAsia" w:hAnsi="宋体" w:cs="宋体"/>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highlight w:val="none"/>
        </w:rPr>
        <w:t>招标文件第二部分投标人须知前附表规定的备份投标文件送达地点；</w:t>
      </w:r>
      <w:r>
        <w:rPr>
          <w:rFonts w:hint="eastAsia" w:hAnsi="宋体" w:cs="宋体"/>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sz w:val="24"/>
          <w:szCs w:val="24"/>
          <w:highlight w:val="none"/>
        </w:rPr>
      </w:pPr>
      <w:r>
        <w:rPr>
          <w:rFonts w:hint="eastAsia" w:hAnsi="宋体" w:cs="宋体"/>
          <w:b/>
          <w:sz w:val="24"/>
          <w:szCs w:val="24"/>
          <w:highlight w:val="none"/>
        </w:rPr>
        <w:t>15.5投标人仅提交备份投标文件，</w:t>
      </w:r>
      <w:r>
        <w:rPr>
          <w:rFonts w:hint="eastAsia" w:hAnsi="宋体" w:cs="宋体"/>
          <w:b/>
          <w:color w:val="auto"/>
          <w:sz w:val="24"/>
          <w:szCs w:val="24"/>
          <w:highlight w:val="none"/>
        </w:rPr>
        <w:t>未</w:t>
      </w:r>
      <w:r>
        <w:rPr>
          <w:rFonts w:hint="eastAsia" w:hAnsi="宋体" w:cs="宋体"/>
          <w:b/>
          <w:sz w:val="24"/>
          <w:szCs w:val="24"/>
          <w:highlight w:val="none"/>
        </w:rPr>
        <w:t>在电子交易平台传输递交投标文件的，投标无效。</w:t>
      </w:r>
    </w:p>
    <w:p>
      <w:pPr>
        <w:pStyle w:val="129"/>
        <w:spacing w:before="0"/>
        <w:ind w:firstLine="0" w:firstLineChars="0"/>
        <w:rPr>
          <w:rFonts w:ascii="宋体" w:hAnsi="宋体" w:cs="宋体"/>
          <w:b/>
          <w:szCs w:val="24"/>
          <w:highlight w:val="none"/>
        </w:rPr>
      </w:pPr>
      <w:r>
        <w:rPr>
          <w:rFonts w:hint="eastAsia" w:ascii="宋体" w:hAnsi="宋体" w:cs="宋体"/>
          <w:b/>
          <w:szCs w:val="24"/>
          <w:highlight w:val="none"/>
        </w:rPr>
        <w:t>16.投标文件的无效处理</w:t>
      </w:r>
    </w:p>
    <w:p>
      <w:pPr>
        <w:pStyle w:val="24"/>
        <w:spacing w:line="360" w:lineRule="auto"/>
        <w:ind w:firstLine="360" w:firstLineChars="150"/>
        <w:rPr>
          <w:rFonts w:cs="宋体"/>
          <w:szCs w:val="21"/>
          <w:highlight w:val="none"/>
        </w:rPr>
      </w:pPr>
      <w:r>
        <w:rPr>
          <w:rFonts w:hint="eastAsia" w:cs="宋体"/>
          <w:szCs w:val="21"/>
          <w:highlight w:val="none"/>
        </w:rPr>
        <w:t>有招标文件第四部分</w:t>
      </w:r>
      <w:r>
        <w:rPr>
          <w:rFonts w:hint="eastAsia" w:cs="宋体"/>
          <w:highlight w:val="none"/>
        </w:rPr>
        <w:t>4.2规定</w:t>
      </w:r>
      <w:r>
        <w:rPr>
          <w:rFonts w:hint="eastAsia" w:cs="宋体"/>
          <w:szCs w:val="21"/>
          <w:highlight w:val="none"/>
        </w:rPr>
        <w:t>的情形之一的，投标无效：</w:t>
      </w:r>
    </w:p>
    <w:p>
      <w:pPr>
        <w:pStyle w:val="129"/>
        <w:spacing w:before="0"/>
        <w:ind w:firstLine="0" w:firstLineChars="0"/>
        <w:rPr>
          <w:rFonts w:ascii="宋体" w:hAnsi="宋体" w:cs="宋体"/>
          <w:b/>
          <w:szCs w:val="24"/>
          <w:highlight w:val="none"/>
        </w:rPr>
      </w:pPr>
      <w:r>
        <w:rPr>
          <w:rFonts w:hint="eastAsia" w:ascii="宋体" w:hAnsi="宋体" w:cs="宋体"/>
          <w:b/>
          <w:szCs w:val="24"/>
          <w:highlight w:val="none"/>
        </w:rPr>
        <w:t>17.投标有效期</w:t>
      </w:r>
    </w:p>
    <w:p>
      <w:pPr>
        <w:spacing w:line="360" w:lineRule="auto"/>
        <w:ind w:firstLine="480" w:firstLineChars="200"/>
        <w:rPr>
          <w:rFonts w:ascii="宋体" w:hAnsi="宋体" w:cs="宋体"/>
          <w:b/>
          <w:sz w:val="24"/>
          <w:szCs w:val="21"/>
          <w:highlight w:val="none"/>
        </w:rPr>
      </w:pPr>
      <w:r>
        <w:rPr>
          <w:rFonts w:hint="eastAsia" w:ascii="宋体" w:hAnsi="宋体" w:cs="宋体"/>
          <w:sz w:val="24"/>
          <w:szCs w:val="20"/>
          <w:highlight w:val="none"/>
        </w:rPr>
        <w:t>17.1投标有效期为从提交投标文件的截止之日起90天。▲</w:t>
      </w:r>
      <w:r>
        <w:rPr>
          <w:rFonts w:hint="eastAsia" w:ascii="宋体" w:hAnsi="宋体" w:cs="宋体"/>
          <w:b/>
          <w:sz w:val="24"/>
          <w:szCs w:val="20"/>
          <w:highlight w:val="none"/>
        </w:rPr>
        <w:t>投标人的投标文件中承</w:t>
      </w:r>
      <w:r>
        <w:rPr>
          <w:rFonts w:hint="eastAsia" w:ascii="宋体" w:hAnsi="宋体" w:cs="宋体"/>
          <w:b/>
          <w:sz w:val="24"/>
          <w:szCs w:val="21"/>
          <w:highlight w:val="none"/>
        </w:rPr>
        <w:t>诺的投标有效期少于招标文件中载明的投标有效期的，投标无效。</w:t>
      </w:r>
    </w:p>
    <w:p>
      <w:pPr>
        <w:pStyle w:val="129"/>
        <w:spacing w:before="0"/>
        <w:ind w:firstLine="480"/>
        <w:rPr>
          <w:rFonts w:ascii="宋体" w:hAnsi="宋体" w:cs="宋体"/>
          <w:highlight w:val="none"/>
        </w:rPr>
      </w:pPr>
      <w:r>
        <w:rPr>
          <w:rFonts w:hint="eastAsia" w:ascii="宋体" w:hAnsi="宋体" w:cs="宋体"/>
          <w:highlight w:val="none"/>
        </w:rPr>
        <w:t>17.2投标文件合格投递后，自投标截止日期起，在投标有效期内有效。</w:t>
      </w:r>
    </w:p>
    <w:p>
      <w:pPr>
        <w:pStyle w:val="129"/>
        <w:spacing w:before="0"/>
        <w:ind w:firstLine="480"/>
        <w:rPr>
          <w:rFonts w:hint="eastAsia" w:ascii="宋体" w:hAnsi="宋体" w:cs="宋体"/>
          <w:highlight w:val="none"/>
        </w:rPr>
      </w:pPr>
      <w:r>
        <w:rPr>
          <w:rFonts w:hint="eastAsia" w:ascii="宋体" w:hAnsi="宋体" w:cs="宋体"/>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29"/>
        <w:spacing w:before="0"/>
        <w:ind w:firstLine="480"/>
        <w:rPr>
          <w:rFonts w:hint="eastAsia" w:ascii="宋体" w:hAnsi="宋体" w:cs="宋体"/>
          <w:highlight w:val="none"/>
        </w:rPr>
      </w:pPr>
      <w:r>
        <w:rPr>
          <w:rFonts w:hint="eastAsia" w:ascii="宋体" w:hAnsi="宋体" w:cs="宋体"/>
          <w:highlight w:val="none"/>
        </w:rPr>
        <w:t>17.4在投标截止时间起至投标有效期届满，供应商投标文件不可撤销。</w:t>
      </w:r>
    </w:p>
    <w:p>
      <w:pPr>
        <w:pStyle w:val="129"/>
        <w:spacing w:before="0"/>
        <w:ind w:firstLine="1928" w:firstLineChars="600"/>
        <w:rPr>
          <w:rFonts w:ascii="宋体" w:hAnsi="宋体" w:cs="宋体"/>
          <w:b/>
          <w:sz w:val="32"/>
          <w:highlight w:val="none"/>
        </w:rPr>
      </w:pPr>
      <w:r>
        <w:rPr>
          <w:rFonts w:hint="eastAsia" w:ascii="宋体" w:hAnsi="宋体" w:cs="宋体"/>
          <w:b/>
          <w:sz w:val="32"/>
          <w:highlight w:val="none"/>
        </w:rPr>
        <w:t>四、开标、资格审查与信用信息查询</w:t>
      </w:r>
    </w:p>
    <w:p>
      <w:pPr>
        <w:pStyle w:val="555"/>
        <w:spacing w:before="0" w:line="360" w:lineRule="auto"/>
        <w:ind w:left="0" w:firstLine="241" w:firstLineChars="100"/>
        <w:contextualSpacing/>
        <w:rPr>
          <w:rFonts w:ascii="宋体" w:hAnsi="宋体" w:cs="宋体"/>
          <w:sz w:val="24"/>
          <w:highlight w:val="none"/>
        </w:rPr>
      </w:pPr>
      <w:r>
        <w:rPr>
          <w:rFonts w:hint="eastAsia" w:ascii="宋体" w:hAnsi="宋体" w:cs="宋体"/>
          <w:b/>
          <w:sz w:val="24"/>
          <w:szCs w:val="24"/>
          <w:highlight w:val="none"/>
        </w:rPr>
        <w:t>18.开标</w:t>
      </w:r>
      <w:r>
        <w:rPr>
          <w:rFonts w:hint="eastAsia" w:ascii="宋体" w:hAnsi="宋体" w:cs="宋体"/>
          <w:sz w:val="24"/>
          <w:highlight w:val="none"/>
        </w:rPr>
        <w:t xml:space="preserve"> </w:t>
      </w:r>
    </w:p>
    <w:p>
      <w:pPr>
        <w:pStyle w:val="555"/>
        <w:spacing w:before="0" w:line="360" w:lineRule="auto"/>
        <w:ind w:left="0" w:firstLine="480" w:firstLineChars="200"/>
        <w:contextualSpacing/>
        <w:rPr>
          <w:rFonts w:ascii="宋体" w:hAnsi="宋体" w:cs="宋体"/>
          <w:sz w:val="24"/>
          <w:highlight w:val="none"/>
        </w:rPr>
      </w:pPr>
      <w:r>
        <w:rPr>
          <w:rFonts w:hint="eastAsia" w:ascii="宋体" w:hAnsi="宋体" w:cs="宋体"/>
          <w:sz w:val="24"/>
          <w:highlight w:val="none"/>
        </w:rPr>
        <w:t>18.1采购机构按照招标文件规定的时间通过电子交易平台组织开标，所有投标人均应当准时在线参加。投标人不足3家的，不得开标。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ascii="宋体" w:hAnsi="宋体" w:cs="宋体"/>
          <w:sz w:val="24"/>
          <w:highlight w:val="none"/>
        </w:rPr>
      </w:pPr>
      <w:r>
        <w:rPr>
          <w:rFonts w:hint="eastAsia" w:ascii="宋体" w:hAnsi="宋体" w:cs="宋体"/>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hint="eastAsia" w:ascii="宋体" w:hAnsi="宋体" w:cs="宋体"/>
          <w:b/>
          <w:sz w:val="24"/>
          <w:highlight w:val="none"/>
        </w:rPr>
      </w:pPr>
      <w:r>
        <w:rPr>
          <w:rFonts w:hint="eastAsia" w:ascii="宋体" w:hAnsi="宋体" w:cs="宋体"/>
          <w:sz w:val="24"/>
          <w:highlight w:val="none"/>
        </w:rPr>
        <w:t>　18.3</w:t>
      </w:r>
      <w:r>
        <w:rPr>
          <w:rFonts w:hint="eastAsia" w:ascii="宋体" w:hAnsi="宋体" w:cs="宋体"/>
          <w:b/>
          <w:sz w:val="24"/>
          <w:highlight w:val="none"/>
        </w:rPr>
        <w:t>投标文件未按时解密，投标人提供了备份投标文件的，以备份投标文件作为依据，否则视为投标文件撤回。投标文件已按时解密的，备份投标文件自动失效。</w:t>
      </w:r>
    </w:p>
    <w:p>
      <w:pPr>
        <w:pStyle w:val="555"/>
        <w:spacing w:before="0" w:line="360" w:lineRule="auto"/>
        <w:ind w:left="0" w:leftChars="0" w:firstLine="241" w:firstLineChars="100"/>
        <w:contextualSpacing/>
        <w:rPr>
          <w:rFonts w:ascii="宋体" w:hAnsi="宋体" w:cs="宋体"/>
          <w:b/>
          <w:sz w:val="24"/>
          <w:szCs w:val="20"/>
          <w:highlight w:val="none"/>
        </w:rPr>
      </w:pPr>
      <w:r>
        <w:rPr>
          <w:rFonts w:hint="eastAsia" w:ascii="宋体" w:hAnsi="宋体" w:cs="宋体"/>
          <w:b/>
          <w:sz w:val="24"/>
          <w:szCs w:val="20"/>
          <w:highlight w:val="none"/>
        </w:rPr>
        <w:t>19、资格审查</w:t>
      </w:r>
    </w:p>
    <w:p>
      <w:pPr>
        <w:pStyle w:val="129"/>
        <w:spacing w:before="0"/>
        <w:ind w:firstLine="480"/>
        <w:rPr>
          <w:rFonts w:ascii="宋体" w:hAnsi="宋体" w:cs="宋体"/>
          <w:kern w:val="0"/>
          <w:szCs w:val="24"/>
          <w:highlight w:val="none"/>
        </w:rPr>
      </w:pPr>
      <w:r>
        <w:rPr>
          <w:rFonts w:hint="eastAsia" w:ascii="宋体" w:hAnsi="宋体" w:cs="宋体"/>
          <w:kern w:val="0"/>
          <w:szCs w:val="24"/>
          <w:highlight w:val="none"/>
        </w:rPr>
        <w:t>19.1开标后，采购人将依据法律法规和招标文件的规定，对投标人的资格进行审查。</w:t>
      </w:r>
    </w:p>
    <w:p>
      <w:pPr>
        <w:pStyle w:val="129"/>
        <w:spacing w:before="0"/>
        <w:ind w:firstLine="480"/>
        <w:rPr>
          <w:rFonts w:ascii="宋体" w:hAnsi="宋体" w:cs="宋体"/>
          <w:highlight w:val="none"/>
        </w:rPr>
      </w:pPr>
      <w:r>
        <w:rPr>
          <w:rFonts w:hint="eastAsia" w:ascii="宋体" w:hAnsi="宋体" w:cs="宋体"/>
          <w:kern w:val="0"/>
          <w:szCs w:val="24"/>
          <w:highlight w:val="none"/>
        </w:rPr>
        <w:t>19.2投标人未按照招标文件要求提供与</w:t>
      </w:r>
      <w:r>
        <w:rPr>
          <w:rFonts w:hint="eastAsia" w:ascii="宋体" w:hAnsi="宋体" w:cs="宋体"/>
          <w:highlight w:val="none"/>
        </w:rPr>
        <w:t>资格条件相应的</w:t>
      </w:r>
      <w:r>
        <w:rPr>
          <w:rFonts w:hint="eastAsia" w:ascii="宋体" w:hAnsi="宋体" w:cs="宋体"/>
          <w:kern w:val="0"/>
          <w:szCs w:val="24"/>
          <w:highlight w:val="none"/>
        </w:rPr>
        <w:t>有效资格证明材料的，视为</w:t>
      </w:r>
      <w:r>
        <w:rPr>
          <w:rFonts w:hint="eastAsia" w:ascii="宋体" w:hAnsi="宋体" w:cs="宋体"/>
          <w:highlight w:val="none"/>
        </w:rPr>
        <w:t>投标人不具备招标文件中规定的资格要求，其投标无效。</w:t>
      </w:r>
    </w:p>
    <w:p>
      <w:pPr>
        <w:pStyle w:val="129"/>
        <w:spacing w:before="0"/>
        <w:ind w:firstLine="480"/>
        <w:rPr>
          <w:rFonts w:ascii="宋体" w:hAnsi="宋体" w:cs="宋体"/>
          <w:highlight w:val="none"/>
        </w:rPr>
      </w:pPr>
      <w:r>
        <w:rPr>
          <w:rFonts w:hint="eastAsia" w:ascii="宋体" w:hAnsi="宋体" w:cs="宋体"/>
          <w:kern w:val="0"/>
          <w:szCs w:val="24"/>
          <w:highlight w:val="none"/>
        </w:rPr>
        <w:t>19.</w:t>
      </w:r>
      <w:r>
        <w:rPr>
          <w:rFonts w:hint="eastAsia" w:ascii="宋体" w:hAnsi="宋体" w:cs="宋体"/>
          <w:highlight w:val="none"/>
        </w:rPr>
        <w:t>3对未通过资格审查的投标人，告知其未通过的原因。</w:t>
      </w:r>
    </w:p>
    <w:p>
      <w:pPr>
        <w:pStyle w:val="129"/>
        <w:spacing w:before="0"/>
        <w:ind w:firstLine="480"/>
        <w:rPr>
          <w:rFonts w:ascii="宋体" w:hAnsi="宋体" w:cs="宋体"/>
          <w:highlight w:val="none"/>
        </w:rPr>
      </w:pPr>
      <w:r>
        <w:rPr>
          <w:rFonts w:hint="eastAsia" w:ascii="宋体" w:hAnsi="宋体" w:cs="宋体"/>
          <w:kern w:val="0"/>
          <w:szCs w:val="24"/>
          <w:highlight w:val="none"/>
        </w:rPr>
        <w:t>19.</w:t>
      </w:r>
      <w:r>
        <w:rPr>
          <w:rFonts w:hint="eastAsia" w:ascii="宋体" w:hAnsi="宋体" w:cs="宋体"/>
          <w:highlight w:val="none"/>
        </w:rPr>
        <w:t>4合格投标人不足3家的，不再评标。</w:t>
      </w:r>
    </w:p>
    <w:p>
      <w:pPr>
        <w:pStyle w:val="129"/>
        <w:spacing w:before="0" w:line="360" w:lineRule="auto"/>
        <w:ind w:firstLine="241" w:firstLineChars="100"/>
        <w:rPr>
          <w:rFonts w:ascii="宋体" w:hAnsi="宋体" w:cs="宋体"/>
          <w:b/>
          <w:szCs w:val="24"/>
          <w:highlight w:val="none"/>
        </w:rPr>
      </w:pPr>
      <w:r>
        <w:rPr>
          <w:rFonts w:hint="eastAsia" w:ascii="宋体" w:hAnsi="宋体" w:cs="宋体"/>
          <w:b/>
          <w:szCs w:val="24"/>
          <w:highlight w:val="none"/>
        </w:rPr>
        <w:t>20、信用信息查询</w:t>
      </w:r>
    </w:p>
    <w:p>
      <w:pPr>
        <w:pStyle w:val="129"/>
        <w:spacing w:before="0"/>
        <w:ind w:firstLine="495" w:firstLineChars="0"/>
        <w:rPr>
          <w:rFonts w:ascii="宋体" w:hAnsi="宋体" w:cs="宋体"/>
          <w:kern w:val="0"/>
          <w:szCs w:val="24"/>
          <w:highlight w:val="none"/>
        </w:rPr>
      </w:pPr>
      <w:r>
        <w:rPr>
          <w:rFonts w:hint="eastAsia" w:ascii="宋体" w:hAnsi="宋体" w:cs="宋体"/>
          <w:kern w:val="0"/>
          <w:szCs w:val="24"/>
          <w:highlight w:val="none"/>
        </w:rPr>
        <w:t>20.1信用信息查询渠道及截止时间：采购机构将在资格审查时通过“信用中国”网站(www.creditchina.gov.cn)、中国政府采购网(www.ccgp.gov.cn)渠道查询投标人接受资格审查时的信用记录。</w:t>
      </w:r>
    </w:p>
    <w:p>
      <w:pPr>
        <w:pStyle w:val="129"/>
        <w:spacing w:before="0"/>
        <w:ind w:firstLine="495" w:firstLineChars="0"/>
        <w:rPr>
          <w:rFonts w:ascii="宋体" w:hAnsi="宋体" w:cs="宋体"/>
          <w:kern w:val="0"/>
          <w:szCs w:val="24"/>
          <w:highlight w:val="none"/>
        </w:rPr>
      </w:pPr>
      <w:r>
        <w:rPr>
          <w:rFonts w:hint="eastAsia" w:ascii="宋体" w:hAnsi="宋体" w:cs="宋体"/>
          <w:kern w:val="0"/>
          <w:szCs w:val="24"/>
          <w:highlight w:val="none"/>
        </w:rPr>
        <w:t>20.2信用信息查询记录和证据留存的具体方式：现场查询的投标人的信用记录、查询结果经确认后将与采购文件一起存档。</w:t>
      </w:r>
    </w:p>
    <w:p>
      <w:pPr>
        <w:pStyle w:val="129"/>
        <w:spacing w:before="0"/>
        <w:ind w:firstLine="495" w:firstLineChars="0"/>
        <w:rPr>
          <w:rFonts w:ascii="宋体" w:hAnsi="宋体" w:cs="宋体"/>
          <w:kern w:val="0"/>
          <w:szCs w:val="24"/>
          <w:highlight w:val="none"/>
        </w:rPr>
      </w:pPr>
      <w:r>
        <w:rPr>
          <w:rFonts w:hint="eastAsia" w:ascii="宋体" w:hAnsi="宋体" w:cs="宋体"/>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ascii="宋体" w:hAnsi="宋体" w:cs="宋体"/>
          <w:highlight w:val="none"/>
        </w:rPr>
      </w:pPr>
      <w:r>
        <w:rPr>
          <w:rFonts w:hint="eastAsia" w:ascii="宋体" w:hAnsi="宋体" w:cs="宋体"/>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highlight w:val="none"/>
        </w:rPr>
        <w:t>。</w:t>
      </w:r>
    </w:p>
    <w:p>
      <w:pPr>
        <w:pStyle w:val="129"/>
        <w:spacing w:before="0"/>
        <w:ind w:firstLine="0" w:firstLineChars="0"/>
        <w:rPr>
          <w:rFonts w:ascii="宋体" w:hAnsi="宋体" w:cs="宋体"/>
          <w:kern w:val="0"/>
          <w:szCs w:val="24"/>
          <w:highlight w:val="none"/>
        </w:rPr>
      </w:pPr>
    </w:p>
    <w:p>
      <w:pPr>
        <w:snapToGrid w:val="0"/>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五、评标</w:t>
      </w:r>
    </w:p>
    <w:p>
      <w:pPr>
        <w:spacing w:line="360" w:lineRule="auto"/>
        <w:rPr>
          <w:rFonts w:ascii="宋体" w:hAnsi="宋体" w:cs="宋体"/>
          <w:b/>
          <w:sz w:val="24"/>
          <w:highlight w:val="none"/>
        </w:rPr>
      </w:pPr>
      <w:bookmarkStart w:id="17" w:name="_Toc91899903"/>
      <w:r>
        <w:rPr>
          <w:rFonts w:hint="eastAsia" w:ascii="宋体" w:hAnsi="宋体" w:cs="宋体"/>
          <w:b/>
          <w:sz w:val="24"/>
          <w:highlight w:val="none"/>
        </w:rPr>
        <w:t>21.</w:t>
      </w:r>
      <w:r>
        <w:rPr>
          <w:rFonts w:hint="eastAsia" w:ascii="宋体" w:hAnsi="宋体" w:cs="宋体"/>
          <w:highlight w:val="none"/>
        </w:rPr>
        <w:t xml:space="preserve"> </w:t>
      </w:r>
      <w:r>
        <w:rPr>
          <w:rFonts w:hint="eastAsia" w:ascii="宋体" w:hAnsi="宋体" w:cs="宋体"/>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highlight w:val="none"/>
        </w:rPr>
        <w:t>详见招标文件第四部分评标办法。</w:t>
      </w:r>
    </w:p>
    <w:p>
      <w:pPr>
        <w:spacing w:line="360" w:lineRule="auto"/>
        <w:rPr>
          <w:rFonts w:ascii="宋体" w:hAnsi="宋体" w:cs="宋体"/>
          <w:b/>
          <w:sz w:val="24"/>
          <w:highlight w:val="none"/>
        </w:rPr>
      </w:pPr>
    </w:p>
    <w:p>
      <w:pPr>
        <w:snapToGrid w:val="0"/>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六、定 标</w:t>
      </w:r>
    </w:p>
    <w:p>
      <w:pPr>
        <w:pStyle w:val="24"/>
        <w:spacing w:line="360" w:lineRule="auto"/>
        <w:ind w:left="479" w:hanging="479" w:hangingChars="199"/>
        <w:rPr>
          <w:rFonts w:cs="宋体"/>
          <w:b/>
          <w:highlight w:val="none"/>
        </w:rPr>
      </w:pPr>
      <w:r>
        <w:rPr>
          <w:rFonts w:hint="eastAsia" w:cs="宋体"/>
          <w:b/>
          <w:highlight w:val="none"/>
        </w:rPr>
        <w:t>22. 确定中标供应商</w:t>
      </w:r>
    </w:p>
    <w:p>
      <w:pPr>
        <w:pStyle w:val="129"/>
        <w:snapToGrid w:val="0"/>
        <w:spacing w:before="0"/>
        <w:ind w:firstLine="480"/>
        <w:rPr>
          <w:rFonts w:ascii="宋体" w:hAnsi="宋体" w:cs="宋体"/>
          <w:b/>
          <w:szCs w:val="24"/>
          <w:highlight w:val="none"/>
        </w:rPr>
      </w:pPr>
      <w:r>
        <w:rPr>
          <w:rFonts w:hint="eastAsia" w:ascii="宋体" w:hAnsi="宋体" w:cs="宋体"/>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成交）候选人撤销投标（响应）文件不能成为采购人不确认采购结果的正当理由。中标、成交通知书和中标、成交结果公告应当在规定时间内同时发出。</w:t>
      </w:r>
    </w:p>
    <w:p>
      <w:pPr>
        <w:pStyle w:val="129"/>
        <w:snapToGrid w:val="0"/>
        <w:spacing w:before="0"/>
        <w:ind w:firstLine="0" w:firstLineChars="0"/>
        <w:rPr>
          <w:rFonts w:ascii="宋体" w:hAnsi="宋体" w:cs="宋体"/>
          <w:b/>
          <w:szCs w:val="24"/>
          <w:highlight w:val="none"/>
        </w:rPr>
      </w:pPr>
      <w:r>
        <w:rPr>
          <w:rFonts w:hint="eastAsia" w:ascii="宋体" w:hAnsi="宋体" w:cs="宋体"/>
          <w:b/>
          <w:szCs w:val="24"/>
          <w:highlight w:val="none"/>
        </w:rPr>
        <w:t>23. 中标通知与中标结果公告</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23.2中标结果公告内容包括采购人及其委托的采购机构的名称、地址、联系方式，项目名称和项目编号，中标人名称、地址和中标金额，主要中标标的的名称、规格型号、数量、单价、服务要求，开标记录、</w:t>
      </w:r>
      <w:r>
        <w:rPr>
          <w:rFonts w:hint="eastAsia" w:ascii="宋体" w:hAnsi="宋体" w:cs="宋体"/>
          <w:b w:val="0"/>
          <w:bCs w:val="0"/>
          <w:sz w:val="24"/>
          <w:highlight w:val="none"/>
        </w:rPr>
        <w:t>资格审查情况、评审专家抽取规则、符合性审查情况、未中标情况说明、中标公告期限以</w:t>
      </w:r>
      <w:r>
        <w:rPr>
          <w:rFonts w:hint="eastAsia" w:ascii="宋体" w:hAnsi="宋体" w:cs="宋体"/>
          <w:sz w:val="24"/>
          <w:highlight w:val="none"/>
        </w:rPr>
        <w:t>及评审专家名单、评分汇总及明细。</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23.3公告期限为1个工作日。</w:t>
      </w:r>
    </w:p>
    <w:p>
      <w:pPr>
        <w:snapToGrid w:val="0"/>
        <w:spacing w:line="360" w:lineRule="auto"/>
        <w:ind w:left="120" w:leftChars="57" w:firstLine="482" w:firstLineChars="150"/>
        <w:jc w:val="center"/>
        <w:rPr>
          <w:rFonts w:ascii="宋体" w:hAnsi="宋体" w:cs="宋体"/>
          <w:b/>
          <w:sz w:val="32"/>
          <w:highlight w:val="none"/>
        </w:rPr>
      </w:pPr>
    </w:p>
    <w:p>
      <w:pPr>
        <w:snapToGrid w:val="0"/>
        <w:spacing w:line="360" w:lineRule="auto"/>
        <w:ind w:left="120" w:leftChars="57" w:firstLine="482" w:firstLineChars="150"/>
        <w:jc w:val="center"/>
        <w:rPr>
          <w:rFonts w:ascii="宋体" w:hAnsi="宋体" w:cs="宋体"/>
          <w:b/>
          <w:sz w:val="32"/>
          <w:highlight w:val="none"/>
        </w:rPr>
      </w:pPr>
      <w:r>
        <w:rPr>
          <w:rFonts w:hint="eastAsia" w:ascii="宋体" w:hAnsi="宋体" w:cs="宋体"/>
          <w:b/>
          <w:sz w:val="32"/>
          <w:highlight w:val="none"/>
        </w:rPr>
        <w:t>七、合同授予</w:t>
      </w:r>
    </w:p>
    <w:p>
      <w:pPr>
        <w:pStyle w:val="24"/>
        <w:spacing w:line="360" w:lineRule="auto"/>
        <w:ind w:left="479" w:hanging="479" w:hangingChars="199"/>
        <w:rPr>
          <w:rFonts w:cs="宋体"/>
          <w:b/>
          <w:highlight w:val="none"/>
        </w:rPr>
      </w:pPr>
      <w:r>
        <w:rPr>
          <w:rFonts w:hint="eastAsia" w:cs="宋体"/>
          <w:b/>
          <w:highlight w:val="none"/>
        </w:rPr>
        <w:t xml:space="preserve">24. </w:t>
      </w:r>
      <w:r>
        <w:rPr>
          <w:rFonts w:hint="eastAsia" w:cs="宋体"/>
          <w:highlight w:val="none"/>
        </w:rPr>
        <w:t>合同主要条款详见第五部分拟签订的合同文本。</w:t>
      </w:r>
    </w:p>
    <w:p>
      <w:pPr>
        <w:pStyle w:val="24"/>
        <w:spacing w:line="360" w:lineRule="auto"/>
        <w:ind w:left="479" w:hanging="479" w:hangingChars="199"/>
        <w:rPr>
          <w:rFonts w:cs="宋体"/>
          <w:b/>
          <w:highlight w:val="none"/>
        </w:rPr>
      </w:pPr>
      <w:r>
        <w:rPr>
          <w:rFonts w:hint="eastAsia" w:cs="宋体"/>
          <w:b/>
          <w:highlight w:val="none"/>
        </w:rPr>
        <w:t>25. 合同的签订</w:t>
      </w:r>
    </w:p>
    <w:p>
      <w:pPr>
        <w:widowControl/>
        <w:shd w:val="clear" w:color="auto" w:fill="FFFFFF"/>
        <w:spacing w:line="360" w:lineRule="auto"/>
        <w:ind w:firstLine="480"/>
        <w:jc w:val="left"/>
        <w:rPr>
          <w:rFonts w:ascii="宋体" w:hAnsi="宋体" w:cs="宋体"/>
          <w:kern w:val="0"/>
          <w:sz w:val="24"/>
          <w:highlight w:val="none"/>
        </w:rPr>
      </w:pPr>
      <w:r>
        <w:rPr>
          <w:rFonts w:hint="eastAsia" w:ascii="宋体" w:hAnsi="宋体" w:cs="宋体"/>
          <w:sz w:val="24"/>
          <w:highlight w:val="none"/>
        </w:rPr>
        <w:t>25.1</w:t>
      </w:r>
      <w:r>
        <w:rPr>
          <w:rFonts w:hint="eastAsia" w:ascii="宋体" w:hAnsi="宋体" w:cs="宋体"/>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9"/>
        <w:snapToGrid w:val="0"/>
        <w:spacing w:before="0"/>
        <w:ind w:firstLine="480"/>
        <w:rPr>
          <w:rFonts w:ascii="宋体" w:hAnsi="宋体" w:cs="宋体"/>
          <w:kern w:val="0"/>
          <w:highlight w:val="none"/>
        </w:rPr>
      </w:pPr>
      <w:r>
        <w:rPr>
          <w:rFonts w:hint="eastAsia" w:ascii="宋体" w:hAnsi="宋体" w:cs="宋体"/>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ascii="宋体" w:hAnsi="宋体" w:cs="宋体"/>
          <w:highlight w:val="none"/>
        </w:rPr>
      </w:pPr>
      <w:r>
        <w:rPr>
          <w:rFonts w:hint="eastAsia" w:ascii="宋体" w:hAnsi="宋体" w:cs="宋体"/>
          <w:highlight w:val="none"/>
        </w:rPr>
        <w:t>25.3如签订合同并生效后，供应商无故拒绝或延期，除按照合同条款处理外，列入不良行为记录一次，并给予通报。</w:t>
      </w:r>
    </w:p>
    <w:p>
      <w:pPr>
        <w:pStyle w:val="129"/>
        <w:snapToGrid w:val="0"/>
        <w:spacing w:before="0"/>
        <w:ind w:firstLine="480"/>
        <w:rPr>
          <w:rFonts w:ascii="宋体" w:hAnsi="宋体" w:cs="宋体"/>
          <w:highlight w:val="none"/>
        </w:rPr>
      </w:pPr>
      <w:r>
        <w:rPr>
          <w:rFonts w:hint="eastAsia" w:ascii="宋体" w:hAnsi="宋体" w:cs="宋体"/>
          <w:highlight w:val="none"/>
        </w:rPr>
        <w:t>25.4中标供应商拒绝与采购人签订合同的，采购人可以按照评审报告推荐的中标或者成交候选人名单排序，确定下一候选人为中标供应商，也可以重新开展政府采购活动。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ascii="宋体" w:hAnsi="宋体" w:cs="宋体"/>
          <w:highlight w:val="none"/>
        </w:rPr>
      </w:pPr>
      <w:r>
        <w:rPr>
          <w:rFonts w:hint="eastAsia" w:ascii="宋体" w:hAnsi="宋体" w:cs="宋体"/>
          <w:highlight w:val="none"/>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highlight w:val="none"/>
        </w:rPr>
      </w:pPr>
      <w:r>
        <w:rPr>
          <w:rFonts w:hint="eastAsia" w:cs="宋体"/>
          <w:b/>
          <w:highlight w:val="none"/>
        </w:rPr>
        <w:t>26. 履约保证金</w:t>
      </w:r>
    </w:p>
    <w:p>
      <w:pPr>
        <w:tabs>
          <w:tab w:val="left" w:pos="0"/>
        </w:tabs>
        <w:spacing w:line="360" w:lineRule="auto"/>
        <w:ind w:firstLine="482"/>
        <w:rPr>
          <w:rFonts w:ascii="宋体" w:hAnsi="宋体" w:cs="宋体"/>
          <w:sz w:val="24"/>
          <w:highlight w:val="none"/>
        </w:rPr>
      </w:pPr>
      <w:r>
        <w:rPr>
          <w:rFonts w:hint="eastAsia" w:ascii="宋体" w:hAnsi="宋体" w:cs="宋体"/>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sz w:val="24"/>
          <w:highlight w:val="none"/>
        </w:rPr>
        <w:t>。履约保证金的数额不得超过政府采购合同金额的</w:t>
      </w:r>
      <w:r>
        <w:rPr>
          <w:rFonts w:hint="eastAsia" w:ascii="宋体" w:hAnsi="宋体" w:cs="宋体"/>
          <w:sz w:val="24"/>
          <w:highlight w:val="none"/>
          <w:lang w:val="en-US" w:eastAsia="zh-CN"/>
        </w:rPr>
        <w:t>1</w:t>
      </w:r>
      <w:r>
        <w:rPr>
          <w:rFonts w:hint="eastAsia" w:ascii="宋体" w:hAnsi="宋体" w:cs="宋体"/>
          <w:sz w:val="24"/>
          <w:highlight w:val="none"/>
        </w:rPr>
        <w:t>%。鼓励和支持供应商以银行、保险公司出具的保函形式提供履约保证金。采购人不得拒收履约保函，项目验收结束后应及时退还，</w:t>
      </w:r>
      <w:r>
        <w:rPr>
          <w:rFonts w:ascii="宋体" w:hAnsi="宋体" w:cs="宋体"/>
          <w:sz w:val="24"/>
          <w:highlight w:val="none"/>
        </w:rPr>
        <w:t>延迟退还的，应当按照合同约定和法律规定承担相应的赔偿责任</w:t>
      </w:r>
      <w:r>
        <w:rPr>
          <w:rFonts w:hint="eastAsia" w:ascii="宋体" w:hAnsi="宋体" w:cs="宋体"/>
          <w:sz w:val="24"/>
          <w:highlight w:val="none"/>
        </w:rPr>
        <w:t>。</w:t>
      </w:r>
    </w:p>
    <w:p>
      <w:pPr>
        <w:pStyle w:val="4"/>
        <w:ind w:left="0" w:firstLine="480" w:firstLineChars="200"/>
        <w:rPr>
          <w:rFonts w:hint="eastAsia" w:ascii="宋体" w:hAnsi="宋体" w:eastAsia="宋体" w:cs="宋体"/>
          <w:b w:val="0"/>
          <w:bCs w:val="0"/>
          <w:snapToGrid w:val="0"/>
          <w:kern w:val="28"/>
          <w:sz w:val="24"/>
          <w:highlight w:val="none"/>
        </w:rPr>
      </w:pPr>
      <w:r>
        <w:rPr>
          <w:rFonts w:hint="eastAsia" w:ascii="宋体" w:hAnsi="宋体" w:eastAsia="宋体" w:cs="宋体"/>
          <w:b w:val="0"/>
          <w:bCs w:val="0"/>
          <w:snapToGrid w:val="0"/>
          <w:kern w:val="28"/>
          <w:sz w:val="24"/>
          <w:highlight w:val="none"/>
        </w:rPr>
        <w:t>供应商</w:t>
      </w:r>
      <w:r>
        <w:rPr>
          <w:rFonts w:hint="eastAsia" w:ascii="宋体" w:hAnsi="宋体" w:eastAsia="宋体" w:cs="宋体"/>
          <w:b w:val="0"/>
          <w:bCs w:val="0"/>
          <w:snapToGrid w:val="0"/>
          <w:kern w:val="28"/>
          <w:sz w:val="24"/>
          <w:highlight w:val="none"/>
          <w:lang w:val="en-US"/>
        </w:rPr>
        <w:t>可</w:t>
      </w:r>
      <w:r>
        <w:rPr>
          <w:rFonts w:hint="eastAsia" w:ascii="宋体" w:hAnsi="宋体" w:eastAsia="宋体" w:cs="宋体"/>
          <w:b w:val="0"/>
          <w:bCs w:val="0"/>
          <w:snapToGrid w:val="0"/>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rPr>
          <w:highlight w:val="none"/>
        </w:rPr>
      </w:pPr>
      <w:r>
        <w:rPr>
          <w:rFonts w:ascii="宋体" w:hAnsi="宋体" w:eastAsia="宋体" w:cs="Times New Roman"/>
          <w:b/>
          <w:bCs/>
          <w:kern w:val="2"/>
          <w:sz w:val="24"/>
          <w:szCs w:val="32"/>
          <w:highlight w:val="none"/>
          <w:lang w:val="en-US"/>
        </w:rPr>
        <w:t>27.预付款</w:t>
      </w:r>
    </w:p>
    <w:p>
      <w:pPr>
        <w:adjustRightInd/>
        <w:spacing w:line="360" w:lineRule="auto"/>
        <w:ind w:firstLine="480" w:firstLineChars="200"/>
        <w:rPr>
          <w:highlight w:val="none"/>
        </w:rPr>
      </w:pPr>
      <w:r>
        <w:rPr>
          <w:rFonts w:hint="eastAsia" w:ascii="宋体" w:hAnsi="宋体" w:cs="Times New Roman"/>
          <w:kern w:val="2"/>
          <w:sz w:val="24"/>
          <w:highlight w:val="none"/>
        </w:rPr>
        <w:t>采购单位应当在政府采购合同中约定预付款，对中小企业合同预付款比例原则上不低于合同金额的</w:t>
      </w:r>
      <w:r>
        <w:rPr>
          <w:rFonts w:ascii="宋体" w:hAnsi="宋体" w:cs="Times New Roman"/>
          <w:kern w:val="2"/>
          <w:sz w:val="24"/>
          <w:highlight w:val="none"/>
        </w:rPr>
        <w:t>40％</w:t>
      </w:r>
      <w:r>
        <w:rPr>
          <w:rFonts w:hint="eastAsia" w:ascii="宋体" w:hAnsi="宋体" w:cs="Times New Roman"/>
          <w:kern w:val="2"/>
          <w:sz w:val="24"/>
          <w:highlight w:val="none"/>
        </w:rPr>
        <w:t>，不高于合同金额的</w:t>
      </w:r>
      <w:r>
        <w:rPr>
          <w:rFonts w:ascii="宋体" w:hAnsi="宋体" w:cs="Times New Roman"/>
          <w:kern w:val="2"/>
          <w:sz w:val="24"/>
          <w:highlight w:val="none"/>
        </w:rPr>
        <w:t>70%；项目分年安排预算的，每年预付款比例</w:t>
      </w:r>
      <w:r>
        <w:rPr>
          <w:rFonts w:hint="eastAsia" w:ascii="宋体" w:hAnsi="宋体"/>
          <w:sz w:val="24"/>
          <w:highlight w:val="none"/>
        </w:rPr>
        <w:t>不低于</w:t>
      </w:r>
      <w:r>
        <w:rPr>
          <w:rFonts w:ascii="宋体" w:hAnsi="宋体" w:cs="Times New Roman"/>
          <w:kern w:val="2"/>
          <w:sz w:val="24"/>
          <w:highlight w:val="none"/>
        </w:rPr>
        <w:t>项目年度计划支付资金额的40％</w:t>
      </w:r>
      <w:r>
        <w:rPr>
          <w:rFonts w:hint="eastAsia" w:ascii="宋体" w:hAnsi="宋体" w:cs="Times New Roman"/>
          <w:kern w:val="2"/>
          <w:sz w:val="24"/>
          <w:highlight w:val="none"/>
        </w:rPr>
        <w:t>，不高于合同金额的</w:t>
      </w:r>
      <w:r>
        <w:rPr>
          <w:rFonts w:ascii="宋体" w:hAnsi="宋体" w:cs="Times New Roman"/>
          <w:kern w:val="2"/>
          <w:sz w:val="24"/>
          <w:highlight w:val="none"/>
        </w:rPr>
        <w:t>70%；采购项目实施以人工投入为主的，</w:t>
      </w:r>
      <w:r>
        <w:rPr>
          <w:rFonts w:hint="eastAsia" w:ascii="宋体" w:hAnsi="宋体" w:cs="Times New Roman"/>
          <w:kern w:val="2"/>
          <w:sz w:val="24"/>
          <w:highlight w:val="none"/>
        </w:rPr>
        <w:t>可适当降低预付款比例，但不得低于</w:t>
      </w:r>
      <w:r>
        <w:rPr>
          <w:rFonts w:ascii="宋体" w:hAnsi="宋体" w:cs="Times New Roman"/>
          <w:kern w:val="2"/>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s="Times New Roman"/>
          <w:kern w:val="2"/>
          <w:sz w:val="24"/>
          <w:highlight w:val="none"/>
        </w:rPr>
        <w:t>供应商</w:t>
      </w:r>
      <w:r>
        <w:rPr>
          <w:rFonts w:ascii="宋体" w:hAnsi="宋体" w:cs="Times New Roman"/>
          <w:kern w:val="2"/>
          <w:sz w:val="24"/>
          <w:highlight w:val="none"/>
        </w:rPr>
        <w:t>明确表示无需预付款或者主动要求降低预付款比例的，</w:t>
      </w:r>
      <w:r>
        <w:rPr>
          <w:rFonts w:hint="eastAsia" w:ascii="宋体" w:hAnsi="宋体" w:cs="Times New Roman"/>
          <w:kern w:val="2"/>
          <w:sz w:val="24"/>
          <w:highlight w:val="none"/>
        </w:rPr>
        <w:t>采购单位</w:t>
      </w:r>
      <w:r>
        <w:rPr>
          <w:rFonts w:ascii="宋体" w:hAnsi="宋体" w:cs="Times New Roman"/>
          <w:kern w:val="2"/>
          <w:sz w:val="24"/>
          <w:highlight w:val="none"/>
        </w:rPr>
        <w:t>可不适用前述规定。</w:t>
      </w:r>
      <w:r>
        <w:rPr>
          <w:rFonts w:hint="eastAsia" w:ascii="宋体" w:hAnsi="宋体" w:cs="Times New Roman"/>
          <w:kern w:val="2"/>
          <w:sz w:val="24"/>
          <w:highlight w:val="none"/>
        </w:rPr>
        <w:t>采购单位</w:t>
      </w:r>
      <w:r>
        <w:rPr>
          <w:rFonts w:ascii="宋体" w:hAnsi="宋体" w:cs="Times New Roman"/>
          <w:kern w:val="2"/>
          <w:sz w:val="24"/>
          <w:highlight w:val="none"/>
        </w:rPr>
        <w:t>根据项目特点、供应商诚信等因素，可以要求</w:t>
      </w:r>
      <w:r>
        <w:rPr>
          <w:rFonts w:hint="eastAsia" w:ascii="宋体" w:hAnsi="宋体" w:cs="Times New Roman"/>
          <w:kern w:val="2"/>
          <w:sz w:val="24"/>
          <w:highlight w:val="none"/>
        </w:rPr>
        <w:t>供应商</w:t>
      </w:r>
      <w:r>
        <w:rPr>
          <w:rFonts w:ascii="宋体" w:hAnsi="宋体" w:cs="Times New Roman"/>
          <w:kern w:val="2"/>
          <w:sz w:val="24"/>
          <w:highlight w:val="none"/>
        </w:rPr>
        <w:t>提交银行、保险公司等金融机构出具的预付款保函或其他担保措施。政府采购预付款应在合同生效以及具备实施条件后5个工作日内支付。</w:t>
      </w:r>
      <w:r>
        <w:rPr>
          <w:rFonts w:hint="eastAsia" w:ascii="宋体" w:hAnsi="宋体" w:cs="Times New Roman"/>
          <w:kern w:val="2"/>
          <w:sz w:val="24"/>
          <w:highlight w:val="none"/>
        </w:rPr>
        <w:t>政府采购工程以及与工程建设有关的货物、服务，采用招标方式采购的，预付款从其相关规定。供应商可登录政采云前台大厅选择金融服务</w:t>
      </w:r>
      <w:r>
        <w:rPr>
          <w:rFonts w:ascii="宋体" w:hAnsi="宋体" w:cs="Times New Roman"/>
          <w:kern w:val="2"/>
          <w:sz w:val="24"/>
          <w:highlight w:val="none"/>
        </w:rPr>
        <w:t xml:space="preserve"> - </w:t>
      </w:r>
      <w:r>
        <w:rPr>
          <w:rFonts w:hint="eastAsia" w:ascii="宋体" w:hAnsi="宋体" w:cs="Times New Roman"/>
          <w:kern w:val="2"/>
          <w:sz w:val="24"/>
          <w:highlight w:val="none"/>
        </w:rPr>
        <w:t>【保函保险服务】出具预付款保函，具体步骤：选择产品—填写供应商信息—选择中标项目—确认信息—等待保险</w:t>
      </w:r>
      <w:r>
        <w:rPr>
          <w:rFonts w:ascii="宋体" w:hAnsi="宋体" w:cs="Times New Roman"/>
          <w:kern w:val="2"/>
          <w:sz w:val="24"/>
          <w:highlight w:val="none"/>
        </w:rPr>
        <w:t>/保函受理—确认保单—支付保费—成功出单。政</w:t>
      </w:r>
      <w:r>
        <w:rPr>
          <w:rFonts w:hint="eastAsia" w:ascii="宋体" w:hAnsi="宋体" w:cs="Times New Roman"/>
          <w:kern w:val="2"/>
          <w:sz w:val="24"/>
          <w:highlight w:val="none"/>
        </w:rPr>
        <w:t>采云金融专线</w:t>
      </w:r>
      <w:r>
        <w:rPr>
          <w:rFonts w:ascii="宋体" w:hAnsi="宋体" w:cs="Times New Roman"/>
          <w:kern w:val="2"/>
          <w:sz w:val="24"/>
          <w:highlight w:val="none"/>
        </w:rPr>
        <w:t>400-903-9583。</w:t>
      </w:r>
    </w:p>
    <w:p>
      <w:pPr>
        <w:snapToGrid w:val="0"/>
        <w:spacing w:line="360" w:lineRule="auto"/>
        <w:ind w:firstLine="3357" w:firstLineChars="1045"/>
        <w:rPr>
          <w:rFonts w:ascii="宋体" w:hAnsi="宋体" w:cs="宋体"/>
          <w:b/>
          <w:sz w:val="32"/>
          <w:highlight w:val="none"/>
        </w:rPr>
      </w:pPr>
    </w:p>
    <w:bookmarkEnd w:id="13"/>
    <w:bookmarkEnd w:id="14"/>
    <w:bookmarkEnd w:id="17"/>
    <w:p>
      <w:pPr>
        <w:snapToGrid w:val="0"/>
        <w:spacing w:line="360" w:lineRule="auto"/>
        <w:ind w:firstLine="3357" w:firstLineChars="1045"/>
        <w:rPr>
          <w:rFonts w:ascii="宋体" w:hAnsi="宋体" w:cs="宋体"/>
          <w:b/>
          <w:sz w:val="24"/>
          <w:highlight w:val="none"/>
        </w:rPr>
      </w:pPr>
      <w:bookmarkStart w:id="18" w:name="第四部分"/>
      <w:r>
        <w:rPr>
          <w:rFonts w:hint="eastAsia" w:ascii="宋体" w:hAnsi="宋体" w:cs="宋体"/>
          <w:b/>
          <w:sz w:val="32"/>
          <w:highlight w:val="none"/>
        </w:rPr>
        <w:t>八、电子交易活动的中止</w:t>
      </w:r>
    </w:p>
    <w:p>
      <w:pPr>
        <w:pStyle w:val="129"/>
        <w:snapToGrid w:val="0"/>
        <w:spacing w:before="0"/>
        <w:ind w:firstLine="0" w:firstLineChars="0"/>
        <w:rPr>
          <w:rFonts w:ascii="宋体" w:hAnsi="宋体" w:cs="宋体"/>
          <w:highlight w:val="none"/>
        </w:rPr>
      </w:pPr>
      <w:r>
        <w:rPr>
          <w:rFonts w:ascii="宋体" w:hAnsi="宋体" w:cs="宋体"/>
          <w:b/>
          <w:bCs/>
          <w:kern w:val="2"/>
          <w:sz w:val="24"/>
          <w:szCs w:val="20"/>
          <w:highlight w:val="none"/>
        </w:rPr>
        <w:t>2</w:t>
      </w:r>
      <w:r>
        <w:rPr>
          <w:rFonts w:ascii="宋体" w:hAnsi="宋体" w:cs="宋体"/>
          <w:b/>
          <w:bCs/>
          <w:kern w:val="2"/>
          <w:sz w:val="24"/>
          <w:szCs w:val="24"/>
          <w:highlight w:val="none"/>
        </w:rPr>
        <w:t>8</w:t>
      </w:r>
      <w:r>
        <w:rPr>
          <w:rFonts w:hint="eastAsia" w:ascii="宋体" w:hAnsi="宋体" w:cs="宋体"/>
          <w:b/>
          <w:szCs w:val="24"/>
          <w:highlight w:val="none"/>
        </w:rPr>
        <w:t>. 电子交易活动的中止。</w:t>
      </w:r>
      <w:r>
        <w:rPr>
          <w:rFonts w:hint="eastAsia" w:ascii="宋体" w:hAnsi="宋体" w:cs="宋体"/>
          <w:highlight w:val="none"/>
        </w:rPr>
        <w:t>采购过程中出现以下情形，导致电子交易平台无法正常运行，或者无法保证电子交易的公平、公正和安全时，</w:t>
      </w:r>
      <w:r>
        <w:rPr>
          <w:rFonts w:hint="eastAsia" w:ascii="宋体" w:hAnsi="宋体" w:cs="宋体"/>
          <w:highlight w:val="none"/>
          <w:lang w:eastAsia="zh-CN"/>
        </w:rPr>
        <w:t>采购代理机构</w:t>
      </w:r>
      <w:r>
        <w:rPr>
          <w:rFonts w:hint="eastAsia" w:ascii="宋体" w:hAnsi="宋体" w:cs="宋体"/>
          <w:highlight w:val="none"/>
        </w:rPr>
        <w:t>可中止电子交易活动：</w:t>
      </w:r>
    </w:p>
    <w:p>
      <w:pPr>
        <w:pStyle w:val="129"/>
        <w:snapToGrid w:val="0"/>
        <w:spacing w:before="0"/>
        <w:ind w:firstLine="480"/>
        <w:rPr>
          <w:rFonts w:ascii="宋体" w:hAnsi="宋体" w:cs="宋体"/>
          <w:highlight w:val="none"/>
        </w:rPr>
      </w:pPr>
      <w:r>
        <w:rPr>
          <w:rFonts w:hint="eastAsia" w:ascii="宋体" w:hAnsi="宋体" w:cs="宋体"/>
          <w:highlight w:val="none"/>
        </w:rPr>
        <w:t xml:space="preserve">28.1电子交易平台发生故障而无法登录访问的； </w:t>
      </w:r>
    </w:p>
    <w:p>
      <w:pPr>
        <w:pStyle w:val="129"/>
        <w:snapToGrid w:val="0"/>
        <w:spacing w:before="0"/>
        <w:ind w:firstLine="480"/>
        <w:rPr>
          <w:rFonts w:ascii="宋体" w:hAnsi="宋体" w:cs="宋体"/>
          <w:highlight w:val="none"/>
        </w:rPr>
      </w:pPr>
      <w:r>
        <w:rPr>
          <w:rFonts w:hint="eastAsia" w:ascii="宋体" w:hAnsi="宋体" w:cs="宋体"/>
          <w:highlight w:val="none"/>
        </w:rPr>
        <w:t>28.2电子交易平台应用或数据库出现错误，不能进行正常操作的；</w:t>
      </w:r>
    </w:p>
    <w:p>
      <w:pPr>
        <w:pStyle w:val="129"/>
        <w:snapToGrid w:val="0"/>
        <w:spacing w:before="0"/>
        <w:ind w:firstLine="480"/>
        <w:rPr>
          <w:rFonts w:ascii="宋体" w:hAnsi="宋体" w:cs="宋体"/>
          <w:highlight w:val="none"/>
        </w:rPr>
      </w:pPr>
      <w:r>
        <w:rPr>
          <w:rFonts w:hint="eastAsia" w:ascii="宋体" w:hAnsi="宋体" w:cs="宋体"/>
          <w:highlight w:val="none"/>
        </w:rPr>
        <w:t>28.3电子交易平台发现严重安全漏洞，有潜在泄密危险的；</w:t>
      </w:r>
    </w:p>
    <w:p>
      <w:pPr>
        <w:pStyle w:val="129"/>
        <w:snapToGrid w:val="0"/>
        <w:spacing w:before="0"/>
        <w:ind w:firstLine="480"/>
        <w:rPr>
          <w:rFonts w:ascii="宋体" w:hAnsi="宋体" w:cs="宋体"/>
          <w:highlight w:val="none"/>
        </w:rPr>
      </w:pPr>
      <w:r>
        <w:rPr>
          <w:rFonts w:hint="eastAsia" w:ascii="宋体" w:hAnsi="宋体" w:cs="宋体"/>
          <w:highlight w:val="none"/>
        </w:rPr>
        <w:t xml:space="preserve">28.4病毒发作导致不能进行正常操作的； </w:t>
      </w:r>
    </w:p>
    <w:p>
      <w:pPr>
        <w:pStyle w:val="129"/>
        <w:snapToGrid w:val="0"/>
        <w:spacing w:before="0"/>
        <w:ind w:firstLine="480"/>
        <w:rPr>
          <w:rFonts w:ascii="宋体" w:hAnsi="宋体" w:cs="宋体"/>
          <w:highlight w:val="none"/>
        </w:rPr>
      </w:pPr>
      <w:r>
        <w:rPr>
          <w:rFonts w:hint="eastAsia" w:ascii="宋体" w:hAnsi="宋体" w:cs="宋体"/>
          <w:highlight w:val="none"/>
        </w:rPr>
        <w:t>28.5其他无法保证电子交易的公平、公正和安全的情况。</w:t>
      </w:r>
    </w:p>
    <w:p>
      <w:pPr>
        <w:pStyle w:val="129"/>
        <w:snapToGrid w:val="0"/>
        <w:spacing w:before="0"/>
        <w:ind w:firstLine="0" w:firstLineChars="0"/>
        <w:rPr>
          <w:rFonts w:ascii="宋体" w:hAnsi="宋体" w:cs="宋体"/>
          <w:highlight w:val="none"/>
        </w:rPr>
      </w:pPr>
      <w:r>
        <w:rPr>
          <w:rFonts w:hint="eastAsia" w:ascii="宋体" w:hAnsi="宋体" w:cs="宋体"/>
          <w:highlight w:val="none"/>
        </w:rPr>
        <w:t xml:space="preserve"> </w:t>
      </w:r>
      <w:r>
        <w:rPr>
          <w:rFonts w:hint="eastAsia" w:ascii="宋体" w:hAnsi="宋体" w:cs="宋体"/>
          <w:b/>
          <w:bCs/>
          <w:highlight w:val="none"/>
        </w:rPr>
        <w:t>29.</w:t>
      </w:r>
      <w:r>
        <w:rPr>
          <w:rFonts w:hint="eastAsia" w:ascii="宋体" w:hAnsi="宋体" w:cs="宋体"/>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highlight w:val="none"/>
        </w:rPr>
      </w:pPr>
    </w:p>
    <w:p>
      <w:pPr>
        <w:snapToGrid w:val="0"/>
        <w:spacing w:line="360" w:lineRule="auto"/>
        <w:ind w:left="120" w:leftChars="57" w:firstLine="482" w:firstLineChars="150"/>
        <w:jc w:val="center"/>
        <w:rPr>
          <w:rFonts w:ascii="宋体" w:hAnsi="宋体" w:cs="宋体"/>
          <w:b/>
          <w:sz w:val="32"/>
          <w:highlight w:val="none"/>
        </w:rPr>
      </w:pPr>
      <w:r>
        <w:rPr>
          <w:rFonts w:hint="eastAsia" w:ascii="宋体" w:hAnsi="宋体" w:cs="宋体"/>
          <w:b/>
          <w:sz w:val="32"/>
          <w:highlight w:val="none"/>
        </w:rPr>
        <w:t>九、验收</w:t>
      </w:r>
    </w:p>
    <w:p>
      <w:pPr>
        <w:pStyle w:val="24"/>
        <w:spacing w:line="360" w:lineRule="auto"/>
        <w:ind w:firstLine="0" w:firstLineChars="0"/>
        <w:rPr>
          <w:rFonts w:cs="宋体"/>
          <w:b/>
          <w:highlight w:val="none"/>
        </w:rPr>
      </w:pPr>
      <w:r>
        <w:rPr>
          <w:rFonts w:hint="eastAsia" w:cs="宋体"/>
          <w:b/>
          <w:highlight w:val="none"/>
        </w:rPr>
        <w:t>30.验收</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highlight w:val="none"/>
        </w:rPr>
      </w:pPr>
      <w:r>
        <w:rPr>
          <w:rFonts w:hint="eastAsia" w:ascii="宋体" w:hAnsi="宋体" w:cs="宋体"/>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0"/>
        </w:tabs>
        <w:spacing w:line="360" w:lineRule="auto"/>
        <w:ind w:firstLine="480"/>
        <w:rPr>
          <w:rFonts w:ascii="宋体" w:hAnsi="宋体" w:cs="宋体"/>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docGrid w:linePitch="312" w:charSpace="0"/>
        </w:sectPr>
      </w:pPr>
      <w:bookmarkStart w:id="19" w:name="_Hlt75236011"/>
      <w:bookmarkEnd w:id="19"/>
      <w:bookmarkStart w:id="20" w:name="_Hlt68073093"/>
      <w:bookmarkEnd w:id="20"/>
      <w:bookmarkStart w:id="21" w:name="_Hlt75236290"/>
      <w:bookmarkEnd w:id="21"/>
      <w:bookmarkStart w:id="22" w:name="_Hlt74729768"/>
      <w:bookmarkEnd w:id="22"/>
      <w:bookmarkStart w:id="23" w:name="_Hlt68072990"/>
      <w:bookmarkEnd w:id="23"/>
      <w:bookmarkStart w:id="24" w:name="_Hlt74707468"/>
      <w:bookmarkEnd w:id="24"/>
      <w:bookmarkStart w:id="25" w:name="_Hlt75236101"/>
      <w:bookmarkEnd w:id="25"/>
      <w:bookmarkStart w:id="26" w:name="_Hlt74730295"/>
      <w:bookmarkEnd w:id="26"/>
      <w:bookmarkStart w:id="27" w:name="_Hlt68403820"/>
      <w:bookmarkEnd w:id="27"/>
      <w:bookmarkStart w:id="28" w:name="_Hlt74714665"/>
      <w:bookmarkEnd w:id="28"/>
      <w:bookmarkStart w:id="29" w:name="_Hlt68057669"/>
      <w:bookmarkEnd w:id="29"/>
      <w:bookmarkStart w:id="30" w:name="_Hlt68072998"/>
      <w:bookmarkEnd w:id="30"/>
    </w:p>
    <w:p>
      <w:pPr>
        <w:spacing w:line="360" w:lineRule="auto"/>
        <w:jc w:val="center"/>
        <w:outlineLvl w:val="0"/>
        <w:rPr>
          <w:highlight w:val="none"/>
        </w:rPr>
      </w:pPr>
      <w:r>
        <w:rPr>
          <w:rFonts w:hint="eastAsia" w:ascii="宋体" w:hAnsi="宋体" w:cs="宋体"/>
          <w:b/>
          <w:sz w:val="36"/>
          <w:szCs w:val="36"/>
          <w:highlight w:val="none"/>
        </w:rPr>
        <w:t>第三部分   采购需求</w:t>
      </w:r>
    </w:p>
    <w:p>
      <w:pPr>
        <w:adjustRightInd/>
        <w:spacing w:before="120" w:beforeLines="50" w:after="120" w:afterLines="50" w:line="360" w:lineRule="auto"/>
        <w:jc w:val="center"/>
        <w:outlineLvl w:val="1"/>
        <w:rPr>
          <w:rFonts w:asciiTheme="minorEastAsia" w:hAnsiTheme="minorEastAsia" w:eastAsiaTheme="minorEastAsia"/>
          <w:b/>
          <w:bCs/>
          <w:sz w:val="24"/>
          <w:highlight w:val="none"/>
        </w:rPr>
      </w:pPr>
      <w:r>
        <w:rPr>
          <w:rFonts w:hint="eastAsia" w:asciiTheme="minorEastAsia" w:hAnsiTheme="minorEastAsia" w:eastAsiaTheme="minorEastAsia"/>
          <w:b/>
          <w:bCs/>
          <w:sz w:val="24"/>
          <w:highlight w:val="none"/>
        </w:rPr>
        <w:t>属于实质性要求条款的，已用符号“▲”标明，否则属于非实质性要求。</w:t>
      </w:r>
    </w:p>
    <w:p>
      <w:pPr>
        <w:spacing w:line="360" w:lineRule="auto"/>
        <w:rPr>
          <w:rFonts w:hint="default" w:cs="仿宋_GB2312" w:asciiTheme="minorEastAsia" w:hAnsiTheme="minorEastAsia" w:eastAsiaTheme="minorEastAsia"/>
          <w:sz w:val="24"/>
          <w:highlight w:val="none"/>
          <w:u w:val="single"/>
          <w:lang w:val="en-US" w:eastAsia="zh-CN"/>
        </w:rPr>
      </w:pPr>
      <w:r>
        <w:rPr>
          <w:rFonts w:hint="eastAsia" w:asciiTheme="minorEastAsia" w:hAnsiTheme="minorEastAsia" w:eastAsiaTheme="minorEastAsia"/>
          <w:sz w:val="24"/>
          <w:highlight w:val="none"/>
        </w:rPr>
        <w:t>“★”系产品采购项目中单一产品或核心产品：</w:t>
      </w:r>
      <w:r>
        <w:rPr>
          <w:rFonts w:hint="default" w:cs="仿宋_GB2312" w:asciiTheme="minorEastAsia" w:hAnsiTheme="minorEastAsia" w:eastAsiaTheme="minorEastAsia"/>
          <w:sz w:val="24"/>
          <w:highlight w:val="none"/>
          <w:u w:val="single"/>
          <w:lang w:val="en-US"/>
        </w:rPr>
        <w:t>定焦枪型网络摄像机、磁盘阵列、POE交换机</w:t>
      </w:r>
    </w:p>
    <w:p>
      <w:pPr>
        <w:adjustRightInd w:val="0"/>
        <w:snapToGrid w:val="0"/>
        <w:spacing w:line="360" w:lineRule="auto"/>
        <w:jc w:val="left"/>
        <w:outlineLvl w:val="0"/>
        <w:rPr>
          <w:rFonts w:hint="eastAsia" w:ascii="宋体" w:hAnsi="宋体" w:eastAsia="宋体" w:cs="宋体"/>
          <w:b/>
          <w:color w:val="000000"/>
          <w:sz w:val="24"/>
          <w:szCs w:val="24"/>
          <w:highlight w:val="none"/>
          <w:lang w:val="zh-CN"/>
        </w:rPr>
      </w:pPr>
      <w:r>
        <w:rPr>
          <w:rFonts w:hint="eastAsia" w:ascii="宋体" w:hAnsi="宋体" w:eastAsia="宋体" w:cs="宋体"/>
          <w:b/>
          <w:color w:val="000000"/>
          <w:sz w:val="24"/>
          <w:szCs w:val="24"/>
          <w:highlight w:val="none"/>
          <w:lang w:val="zh-CN"/>
        </w:rPr>
        <w:t>一、项目概况</w:t>
      </w:r>
    </w:p>
    <w:p>
      <w:pPr>
        <w:spacing w:line="360" w:lineRule="auto"/>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1、本项目为杭州市文溪中学校园网络及监控系统设备新增采购及存储更新升级项目，学校现有网络布线系统已使用近6年，有线网络主要设备均已使用近6年，因此施工过程中需充分考虑到对原系统的损伤、修复及与原有系统的对接。</w:t>
      </w:r>
    </w:p>
    <w:p>
      <w:pPr>
        <w:spacing w:line="360" w:lineRule="auto"/>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2、项目实施地点：杭州市文溪中学；</w:t>
      </w:r>
    </w:p>
    <w:p>
      <w:pPr>
        <w:pStyle w:val="2"/>
        <w:ind w:firstLine="480" w:firstLineChars="200"/>
        <w:rPr>
          <w:rFonts w:hint="eastAsia" w:ascii="宋体" w:hAnsi="宋体" w:eastAsia="宋体" w:cs="宋体"/>
          <w:sz w:val="24"/>
          <w:szCs w:val="24"/>
          <w:highlight w:val="none"/>
        </w:rPr>
      </w:pPr>
      <w:r>
        <w:rPr>
          <w:rFonts w:hint="eastAsia" w:ascii="宋体" w:hAnsi="宋体" w:eastAsia="宋体" w:cs="宋体"/>
          <w:bCs/>
          <w:sz w:val="24"/>
          <w:szCs w:val="24"/>
          <w:highlight w:val="none"/>
        </w:rPr>
        <w:t>3、本项目为交钥匙工程。</w:t>
      </w:r>
    </w:p>
    <w:p>
      <w:pPr>
        <w:pStyle w:val="5"/>
        <w:spacing w:line="360" w:lineRule="auto"/>
        <w:ind w:firstLine="480"/>
        <w:rPr>
          <w:rFonts w:hint="eastAsia" w:ascii="宋体" w:hAnsi="宋体" w:eastAsia="宋体" w:cs="宋体"/>
          <w:bCs/>
          <w:sz w:val="24"/>
          <w:szCs w:val="24"/>
          <w:highlight w:val="none"/>
        </w:rPr>
      </w:pPr>
      <w:r>
        <w:rPr>
          <w:rFonts w:hint="eastAsia" w:ascii="宋体" w:hAnsi="宋体" w:eastAsia="宋体" w:cs="宋体"/>
          <w:bCs/>
          <w:sz w:val="24"/>
          <w:szCs w:val="24"/>
          <w:highlight w:val="none"/>
        </w:rPr>
        <w:t>4、</w:t>
      </w:r>
      <w:r>
        <w:rPr>
          <w:rFonts w:hint="eastAsia" w:hAnsi="宋体" w:cs="宋体"/>
          <w:bCs/>
          <w:sz w:val="24"/>
          <w:szCs w:val="24"/>
          <w:highlight w:val="none"/>
          <w:lang w:eastAsia="zh-CN"/>
        </w:rPr>
        <w:t>两个新建餐厅网络系统、监控系统、门禁系统、音响系统、存储系统（以上内容需要与暑期餐厅改造施工配合），教室、办公室、专用教室等室内场所新增监控含存储、原有存储升级等</w:t>
      </w:r>
      <w:r>
        <w:rPr>
          <w:rFonts w:hint="eastAsia" w:ascii="宋体" w:hAnsi="宋体" w:eastAsia="宋体" w:cs="宋体"/>
          <w:bCs/>
          <w:sz w:val="24"/>
          <w:szCs w:val="24"/>
          <w:highlight w:val="none"/>
        </w:rPr>
        <w:t>，具体包括安装、产品调试（含与原有设备整合）、试运行、验收与相关的操作培训及不少于3年（含）7×24小时免费设备保修和售后现场技术服务等内容。</w:t>
      </w:r>
    </w:p>
    <w:p>
      <w:pPr>
        <w:pStyle w:val="4"/>
        <w:keepNext w:val="0"/>
        <w:numPr>
          <w:ilvl w:val="0"/>
          <w:numId w:val="0"/>
        </w:numPr>
        <w:jc w:val="both"/>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二、基本要求</w:t>
      </w:r>
    </w:p>
    <w:p>
      <w:pPr>
        <w:tabs>
          <w:tab w:val="left" w:pos="1050"/>
        </w:tabs>
        <w:spacing w:line="360" w:lineRule="auto"/>
        <w:ind w:left="420"/>
        <w:rPr>
          <w:rFonts w:hint="eastAsia" w:ascii="宋体" w:hAnsi="宋体" w:eastAsia="宋体" w:cs="宋体"/>
          <w:color w:val="000000"/>
          <w:sz w:val="24"/>
          <w:szCs w:val="24"/>
          <w:highlight w:val="none"/>
        </w:rPr>
      </w:pPr>
      <w:r>
        <w:rPr>
          <w:rFonts w:hint="eastAsia" w:ascii="宋体" w:hAnsi="宋体" w:eastAsia="宋体" w:cs="宋体"/>
          <w:b/>
          <w:color w:val="000000"/>
          <w:sz w:val="24"/>
          <w:szCs w:val="24"/>
          <w:highlight w:val="none"/>
        </w:rPr>
        <w:t>1．环境条件：</w:t>
      </w:r>
      <w:r>
        <w:rPr>
          <w:rFonts w:hint="eastAsia" w:ascii="宋体" w:hAnsi="宋体" w:eastAsia="宋体" w:cs="宋体"/>
          <w:color w:val="000000"/>
          <w:sz w:val="24"/>
          <w:szCs w:val="24"/>
          <w:highlight w:val="none"/>
        </w:rPr>
        <w:t>单相交流电：220V、50Hz；三相交流电：380V、50Hz。</w:t>
      </w:r>
    </w:p>
    <w:p>
      <w:pPr>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室内温度0～40℃；室外温度-10℃～50℃。</w:t>
      </w:r>
    </w:p>
    <w:p>
      <w:pPr>
        <w:tabs>
          <w:tab w:val="left" w:pos="1050"/>
        </w:tabs>
        <w:spacing w:line="360" w:lineRule="auto"/>
        <w:ind w:left="420"/>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2．技术标准和规范：</w:t>
      </w:r>
    </w:p>
    <w:p>
      <w:pPr>
        <w:tabs>
          <w:tab w:val="left" w:pos="1050"/>
        </w:tabs>
        <w:spacing w:line="360" w:lineRule="auto"/>
        <w:ind w:left="42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1）所有施工和材料所涉及的设计标准规范（如产品标准/规范、工程标准/规范、验收标准/规范等）必须完全符合所有中华人民共和国的标准及规范。</w:t>
      </w:r>
    </w:p>
    <w:p>
      <w:pPr>
        <w:tabs>
          <w:tab w:val="left" w:pos="1050"/>
        </w:tabs>
        <w:spacing w:line="360" w:lineRule="auto"/>
        <w:ind w:firstLine="420" w:firstLineChars="175"/>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2）投标人采用其它标准和规范时，应在投标文件中注明是采用何种标准，并应保证设备达到或优于国家规定的现行相关标准。</w:t>
      </w:r>
    </w:p>
    <w:p>
      <w:pPr>
        <w:tabs>
          <w:tab w:val="left" w:pos="1050"/>
        </w:tabs>
        <w:spacing w:line="360" w:lineRule="auto"/>
        <w:ind w:firstLine="420" w:firstLineChars="175"/>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3）对国家规定有强制性规范或条例或认证要求的设备或材料，投标人提供的设备或材料应符合该类要求。</w:t>
      </w:r>
    </w:p>
    <w:p>
      <w:pPr>
        <w:pStyle w:val="3"/>
        <w:keepNext w:val="0"/>
        <w:keepLines/>
        <w:pageBreakBefore w:val="0"/>
        <w:widowControl w:val="0"/>
        <w:kinsoku/>
        <w:wordWrap/>
        <w:overflowPunct/>
        <w:topLinePunct w:val="0"/>
        <w:autoSpaceDE/>
        <w:autoSpaceDN/>
        <w:bidi w:val="0"/>
        <w:adjustRightInd w:val="0"/>
        <w:snapToGrid/>
        <w:spacing w:before="0" w:after="0" w:line="360" w:lineRule="auto"/>
        <w:ind w:left="431" w:hanging="431"/>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三、项目建设清单及技术要求</w:t>
      </w:r>
    </w:p>
    <w:p>
      <w:pPr>
        <w:spacing w:line="360" w:lineRule="auto"/>
        <w:ind w:firstLine="354" w:firstLineChars="147"/>
        <w:rPr>
          <w:rFonts w:hint="eastAsia" w:ascii="宋体" w:hAnsi="宋体" w:eastAsia="宋体" w:cs="宋体"/>
          <w:b/>
          <w:sz w:val="24"/>
          <w:szCs w:val="24"/>
          <w:highlight w:val="none"/>
        </w:rPr>
      </w:pPr>
      <w:r>
        <w:rPr>
          <w:rFonts w:hint="eastAsia" w:ascii="宋体" w:hAnsi="宋体" w:eastAsia="宋体" w:cs="宋体"/>
          <w:b/>
          <w:sz w:val="24"/>
          <w:szCs w:val="24"/>
          <w:highlight w:val="none"/>
        </w:rPr>
        <w:t>（一）特别说明：</w:t>
      </w:r>
    </w:p>
    <w:p>
      <w:pPr>
        <w:spacing w:line="360" w:lineRule="auto"/>
        <w:ind w:firstLine="480" w:firstLineChars="200"/>
        <w:rPr>
          <w:rFonts w:hint="eastAsia" w:ascii="宋体" w:hAnsi="宋体" w:eastAsia="宋体" w:cs="宋体"/>
          <w:b/>
          <w:bCs/>
          <w:sz w:val="24"/>
          <w:szCs w:val="24"/>
          <w:highlight w:val="none"/>
          <w:u w:val="single"/>
        </w:rPr>
      </w:pPr>
      <w:r>
        <w:rPr>
          <w:rFonts w:hint="eastAsia" w:ascii="宋体" w:hAnsi="宋体" w:eastAsia="宋体" w:cs="宋体"/>
          <w:sz w:val="24"/>
          <w:szCs w:val="24"/>
          <w:highlight w:val="none"/>
        </w:rPr>
        <w:t>为保证设备稳定运行、保障售后服务质量、保护甲方的合法权益，投标方及厂商必须保证：本项目所有设备原厂售后服务权益方名称为</w:t>
      </w:r>
      <w:r>
        <w:rPr>
          <w:rFonts w:hint="eastAsia" w:ascii="宋体" w:hAnsi="宋体" w:eastAsia="宋体" w:cs="宋体"/>
          <w:b/>
          <w:bCs/>
          <w:sz w:val="24"/>
          <w:szCs w:val="24"/>
          <w:highlight w:val="none"/>
          <w:u w:val="single"/>
        </w:rPr>
        <w:t>杭州市文溪中学。在项目实施过程中、项目验收时，将专门针对各系统主要内容、各类设备、辅材等原厂商进行真伪查验校对， 产品主要参数、功能校对，质保期查验校对，并将详细确认售后服务权益方名称。对于校对后不符合项目清单要求，中标方需承担一切后果。</w:t>
      </w:r>
    </w:p>
    <w:p>
      <w:pPr>
        <w:pStyle w:val="4"/>
        <w:numPr>
          <w:ilvl w:val="0"/>
          <w:numId w:val="0"/>
        </w:numPr>
        <w:ind w:firstLine="482" w:firstLineChars="200"/>
        <w:jc w:val="both"/>
        <w:rPr>
          <w:rFonts w:hint="eastAsia" w:ascii="宋体" w:hAnsi="宋体" w:eastAsia="宋体" w:cs="宋体"/>
          <w:bCs/>
          <w:sz w:val="24"/>
          <w:szCs w:val="24"/>
          <w:highlight w:val="none"/>
          <w:u w:val="single"/>
        </w:rPr>
      </w:pPr>
      <w:r>
        <w:rPr>
          <w:rFonts w:hint="eastAsia" w:ascii="宋体" w:hAnsi="宋体" w:eastAsia="宋体" w:cs="宋体"/>
          <w:bCs/>
          <w:sz w:val="24"/>
          <w:szCs w:val="24"/>
          <w:highlight w:val="none"/>
          <w:u w:val="single"/>
        </w:rPr>
        <w:t>本项目所涉及的设备均需与杭州市</w:t>
      </w:r>
      <w:r>
        <w:rPr>
          <w:rFonts w:hint="eastAsia" w:ascii="宋体" w:hAnsi="宋体" w:eastAsia="宋体" w:cs="宋体"/>
          <w:bCs/>
          <w:sz w:val="24"/>
          <w:szCs w:val="24"/>
          <w:highlight w:val="none"/>
          <w:u w:val="single"/>
          <w:lang w:val="en-US"/>
        </w:rPr>
        <w:t>文溪</w:t>
      </w:r>
      <w:r>
        <w:rPr>
          <w:rFonts w:hint="eastAsia" w:ascii="宋体" w:hAnsi="宋体" w:eastAsia="宋体" w:cs="宋体"/>
          <w:bCs/>
          <w:sz w:val="24"/>
          <w:szCs w:val="24"/>
          <w:highlight w:val="none"/>
          <w:u w:val="single"/>
        </w:rPr>
        <w:t>中学现有的网络、监控系统无缝对接，对接所产生的一切费用均包含于投标报价里。</w:t>
      </w:r>
    </w:p>
    <w:p>
      <w:pPr>
        <w:pStyle w:val="5"/>
        <w:rPr>
          <w:rFonts w:hint="eastAsia" w:ascii="宋体" w:hAnsi="宋体" w:eastAsia="宋体" w:cs="宋体"/>
          <w:sz w:val="24"/>
          <w:szCs w:val="24"/>
          <w:highlight w:val="none"/>
          <w:lang w:val="en-US" w:eastAsia="zh-CN"/>
        </w:rPr>
      </w:pPr>
      <w:r>
        <w:rPr>
          <w:rFonts w:hint="eastAsia" w:ascii="宋体" w:hAnsi="宋体" w:eastAsia="宋体" w:cs="宋体"/>
          <w:bCs/>
          <w:sz w:val="24"/>
          <w:szCs w:val="24"/>
          <w:highlight w:val="none"/>
          <w:u w:val="single"/>
          <w:lang w:val="en-US" w:eastAsia="zh-CN"/>
        </w:rPr>
        <w:t>附：以下是原有网络</w:t>
      </w:r>
      <w:r>
        <w:rPr>
          <w:rFonts w:hint="eastAsia" w:ascii="宋体" w:hAnsi="宋体" w:eastAsia="宋体" w:cs="宋体"/>
          <w:bCs/>
          <w:sz w:val="24"/>
          <w:szCs w:val="24"/>
          <w:highlight w:val="none"/>
          <w:u w:val="single"/>
        </w:rPr>
        <w:t>、</w:t>
      </w:r>
      <w:r>
        <w:rPr>
          <w:rFonts w:hint="eastAsia" w:ascii="宋体" w:hAnsi="宋体" w:eastAsia="宋体" w:cs="宋体"/>
          <w:bCs/>
          <w:sz w:val="24"/>
          <w:szCs w:val="24"/>
          <w:highlight w:val="none"/>
          <w:u w:val="single"/>
          <w:lang w:val="en-US" w:eastAsia="zh-CN"/>
        </w:rPr>
        <w:t>监控主材清单。</w:t>
      </w:r>
    </w:p>
    <w:tbl>
      <w:tblPr>
        <w:tblStyle w:val="62"/>
        <w:tblW w:w="61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58"/>
        <w:gridCol w:w="945"/>
        <w:gridCol w:w="2736"/>
        <w:gridCol w:w="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619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网络系统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25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核心交换机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H3C</w:t>
            </w: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LS-7510E-X</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25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核心交换机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H3C</w:t>
            </w: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LSQM1MPU10C0</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25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核心交换机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H3C</w:t>
            </w: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LSQM1FAB10C0</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25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核心交换机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H3C</w:t>
            </w: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LSUM1AC1200</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25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核心交换机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H3C</w:t>
            </w: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LSQM2GT24TSSC0</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25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核心交换机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H3C</w:t>
            </w: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LSQM2TGS16SF0</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25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核心交换机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H3C</w:t>
            </w: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SFP-XG-SX-MM850-E</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2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上网行为管理</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H3C</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NS-ACG1000-M+LIS-1</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2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上网行为管理</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H3C</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LIS-ACG1000-M</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25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无线控制器</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H3C</w:t>
            </w: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EWP-WX2560H</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25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无线控制器</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H3C</w:t>
            </w: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LIS-WX-32-BE</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25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室内无线AP</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H3C</w:t>
            </w: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EWP-WA4320-ACN-SI-FIT</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25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室外AP</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H3C</w:t>
            </w: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EWP-WA5320X-FIT</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25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认证平台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H3C</w:t>
            </w: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SWP-IMC7-IMP</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25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防火墙</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H3C</w:t>
            </w: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NGFW500</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6195"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监控系统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25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48盘位磁盘阵列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大华</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DH-EVS7048S-R</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25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流媒体服务器</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大华</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DH-DSS7100-6</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r>
    </w:tbl>
    <w:p>
      <w:pPr>
        <w:pStyle w:val="968"/>
        <w:widowControl w:val="0"/>
        <w:spacing w:line="360" w:lineRule="auto"/>
        <w:ind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投标方及厂商必须保证所有投标产品均为中华人民共和国境内（不含港澳台地区）合法销售的产品，并保证所有投标参数真实可信，</w:t>
      </w:r>
      <w:r>
        <w:rPr>
          <w:rFonts w:hint="eastAsia" w:ascii="宋体" w:hAnsi="宋体" w:eastAsia="宋体" w:cs="宋体"/>
          <w:b/>
          <w:sz w:val="24"/>
          <w:szCs w:val="24"/>
          <w:highlight w:val="none"/>
        </w:rPr>
        <w:t>同时承担以非法产品或虚假参数应标所带来的一切法律风险</w:t>
      </w:r>
      <w:r>
        <w:rPr>
          <w:rFonts w:hint="eastAsia" w:ascii="宋体" w:hAnsi="宋体" w:eastAsia="宋体" w:cs="宋体"/>
          <w:sz w:val="24"/>
          <w:szCs w:val="24"/>
          <w:highlight w:val="none"/>
        </w:rPr>
        <w:t>。</w:t>
      </w:r>
    </w:p>
    <w:p>
      <w:pPr>
        <w:numPr>
          <w:ilvl w:val="0"/>
          <w:numId w:val="2"/>
        </w:numPr>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项目清单及参数要求：</w:t>
      </w:r>
    </w:p>
    <w:tbl>
      <w:tblPr>
        <w:tblStyle w:val="62"/>
        <w:tblW w:w="8429" w:type="dxa"/>
        <w:jc w:val="center"/>
        <w:tblLayout w:type="autofit"/>
        <w:tblCellMar>
          <w:top w:w="0" w:type="dxa"/>
          <w:left w:w="108" w:type="dxa"/>
          <w:bottom w:w="0" w:type="dxa"/>
          <w:right w:w="108" w:type="dxa"/>
        </w:tblCellMar>
      </w:tblPr>
      <w:tblGrid>
        <w:gridCol w:w="581"/>
        <w:gridCol w:w="1128"/>
        <w:gridCol w:w="6490"/>
        <w:gridCol w:w="492"/>
        <w:gridCol w:w="595"/>
      </w:tblGrid>
      <w:tr>
        <w:tblPrEx>
          <w:tblCellMar>
            <w:top w:w="0" w:type="dxa"/>
            <w:left w:w="108" w:type="dxa"/>
            <w:bottom w:w="0" w:type="dxa"/>
            <w:right w:w="108" w:type="dxa"/>
          </w:tblCellMar>
        </w:tblPrEx>
        <w:trPr>
          <w:trHeight w:val="414" w:hRule="atLeast"/>
          <w:jc w:val="center"/>
        </w:trPr>
        <w:tc>
          <w:tcPr>
            <w:tcW w:w="8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000000"/>
                <w:sz w:val="24"/>
                <w:szCs w:val="24"/>
                <w:highlight w:val="none"/>
              </w:rPr>
            </w:pPr>
            <w:r>
              <w:rPr>
                <w:rFonts w:hint="eastAsia" w:ascii="宋体" w:hAnsi="宋体" w:eastAsia="宋体" w:cs="宋体"/>
                <w:b/>
                <w:bCs/>
                <w:color w:val="000000"/>
                <w:kern w:val="0"/>
                <w:sz w:val="24"/>
                <w:szCs w:val="24"/>
                <w:highlight w:val="none"/>
                <w:lang w:bidi="ar"/>
              </w:rPr>
              <w:t>序号</w:t>
            </w:r>
          </w:p>
        </w:tc>
        <w:tc>
          <w:tcPr>
            <w:tcW w:w="169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000000"/>
                <w:sz w:val="24"/>
                <w:szCs w:val="24"/>
                <w:highlight w:val="none"/>
              </w:rPr>
            </w:pPr>
            <w:r>
              <w:rPr>
                <w:rFonts w:hint="eastAsia" w:ascii="宋体" w:hAnsi="宋体" w:eastAsia="宋体" w:cs="宋体"/>
                <w:b/>
                <w:bCs/>
                <w:color w:val="000000"/>
                <w:kern w:val="0"/>
                <w:sz w:val="24"/>
                <w:szCs w:val="24"/>
                <w:highlight w:val="none"/>
                <w:lang w:bidi="ar"/>
              </w:rPr>
              <w:t>名称</w:t>
            </w:r>
          </w:p>
        </w:tc>
        <w:tc>
          <w:tcPr>
            <w:tcW w:w="4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sz w:val="24"/>
                <w:szCs w:val="24"/>
                <w:highlight w:val="none"/>
              </w:rPr>
            </w:pPr>
            <w:r>
              <w:rPr>
                <w:rFonts w:hint="eastAsia" w:ascii="宋体" w:hAnsi="宋体" w:eastAsia="宋体" w:cs="宋体"/>
                <w:b/>
                <w:bCs/>
                <w:color w:val="000000"/>
                <w:kern w:val="0"/>
                <w:sz w:val="24"/>
                <w:szCs w:val="24"/>
                <w:highlight w:val="none"/>
                <w:lang w:bidi="ar"/>
              </w:rPr>
              <w:t>参数</w:t>
            </w:r>
          </w:p>
        </w:tc>
        <w:tc>
          <w:tcPr>
            <w:tcW w:w="6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000000"/>
                <w:sz w:val="24"/>
                <w:szCs w:val="24"/>
                <w:highlight w:val="none"/>
              </w:rPr>
            </w:pPr>
            <w:r>
              <w:rPr>
                <w:rFonts w:hint="eastAsia" w:ascii="宋体" w:hAnsi="宋体" w:eastAsia="宋体" w:cs="宋体"/>
                <w:b/>
                <w:bCs/>
                <w:color w:val="000000"/>
                <w:kern w:val="0"/>
                <w:sz w:val="24"/>
                <w:szCs w:val="24"/>
                <w:highlight w:val="none"/>
                <w:lang w:bidi="ar"/>
              </w:rPr>
              <w:t>单位</w:t>
            </w:r>
          </w:p>
        </w:tc>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000000"/>
                <w:sz w:val="24"/>
                <w:szCs w:val="24"/>
                <w:highlight w:val="none"/>
              </w:rPr>
            </w:pPr>
            <w:r>
              <w:rPr>
                <w:rFonts w:hint="eastAsia" w:ascii="宋体" w:hAnsi="宋体" w:eastAsia="宋体" w:cs="宋体"/>
                <w:b/>
                <w:bCs/>
                <w:color w:val="000000"/>
                <w:kern w:val="0"/>
                <w:sz w:val="24"/>
                <w:szCs w:val="24"/>
                <w:highlight w:val="none"/>
                <w:lang w:bidi="ar"/>
              </w:rPr>
              <w:t>数量</w:t>
            </w:r>
          </w:p>
        </w:tc>
      </w:tr>
      <w:tr>
        <w:tblPrEx>
          <w:tblCellMar>
            <w:top w:w="0" w:type="dxa"/>
            <w:left w:w="108" w:type="dxa"/>
            <w:bottom w:w="0" w:type="dxa"/>
            <w:right w:w="108" w:type="dxa"/>
          </w:tblCellMar>
        </w:tblPrEx>
        <w:trPr>
          <w:trHeight w:val="4052" w:hRule="atLeast"/>
          <w:jc w:val="center"/>
        </w:trPr>
        <w:tc>
          <w:tcPr>
            <w:tcW w:w="8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w:t>
            </w:r>
          </w:p>
        </w:tc>
        <w:tc>
          <w:tcPr>
            <w:tcW w:w="16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bidi="ar"/>
              </w:rPr>
              <w:t>定焦枪型网络摄像机</w:t>
            </w:r>
            <w:r>
              <w:rPr>
                <w:rFonts w:hint="eastAsia" w:ascii="宋体" w:hAnsi="宋体" w:eastAsia="宋体" w:cs="宋体"/>
                <w:color w:val="auto"/>
                <w:kern w:val="0"/>
                <w:sz w:val="24"/>
                <w:szCs w:val="24"/>
                <w:highlight w:val="none"/>
                <w:lang w:eastAsia="zh-CN" w:bidi="ar"/>
              </w:rPr>
              <w:t>（</w:t>
            </w:r>
            <w:r>
              <w:rPr>
                <w:rFonts w:hint="eastAsia" w:ascii="宋体" w:hAnsi="宋体" w:eastAsia="宋体" w:cs="宋体"/>
                <w:color w:val="auto"/>
                <w:kern w:val="0"/>
                <w:sz w:val="24"/>
                <w:szCs w:val="24"/>
                <w:highlight w:val="none"/>
                <w:lang w:val="en-US" w:eastAsia="zh-CN" w:bidi="ar"/>
              </w:rPr>
              <w:t>核心产品</w:t>
            </w:r>
            <w:r>
              <w:rPr>
                <w:rFonts w:hint="eastAsia" w:ascii="宋体" w:hAnsi="宋体" w:eastAsia="宋体" w:cs="宋体"/>
                <w:color w:val="auto"/>
                <w:kern w:val="0"/>
                <w:sz w:val="24"/>
                <w:szCs w:val="24"/>
                <w:highlight w:val="none"/>
                <w:lang w:eastAsia="zh-CN" w:bidi="ar"/>
              </w:rPr>
              <w:t>）</w:t>
            </w:r>
          </w:p>
        </w:tc>
        <w:tc>
          <w:tcPr>
            <w:tcW w:w="4425"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传感器类型：1/2.8英寸CMOS；</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像素：200万；</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最大分辨率：1920×1080；</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最低照度：0.002Lux（彩色模式）;0.0002Lux（黑白模式）;0Lux（补光灯开启）；</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最大补光距离：50m（红外）；</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镜头类型：定焦；</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视频压缩标准：H.265;H.264;H.264B;MJPEG（仅辅码流支持）；</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默认分辨率下默认码流：4096kbps（1080P）；</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低照等级：星光；</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供电方式：DC12V/POE</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个</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58</w:t>
            </w:r>
          </w:p>
        </w:tc>
      </w:tr>
      <w:tr>
        <w:tblPrEx>
          <w:tblCellMar>
            <w:top w:w="0" w:type="dxa"/>
            <w:left w:w="108" w:type="dxa"/>
            <w:bottom w:w="0" w:type="dxa"/>
            <w:right w:w="108" w:type="dxa"/>
          </w:tblCellMar>
        </w:tblPrEx>
        <w:trPr>
          <w:trHeight w:val="90" w:hRule="atLeast"/>
          <w:jc w:val="center"/>
        </w:trPr>
        <w:tc>
          <w:tcPr>
            <w:tcW w:w="8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2</w:t>
            </w:r>
          </w:p>
        </w:tc>
        <w:tc>
          <w:tcPr>
            <w:tcW w:w="16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双光全彩对讲定焦枪型网络摄像机</w:t>
            </w:r>
          </w:p>
        </w:tc>
        <w:tc>
          <w:tcPr>
            <w:tcW w:w="4425"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传感器类型：1/3英寸CMOS；</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像素：400万；</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最大分辨率：2688×1520；</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最低照度：0.002Lux（彩色模式）;0.0002Lux（黑白模式）;0Lux（补光灯开启）；</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最大补光距离：80m（红外）;30m（暖光）；</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镜头类型：定焦；</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镜头焦距：3.6mm；</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视频压缩标准：H.265;H.264;H.264B;MJPEG（仅辅码流支持）；</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智能编码：H.264：支持H.265：支持；</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宽动态：120dB；</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内置MIC：支持；</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内置扬声器：支持；</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报警事件：无SD卡;SD卡空间不足;SD卡出错;网络断开;IP冲突;非法访问;动态检测;视频遮挡;音频异常侦测;电压检测;智能动检;安全异常;声音报警（内置3种语音可选，支持用户自定义语音导入）;</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接入标准：ONVIF（Profile S/Profile G/Profile T）; CGI;GB/T28181（双国标）；</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最大Micro SD卡：128 GB；</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供电方式：DC12V/POE；</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防护等级：IP67</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个</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24</w:t>
            </w:r>
          </w:p>
        </w:tc>
      </w:tr>
      <w:tr>
        <w:tblPrEx>
          <w:tblCellMar>
            <w:top w:w="0" w:type="dxa"/>
            <w:left w:w="108" w:type="dxa"/>
            <w:bottom w:w="0" w:type="dxa"/>
            <w:right w:w="108" w:type="dxa"/>
          </w:tblCellMar>
        </w:tblPrEx>
        <w:trPr>
          <w:trHeight w:val="818" w:hRule="atLeast"/>
          <w:jc w:val="center"/>
        </w:trPr>
        <w:tc>
          <w:tcPr>
            <w:tcW w:w="8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3</w:t>
            </w:r>
          </w:p>
        </w:tc>
        <w:tc>
          <w:tcPr>
            <w:tcW w:w="16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枪机壁装支架</w:t>
            </w:r>
          </w:p>
        </w:tc>
        <w:tc>
          <w:tcPr>
            <w:tcW w:w="4425"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安装方式：壁装；</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承重：1kg；</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旋转角度：/；</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适用机型：M型/K型/B型/D型/F型枪机；</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执行标准：Q/DXJ 064-2018</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个</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82</w:t>
            </w:r>
          </w:p>
        </w:tc>
      </w:tr>
      <w:tr>
        <w:tblPrEx>
          <w:tblCellMar>
            <w:top w:w="0" w:type="dxa"/>
            <w:left w:w="108" w:type="dxa"/>
            <w:bottom w:w="0" w:type="dxa"/>
            <w:right w:w="108" w:type="dxa"/>
          </w:tblCellMar>
        </w:tblPrEx>
        <w:trPr>
          <w:trHeight w:val="90" w:hRule="atLeast"/>
          <w:jc w:val="center"/>
        </w:trPr>
        <w:tc>
          <w:tcPr>
            <w:tcW w:w="8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4</w:t>
            </w:r>
          </w:p>
        </w:tc>
        <w:tc>
          <w:tcPr>
            <w:tcW w:w="16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红外定焦网络摄像机</w:t>
            </w:r>
          </w:p>
        </w:tc>
        <w:tc>
          <w:tcPr>
            <w:tcW w:w="4425"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传感器类型：1/2.8英寸CMOS；</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像素：200万；</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最大分辨率：1920×1080；</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最低照度：0.002Lux（彩色模式）；0.0002Lux（黑白模式）；0Lux（补光灯开启）；</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最大补光距离：50m（红外）；</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镜头焦距：6mm；</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视场角：水平54°×垂直29°×对角63°；</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视频压缩标准：H.265；H.264；H.264B；MJPEG（仅辅码流支持）；</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内置MIC：支持；</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供电方式：DC12V/POE</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个</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34</w:t>
            </w:r>
          </w:p>
        </w:tc>
      </w:tr>
      <w:tr>
        <w:tblPrEx>
          <w:tblCellMar>
            <w:top w:w="0" w:type="dxa"/>
            <w:left w:w="108" w:type="dxa"/>
            <w:bottom w:w="0" w:type="dxa"/>
            <w:right w:w="108" w:type="dxa"/>
          </w:tblCellMar>
        </w:tblPrEx>
        <w:trPr>
          <w:trHeight w:val="90" w:hRule="atLeast"/>
          <w:jc w:val="center"/>
        </w:trPr>
        <w:tc>
          <w:tcPr>
            <w:tcW w:w="8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5</w:t>
            </w:r>
          </w:p>
        </w:tc>
        <w:tc>
          <w:tcPr>
            <w:tcW w:w="16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磁盘阵列</w:t>
            </w:r>
            <w:r>
              <w:rPr>
                <w:rFonts w:hint="eastAsia" w:ascii="宋体" w:hAnsi="宋体" w:eastAsia="宋体" w:cs="宋体"/>
                <w:color w:val="auto"/>
                <w:kern w:val="0"/>
                <w:sz w:val="24"/>
                <w:szCs w:val="24"/>
                <w:highlight w:val="none"/>
                <w:lang w:eastAsia="zh-CN" w:bidi="ar"/>
              </w:rPr>
              <w:t>（</w:t>
            </w:r>
            <w:r>
              <w:rPr>
                <w:rFonts w:hint="eastAsia" w:ascii="宋体" w:hAnsi="宋体" w:eastAsia="宋体" w:cs="宋体"/>
                <w:color w:val="auto"/>
                <w:kern w:val="0"/>
                <w:sz w:val="24"/>
                <w:szCs w:val="24"/>
                <w:highlight w:val="none"/>
                <w:lang w:val="en-US" w:eastAsia="zh-CN" w:bidi="ar"/>
              </w:rPr>
              <w:t>核心产品</w:t>
            </w:r>
            <w:r>
              <w:rPr>
                <w:rFonts w:hint="eastAsia" w:ascii="宋体" w:hAnsi="宋体" w:eastAsia="宋体" w:cs="宋体"/>
                <w:color w:val="auto"/>
                <w:kern w:val="0"/>
                <w:sz w:val="24"/>
                <w:szCs w:val="24"/>
                <w:highlight w:val="none"/>
                <w:lang w:eastAsia="zh-CN" w:bidi="ar"/>
              </w:rPr>
              <w:t>）</w:t>
            </w:r>
          </w:p>
        </w:tc>
        <w:tc>
          <w:tcPr>
            <w:tcW w:w="4425"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主处理器：64位高性能多核处理器；</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操作系统：嵌入式LINUX操作系统；</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操作界面：WEB方式（PCAPP）；</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控制器：单控；</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高速缓存：标配8GB，</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前智能分析：人脸检测、人脸识别、结构化、通用行为分析、热成像、人数统计、枪球联动、鱼眼矫正；</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人脸检测（前智能）：配套前端摄像机；支持火情报警；温度报警；温差报警；热点报警；冷点报警；吸烟；打电话；</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人脸识别（前智能）：配套前端摄像机；支持图片流人脸识别；视频流人脸识别； 人员频次高频报警；</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结构化（前智能）：配套前端摄像机；支持目标类型： 人体：性别；年龄；袖长；上装颜色；下装类型；下装颜色；包；雨伞；雨披；帽子；发型；朝向；抱小孩；口罩； 机动车：车型；车色；车标；车牌颜色；车内饰品；打电话；安全带；   非机动车：车型；车色；车上人数；包；袖长；上装颜色；帽子；发型；雨伞；雨披；口罩； 支持属性合规报警；支持符合和不符合筛选属性条件报警；</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通用行为分析（前智能）：配套前端摄像机；支持绊线入侵；区域入侵；物品遗留；物品搬移；快速移动；人员聚集；徘徊检测；停车检测；穿越围栏；</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热成像：配套前端摄像机；支持火情报警、温度报警、温差报警、热点报警、冷点报警，吸烟，打电话；</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人数统计：配套前端摄像机；支持前智能绊线人数统计、区域人数统计、排队人数统计；</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枪球联动：配套前端摄像机；支持手动跟踪、自动跟踪、点击定位、框选定位；</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鱼眼矫正：配套鱼眼摄像机；支持鱼眼后矫正；</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集群：支持N+M集群；</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三方摄像机接入：安讯士、onvif、onvifs、GB28181、松下、三星、Arecont、佳能、索尼、Pelco、海康威视、RTSP；</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视频压缩标准：Smart H.265;H.265;Smart H.264;H.264;MJPEG；</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音频压缩标准：G.711a;G.711u;G.729;AAC;G.726;MP2L2;G.7221</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网络协议：HTTP;HTTPS;TCP/IP;IPv4;RTSP;UDP;SMTP;NTP;DHCP;DNS;DDNS;P2P;iSCSI;FTP;SMB;NFS;GAT1400;主动注册；</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手机接入：乐橙；</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接入标准：ONVIF(profile S)、GB/T28181、CGI、SDK；</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浏览器：Chrome、PCAPP、IE9以上、firefox；</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网络模式：多址模式;负载均衡;容错;链路聚合；</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多路回放：最大支持16路回放；</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录像方式：支持自动录像、手动录像、视频检测IO、报警、智能事件、热成像、全部录像查询；</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存储方式：支持本机硬盘，支持网络硬盘；</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备份方式：支持硬盘、外接USB存储设备；</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回放功能：1. 支持播放、暂停、停止、快进、快退、倒放、逐帧播放2. 支持全屏、备份（剪切、文件）、图片存储、局部放大、开关音频功能；</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视频直存（私有协议）：512路（1024Mbps）接入，512路（1024Mbps） 存储，512路（1024Mbps）   转发，32路（64Mbps）网络回放；</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视频直存（onvif协议）：512路（1024Mbps）接入，512路（1024Mbps） 存储，512路（1024Mbps）   转发，32路（64Mbps）网络回放</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视频直存（主动注册）：512路（1024Mbps）接入，512路（1024Mbps） 存储，512路（1024Mbps）   转发，32路（64Mbps）网络回放；</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视频直存（国标协议）：512路（1024Mbps）接入，512路（1024Mbps） 存储，512路（1024Mbps）   转发，32路（64Mbps）网络回放；</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图片直存：120路（图片大小550KB ）接入，120路（图片大小550KB ） 存储，120路（图片大小550KB ） 转发，32路（图片大小550KB ） 网络回放；</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盘组：支持，36个；</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iSCSI：支持客户端，支持服务端；</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网络硬盘：支持客户端；</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RAID：RAID0;RAID1;RAID5;RAID6;RAID10;RAID50;RAID60;SRAID；</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录像管理功能：支持录像控制（连续、事件、定时、定时事件）；</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存储池：支持；</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IPSAN性能：280路（560Mbps）视频流写入（平台写入IO块大小64KB）400路（800Mbps）视频流写入（平台写入IO块大小512KB）；</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普通报警：支持动检、视频遮挡、IPC外部报警、火情报警、温度报警、温差报警、热点报警、冷点报警；</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异常报警：支持设备断线、存储错误、存储满、录像丢帧、SSD异常、IP冲突、MAC冲突、登陆锁定、风扇转速异常、无硬盘、网络安全异常、电源异常、硬盘健康异常、RAID异常、存储池异常、温度报警、共享服务</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智能报警：人脸检测、人脸识别、通用行为分析（物品遗留、物品搬移、徘徊检测、人员聚集、停车检测、穿越围栏、快速移动、绊线入侵、区域入侵）、视频结构化（人、车、非机动车）、车辆识别、鱼眼人数统计、客流统计、人像检测、人群分布、智能热成像（打电话检测、可见光通道-吸烟检测、热成像通道-吸烟检测）</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报警联动：录像、图片存储（全景图）、报警上传、远程报警输出、远程语音、蜂鸣、日志、预置点、邮件、智能跟踪、远程语音、远程警戒灯；支持对本机联动项按日程或一键对联动项进行撤防；支持对前端相机进行一键布撤防管理；</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硬盘接口：36个，SATA，SAS，单盘容量支持1~20TB，支持热插拔，支持NL-SAS 硬盘、HDD硬盘、SSD硬盘、氦气硬盘、空气硬盘；支持 CMR或SMR硬盘；支持硬盘交错/分时启动</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eSATA接口：1个；</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SAS接口：1个；</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RS-232接口：1个，用于调试及透传串口数据；</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USB接口：4个，2个前置USB2.0接口；2个后置USB3.0接口；</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HDMI接口：1个；</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网络接口：4个RJ-45，10/100/1000Mbps自适应以太网口（千兆电口） 1个RJ-45，10/100Mbps自适应以太网口（百兆电口） 2个SFP，10/100/1000/10000   Mbps自适应以太网口（万兆光口）</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电源接口：1+1冗余电源；</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盘位：36个；</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外观形态：4U机架；</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个</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2</w:t>
            </w:r>
          </w:p>
        </w:tc>
      </w:tr>
      <w:tr>
        <w:tblPrEx>
          <w:tblCellMar>
            <w:top w:w="0" w:type="dxa"/>
            <w:left w:w="108" w:type="dxa"/>
            <w:bottom w:w="0" w:type="dxa"/>
            <w:right w:w="108" w:type="dxa"/>
          </w:tblCellMar>
        </w:tblPrEx>
        <w:trPr>
          <w:trHeight w:val="1341" w:hRule="atLeast"/>
          <w:jc w:val="center"/>
        </w:trPr>
        <w:tc>
          <w:tcPr>
            <w:tcW w:w="8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6</w:t>
            </w:r>
          </w:p>
        </w:tc>
        <w:tc>
          <w:tcPr>
            <w:tcW w:w="16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企业级硬盘</w:t>
            </w:r>
          </w:p>
        </w:tc>
        <w:tc>
          <w:tcPr>
            <w:tcW w:w="4425"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单盘容量：8TB；</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硬盘接口：SATA；</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转速：7200RPM；</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缓存：256MB</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块</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75</w:t>
            </w:r>
          </w:p>
        </w:tc>
      </w:tr>
      <w:tr>
        <w:tblPrEx>
          <w:tblCellMar>
            <w:top w:w="0" w:type="dxa"/>
            <w:left w:w="108" w:type="dxa"/>
            <w:bottom w:w="0" w:type="dxa"/>
            <w:right w:w="108" w:type="dxa"/>
          </w:tblCellMar>
        </w:tblPrEx>
        <w:trPr>
          <w:trHeight w:val="90" w:hRule="atLeast"/>
          <w:jc w:val="center"/>
        </w:trPr>
        <w:tc>
          <w:tcPr>
            <w:tcW w:w="8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7</w:t>
            </w:r>
          </w:p>
        </w:tc>
        <w:tc>
          <w:tcPr>
            <w:tcW w:w="169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POE交换机</w:t>
            </w:r>
            <w:r>
              <w:rPr>
                <w:rFonts w:hint="eastAsia" w:ascii="宋体" w:hAnsi="宋体" w:eastAsia="宋体" w:cs="宋体"/>
                <w:color w:val="auto"/>
                <w:kern w:val="0"/>
                <w:sz w:val="24"/>
                <w:szCs w:val="24"/>
                <w:highlight w:val="none"/>
                <w:lang w:eastAsia="zh-CN" w:bidi="ar"/>
              </w:rPr>
              <w:t>（</w:t>
            </w:r>
            <w:r>
              <w:rPr>
                <w:rFonts w:hint="eastAsia" w:ascii="宋体" w:hAnsi="宋体" w:eastAsia="宋体" w:cs="宋体"/>
                <w:color w:val="auto"/>
                <w:kern w:val="0"/>
                <w:sz w:val="24"/>
                <w:szCs w:val="24"/>
                <w:highlight w:val="none"/>
                <w:lang w:val="en-US" w:eastAsia="zh-CN" w:bidi="ar"/>
              </w:rPr>
              <w:t>核心产品</w:t>
            </w:r>
            <w:r>
              <w:rPr>
                <w:rFonts w:hint="eastAsia" w:ascii="宋体" w:hAnsi="宋体" w:eastAsia="宋体" w:cs="宋体"/>
                <w:color w:val="auto"/>
                <w:kern w:val="0"/>
                <w:sz w:val="24"/>
                <w:szCs w:val="24"/>
                <w:highlight w:val="none"/>
                <w:lang w:eastAsia="zh-CN" w:bidi="ar"/>
              </w:rPr>
              <w:t>）</w:t>
            </w:r>
          </w:p>
        </w:tc>
        <w:tc>
          <w:tcPr>
            <w:tcW w:w="44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 ★标准19英寸1U高机架设备，可上机架 ，实配固化千兆电接口数≥24个，千兆光口≥2个，最大可用端口≥26个，且实配支持POE+的端口≥24个，整机POE功率不得小于370W，交换容量≥52Gbps，包转发率≥38.69Mpps，提供官网查询链接及截图作为证明材料。</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2、 ★为了保证交换机使用寿命，要求所投产品的防雷等级≥6KV，提供官网查询链接及截图作为证明材料</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3、 ★为了保证设备在流量突发时不卡顿，要求所投设备至少支持4M（含4M）以上的端口缓存，提供官网截图；</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4、 提供进网许可证复印件；</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5、 提供国家强制性产品认证证书复印件；</w:t>
            </w:r>
          </w:p>
        </w:tc>
        <w:tc>
          <w:tcPr>
            <w:tcW w:w="6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台</w:t>
            </w:r>
          </w:p>
        </w:tc>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10</w:t>
            </w:r>
          </w:p>
        </w:tc>
      </w:tr>
      <w:tr>
        <w:tblPrEx>
          <w:tblCellMar>
            <w:top w:w="0" w:type="dxa"/>
            <w:left w:w="108" w:type="dxa"/>
            <w:bottom w:w="0" w:type="dxa"/>
            <w:right w:w="108" w:type="dxa"/>
          </w:tblCellMar>
        </w:tblPrEx>
        <w:trPr>
          <w:trHeight w:val="90" w:hRule="atLeast"/>
          <w:jc w:val="center"/>
        </w:trPr>
        <w:tc>
          <w:tcPr>
            <w:tcW w:w="8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8</w:t>
            </w:r>
          </w:p>
        </w:tc>
        <w:tc>
          <w:tcPr>
            <w:tcW w:w="169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光纤</w:t>
            </w:r>
          </w:p>
        </w:tc>
        <w:tc>
          <w:tcPr>
            <w:tcW w:w="44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1、应用于园区中楼宇间的连接，长距离网络、主干线系统、本地环路或支路网络、严重潮湿的户外环境、温度 变化极大的环境、架空连接（和悬缆线一起使用）、地下管道或直埋、悬吊缆/服务缆。</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2、 管内灌注防水凝胶，以防止水渗入。</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3、 平行钢丝提高对光纤的保护。</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4、 聚乙烯外衣在紫外线或恶劣的室外环境下有保护作用。</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5、 低磨擦的外皮使之可轻松穿过管道。</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另提供二芯，六芯，八芯，十二，十四芯，十六芯等单模光缆</w:t>
            </w:r>
            <w:r>
              <w:rPr>
                <w:rFonts w:hint="eastAsia" w:ascii="宋体" w:hAnsi="宋体" w:eastAsia="宋体" w:cs="宋体"/>
                <w:color w:val="000000"/>
                <w:kern w:val="0"/>
                <w:sz w:val="24"/>
                <w:szCs w:val="24"/>
                <w:highlight w:val="none"/>
                <w:lang w:eastAsia="zh-CN" w:bidi="ar"/>
              </w:rPr>
              <w:t>。</w:t>
            </w:r>
          </w:p>
        </w:tc>
        <w:tc>
          <w:tcPr>
            <w:tcW w:w="6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米</w:t>
            </w:r>
          </w:p>
        </w:tc>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500</w:t>
            </w:r>
          </w:p>
        </w:tc>
      </w:tr>
      <w:tr>
        <w:tblPrEx>
          <w:tblCellMar>
            <w:top w:w="0" w:type="dxa"/>
            <w:left w:w="108" w:type="dxa"/>
            <w:bottom w:w="0" w:type="dxa"/>
            <w:right w:w="108" w:type="dxa"/>
          </w:tblCellMar>
        </w:tblPrEx>
        <w:trPr>
          <w:trHeight w:val="818" w:hRule="atLeast"/>
          <w:jc w:val="center"/>
        </w:trPr>
        <w:tc>
          <w:tcPr>
            <w:tcW w:w="8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9</w:t>
            </w:r>
          </w:p>
        </w:tc>
        <w:tc>
          <w:tcPr>
            <w:tcW w:w="169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墙柜</w:t>
            </w:r>
          </w:p>
        </w:tc>
        <w:tc>
          <w:tcPr>
            <w:tcW w:w="44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600*550*400mm，烟灰色钢化玻璃前门；主体颜色可选：国际流行电脑灰或黑色； 可同时安装脚轮和支撑脚，结构坚固，最大静栽达800KG，移动承载550KG；可关闭的上部、下部多处走线通道，底部大走线孔尺寸可按需调整；可方便拆卸的左右侧门和前后门；全方位操作，多方位察看；高效坚固的并柜连接；齐全的可选配件；材料：全部选用优质冷轧钢板制作；厚度：方孔条2.0mm,其它1.2mm；表面处理：脱脂、酸洗、防锈磷化、纯水清洗、静电喷塑</w:t>
            </w:r>
          </w:p>
        </w:tc>
        <w:tc>
          <w:tcPr>
            <w:tcW w:w="6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台</w:t>
            </w:r>
          </w:p>
        </w:tc>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4</w:t>
            </w:r>
          </w:p>
        </w:tc>
      </w:tr>
      <w:tr>
        <w:tblPrEx>
          <w:tblCellMar>
            <w:top w:w="0" w:type="dxa"/>
            <w:left w:w="108" w:type="dxa"/>
            <w:bottom w:w="0" w:type="dxa"/>
            <w:right w:w="108" w:type="dxa"/>
          </w:tblCellMar>
        </w:tblPrEx>
        <w:trPr>
          <w:trHeight w:val="1723" w:hRule="atLeast"/>
          <w:jc w:val="center"/>
        </w:trPr>
        <w:tc>
          <w:tcPr>
            <w:tcW w:w="8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10</w:t>
            </w:r>
          </w:p>
        </w:tc>
        <w:tc>
          <w:tcPr>
            <w:tcW w:w="169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吸顶AP</w:t>
            </w:r>
          </w:p>
        </w:tc>
        <w:tc>
          <w:tcPr>
            <w:tcW w:w="44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 ★支持标准802.11ax 、802.11ac wave2、wave1、802.11a/b/g/n协议，提供官网链接及截图证明；</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2、 ★支持2条空间流,单频最大接入速率≥1201Mbps,整机最大接入速率≥1775Mbps，提供官网链接及截图证明；</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3、 ★支持蓝牙5.0（Ble），提供官网链接及截图证明；</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4、 实配2个10/100/1000Base-T以太网口；</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5、 支持PoE以太网供电（支持802.3at兼容供电）和本地供电（DC 12V）；</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6、 支持云AC管理,保留测试权力。</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7、 支持APP本地或者远程统一运维管理，能够呈现设备的在线状态、相关网络拓扑、无线功能配置等。</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8、 ★要求所投产品可以通过同一品牌的网管软件实现：在线状态查询、配置修改，无线用户终端详情：包含用户mac地址、信号强度、频段、总流量、终端os类型、终端厂商等，实配网管平台，提供功能截图，提供软件产品登记测试报告；</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9、 ★要求所投产品支持网管平台集中管理，实配网管平台，出现设备掉线、CPU状态、内存状态等问题通过微信告警推送，提供功能截图；</w:t>
            </w:r>
          </w:p>
        </w:tc>
        <w:tc>
          <w:tcPr>
            <w:tcW w:w="6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台</w:t>
            </w:r>
          </w:p>
        </w:tc>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8</w:t>
            </w:r>
          </w:p>
        </w:tc>
      </w:tr>
      <w:tr>
        <w:tblPrEx>
          <w:tblCellMar>
            <w:top w:w="0" w:type="dxa"/>
            <w:left w:w="108" w:type="dxa"/>
            <w:bottom w:w="0" w:type="dxa"/>
            <w:right w:w="108" w:type="dxa"/>
          </w:tblCellMar>
        </w:tblPrEx>
        <w:trPr>
          <w:trHeight w:val="3243" w:hRule="atLeast"/>
          <w:jc w:val="center"/>
        </w:trPr>
        <w:tc>
          <w:tcPr>
            <w:tcW w:w="8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11</w:t>
            </w:r>
          </w:p>
        </w:tc>
        <w:tc>
          <w:tcPr>
            <w:tcW w:w="169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POE交换机</w:t>
            </w:r>
          </w:p>
        </w:tc>
        <w:tc>
          <w:tcPr>
            <w:tcW w:w="44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 ★标准1U高机架设备，实配固化千兆电接口数≥8个，千兆光口≥2个，最大可用端口≥10个 ，且实配支持POE+的端口≥8个，整机POE功率不得小于120W，提供官网查询链接及截图作为证明材料；</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2、 交换容量≥20Gbps，包转发率≥14.8Mpps，提供官网查询链接及截图作为证明材料；</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3、 ★为了保证交换机使用寿命，要求所投产品的防雷等级≥6KV，提供官网查询链接及截图作为证明材料；</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4、 提供进网许可证复印件；</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5、 提供国家强制性产品认证证书复印件；</w:t>
            </w:r>
          </w:p>
        </w:tc>
        <w:tc>
          <w:tcPr>
            <w:tcW w:w="6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台</w:t>
            </w:r>
          </w:p>
        </w:tc>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2</w:t>
            </w:r>
          </w:p>
        </w:tc>
      </w:tr>
      <w:tr>
        <w:tblPrEx>
          <w:tblCellMar>
            <w:top w:w="0" w:type="dxa"/>
            <w:left w:w="108" w:type="dxa"/>
            <w:bottom w:w="0" w:type="dxa"/>
            <w:right w:w="108" w:type="dxa"/>
          </w:tblCellMar>
        </w:tblPrEx>
        <w:trPr>
          <w:trHeight w:val="2031" w:hRule="atLeast"/>
          <w:jc w:val="center"/>
        </w:trPr>
        <w:tc>
          <w:tcPr>
            <w:tcW w:w="8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12</w:t>
            </w:r>
          </w:p>
        </w:tc>
        <w:tc>
          <w:tcPr>
            <w:tcW w:w="169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交换机</w:t>
            </w:r>
          </w:p>
        </w:tc>
        <w:tc>
          <w:tcPr>
            <w:tcW w:w="44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 ★标准19英寸1U高机架设备，可上机架 ，实配固化千兆电接口数≥16个，千兆光口≥2个，最大可用端口≥18个，提供官网查询链接及截图作为证明材料；</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2、 ★交换容量≥36Gbps，包转发率≥26.78Mpps，提供官网查询链接及截图作为证明材料；</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3、 为了保证在高温环境下设备仍能稳定工作，要求最大工作温度≥45°C，并提供官网截图；</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4、 ★为了保证设备在流量突发时不卡顿，要求所投设备至少支持4M（含4M）以上的端口缓存，提供官网截图；</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5、 提供国家强制性产品认证证书复印件；</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6、 提供进网许可证复印件</w:t>
            </w:r>
          </w:p>
        </w:tc>
        <w:tc>
          <w:tcPr>
            <w:tcW w:w="6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台</w:t>
            </w:r>
          </w:p>
        </w:tc>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2</w:t>
            </w:r>
          </w:p>
        </w:tc>
      </w:tr>
      <w:tr>
        <w:tblPrEx>
          <w:tblCellMar>
            <w:top w:w="0" w:type="dxa"/>
            <w:left w:w="108" w:type="dxa"/>
            <w:bottom w:w="0" w:type="dxa"/>
            <w:right w:w="108" w:type="dxa"/>
          </w:tblCellMar>
        </w:tblPrEx>
        <w:trPr>
          <w:trHeight w:val="414" w:hRule="atLeast"/>
          <w:jc w:val="center"/>
        </w:trPr>
        <w:tc>
          <w:tcPr>
            <w:tcW w:w="8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13</w:t>
            </w:r>
          </w:p>
        </w:tc>
        <w:tc>
          <w:tcPr>
            <w:tcW w:w="169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授权</w:t>
            </w:r>
          </w:p>
        </w:tc>
        <w:tc>
          <w:tcPr>
            <w:tcW w:w="44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RAC系列无线控制器授权，支持扩展管理16个AP</w:t>
            </w:r>
          </w:p>
        </w:tc>
        <w:tc>
          <w:tcPr>
            <w:tcW w:w="6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套</w:t>
            </w:r>
          </w:p>
        </w:tc>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w:t>
            </w:r>
          </w:p>
        </w:tc>
      </w:tr>
      <w:tr>
        <w:tblPrEx>
          <w:tblCellMar>
            <w:top w:w="0" w:type="dxa"/>
            <w:left w:w="108" w:type="dxa"/>
            <w:bottom w:w="0" w:type="dxa"/>
            <w:right w:w="108" w:type="dxa"/>
          </w:tblCellMar>
        </w:tblPrEx>
        <w:trPr>
          <w:trHeight w:val="414" w:hRule="atLeast"/>
          <w:jc w:val="center"/>
        </w:trPr>
        <w:tc>
          <w:tcPr>
            <w:tcW w:w="8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14</w:t>
            </w:r>
          </w:p>
        </w:tc>
        <w:tc>
          <w:tcPr>
            <w:tcW w:w="169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网络面板</w:t>
            </w:r>
          </w:p>
        </w:tc>
        <w:tc>
          <w:tcPr>
            <w:tcW w:w="442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双口</w:t>
            </w:r>
          </w:p>
        </w:tc>
        <w:tc>
          <w:tcPr>
            <w:tcW w:w="6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个</w:t>
            </w:r>
          </w:p>
        </w:tc>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10</w:t>
            </w:r>
          </w:p>
        </w:tc>
      </w:tr>
      <w:tr>
        <w:tblPrEx>
          <w:tblCellMar>
            <w:top w:w="0" w:type="dxa"/>
            <w:left w:w="108" w:type="dxa"/>
            <w:bottom w:w="0" w:type="dxa"/>
            <w:right w:w="108" w:type="dxa"/>
          </w:tblCellMar>
        </w:tblPrEx>
        <w:trPr>
          <w:trHeight w:val="414" w:hRule="atLeast"/>
          <w:jc w:val="center"/>
        </w:trPr>
        <w:tc>
          <w:tcPr>
            <w:tcW w:w="8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15</w:t>
            </w:r>
          </w:p>
        </w:tc>
        <w:tc>
          <w:tcPr>
            <w:tcW w:w="169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网络模块</w:t>
            </w:r>
          </w:p>
        </w:tc>
        <w:tc>
          <w:tcPr>
            <w:tcW w:w="442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超六类</w:t>
            </w:r>
          </w:p>
        </w:tc>
        <w:tc>
          <w:tcPr>
            <w:tcW w:w="6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个</w:t>
            </w:r>
          </w:p>
        </w:tc>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20</w:t>
            </w:r>
          </w:p>
        </w:tc>
      </w:tr>
      <w:tr>
        <w:tblPrEx>
          <w:tblCellMar>
            <w:top w:w="0" w:type="dxa"/>
            <w:left w:w="108" w:type="dxa"/>
            <w:bottom w:w="0" w:type="dxa"/>
            <w:right w:w="108" w:type="dxa"/>
          </w:tblCellMar>
        </w:tblPrEx>
        <w:trPr>
          <w:trHeight w:val="4859" w:hRule="atLeast"/>
          <w:jc w:val="center"/>
        </w:trPr>
        <w:tc>
          <w:tcPr>
            <w:tcW w:w="8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16</w:t>
            </w:r>
          </w:p>
        </w:tc>
        <w:tc>
          <w:tcPr>
            <w:tcW w:w="169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数字广播</w:t>
            </w:r>
          </w:p>
        </w:tc>
        <w:tc>
          <w:tcPr>
            <w:tcW w:w="44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4"室内/室外扬声器</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颜色：黑、白两款</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低音：4"铝合金振膜，橡胶折环，15.5oz磁钢，25mm(1")音圈。</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高音：25mm(1")铝合金音膜，磁液冷却，钕铁硼磁钢。</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分频器：改性酚醛树脂PCB板，-12dB/Oct低通滤波器，-18dB/Oct高通滤波器，高音PTC过载保护。</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谐振频率：65Hz</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频率响应：65Hz-20kHz</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灵敏度：86dB/W/M</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推荐功放功率：10-60Watts</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阻抗：8ohm</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配件：铝网、铝网钩及使用说明书。</w:t>
            </w:r>
          </w:p>
        </w:tc>
        <w:tc>
          <w:tcPr>
            <w:tcW w:w="6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台</w:t>
            </w:r>
          </w:p>
        </w:tc>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4</w:t>
            </w:r>
          </w:p>
        </w:tc>
      </w:tr>
      <w:tr>
        <w:tblPrEx>
          <w:tblCellMar>
            <w:top w:w="0" w:type="dxa"/>
            <w:left w:w="108" w:type="dxa"/>
            <w:bottom w:w="0" w:type="dxa"/>
            <w:right w:w="108" w:type="dxa"/>
          </w:tblCellMar>
        </w:tblPrEx>
        <w:trPr>
          <w:trHeight w:val="90" w:hRule="atLeast"/>
          <w:jc w:val="center"/>
        </w:trPr>
        <w:tc>
          <w:tcPr>
            <w:tcW w:w="8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17</w:t>
            </w:r>
          </w:p>
        </w:tc>
        <w:tc>
          <w:tcPr>
            <w:tcW w:w="169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指纹机</w:t>
            </w:r>
          </w:p>
        </w:tc>
        <w:tc>
          <w:tcPr>
            <w:tcW w:w="44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操作系统 Linux QT 版 4200 支持 存储容量 3000 合法卡、10 万刷卡记录、15 万条考勤记录 指纹容量 3000 枚，每个用户最多支持 10 枚指纹 指纹比对方式 1:1 和 1：N，N=3000 枚 读卡响应时间 &lt; 1s 指纹验证时间 &lt; 1s 误认率（FAR） &lt;= 0.001 % 拒认率（FRR） &lt;= 0.6 % 指纹采集器 光学式指纹识别模块 外接读卡器 可外接标准 wiegand26/34、hik 私有 wiegand 读卡器</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 xml:space="preserve">DS-K1T804BMF：Mifare 卡序号，包括各种异形卡，支持金属环境使用，不支持扇区加密。 </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读卡距离 M 型号读卡距离为[0-4.5]厘米，E 读卡距离为[0-5]厘米 Reset 键 复位键*1 通讯接口 上行接口：TCP/IP WIFI 支持 韦根接口 韦根接口默认输出,输入（wiegand26/34，hik 私有 wiegand 协议） 485 接口 无 传输速率 TCP/IP：10/100M 网速自适应 输入接口 开门按钮*1、门磁*1、报警输入*1 输出接口 开门继电器（电锁输出）*1、报警输出*1 USB 接口 USB2.0 ，TypeA 显示屏 2.4 寸 （320*240 LCD-TFT 显示器），不支持触摸 声音提示 一个蜂鸣器，一个扬声器 LED 指示灯 电源/状态(红/绿) 键盘灯 支持 工作温度 -10℃至 55℃ 工作湿度 10%至 90%(在不凝结成水珠的状态环境下) 防水设计 IP42,室内 防拆设计</w:t>
            </w:r>
            <w:r>
              <w:rPr>
                <w:rFonts w:hint="eastAsia" w:ascii="宋体" w:hAnsi="宋体" w:eastAsia="宋体" w:cs="宋体"/>
                <w:color w:val="000000"/>
                <w:kern w:val="0"/>
                <w:sz w:val="24"/>
                <w:szCs w:val="24"/>
                <w:highlight w:val="none"/>
                <w:lang w:eastAsia="zh-CN" w:bidi="ar"/>
              </w:rPr>
              <w:t>。</w:t>
            </w:r>
            <w:r>
              <w:rPr>
                <w:rFonts w:hint="eastAsia" w:ascii="宋体" w:hAnsi="宋体" w:eastAsia="宋体" w:cs="宋体"/>
                <w:color w:val="000000"/>
                <w:kern w:val="0"/>
                <w:sz w:val="24"/>
                <w:szCs w:val="24"/>
                <w:highlight w:val="none"/>
                <w:lang w:bidi="ar"/>
              </w:rPr>
              <w:t xml:space="preserve"> </w:t>
            </w:r>
          </w:p>
        </w:tc>
        <w:tc>
          <w:tcPr>
            <w:tcW w:w="6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台</w:t>
            </w:r>
          </w:p>
        </w:tc>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6</w:t>
            </w:r>
          </w:p>
        </w:tc>
      </w:tr>
      <w:tr>
        <w:tblPrEx>
          <w:tblCellMar>
            <w:top w:w="0" w:type="dxa"/>
            <w:left w:w="108" w:type="dxa"/>
            <w:bottom w:w="0" w:type="dxa"/>
            <w:right w:w="108" w:type="dxa"/>
          </w:tblCellMar>
        </w:tblPrEx>
        <w:trPr>
          <w:trHeight w:val="818" w:hRule="atLeast"/>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18</w:t>
            </w:r>
          </w:p>
        </w:tc>
        <w:tc>
          <w:tcPr>
            <w:tcW w:w="169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双门磁力锁</w:t>
            </w:r>
          </w:p>
        </w:tc>
        <w:tc>
          <w:tcPr>
            <w:tcW w:w="4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开门方式：</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断电开门</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承受拉力：</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280kg</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防水：</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室内使用，不防水</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安装方式：</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支架安装，吊装</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开门角度：90°</w:t>
            </w:r>
          </w:p>
        </w:tc>
        <w:tc>
          <w:tcPr>
            <w:tcW w:w="6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把</w:t>
            </w: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6</w:t>
            </w:r>
          </w:p>
        </w:tc>
      </w:tr>
      <w:tr>
        <w:tblPrEx>
          <w:tblCellMar>
            <w:top w:w="0" w:type="dxa"/>
            <w:left w:w="108" w:type="dxa"/>
            <w:bottom w:w="0" w:type="dxa"/>
            <w:right w:w="108" w:type="dxa"/>
          </w:tblCellMar>
        </w:tblPrEx>
        <w:trPr>
          <w:trHeight w:val="90" w:hRule="atLeast"/>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19</w:t>
            </w:r>
          </w:p>
        </w:tc>
        <w:tc>
          <w:tcPr>
            <w:tcW w:w="169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磁力锁支架</w:t>
            </w:r>
          </w:p>
        </w:tc>
        <w:tc>
          <w:tcPr>
            <w:tcW w:w="4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4"/>
                <w:szCs w:val="24"/>
                <w:highlight w:val="none"/>
              </w:rPr>
            </w:pPr>
            <w:r>
              <w:rPr>
                <w:rStyle w:val="960"/>
                <w:rFonts w:hint="eastAsia" w:ascii="宋体" w:hAnsi="宋体" w:eastAsia="宋体" w:cs="宋体"/>
                <w:sz w:val="24"/>
                <w:szCs w:val="24"/>
                <w:highlight w:val="none"/>
                <w:lang w:bidi="ar"/>
              </w:rPr>
              <w:t>•</w:t>
            </w:r>
            <w:r>
              <w:rPr>
                <w:rStyle w:val="204"/>
                <w:rFonts w:hint="eastAsia" w:ascii="宋体" w:hAnsi="宋体" w:eastAsia="宋体" w:cs="宋体"/>
                <w:sz w:val="24"/>
                <w:szCs w:val="24"/>
                <w:highlight w:val="none"/>
                <w:lang w:bidi="ar"/>
              </w:rPr>
              <w:t xml:space="preserve"> 开门方式：90°开门</w:t>
            </w:r>
            <w:r>
              <w:rPr>
                <w:rStyle w:val="204"/>
                <w:rFonts w:hint="eastAsia" w:ascii="宋体" w:hAnsi="宋体" w:eastAsia="宋体" w:cs="宋体"/>
                <w:sz w:val="24"/>
                <w:szCs w:val="24"/>
                <w:highlight w:val="none"/>
                <w:lang w:bidi="ar"/>
              </w:rPr>
              <w:br w:type="textWrapping"/>
            </w:r>
            <w:r>
              <w:rPr>
                <w:rStyle w:val="960"/>
                <w:rFonts w:hint="eastAsia" w:ascii="宋体" w:hAnsi="宋体" w:eastAsia="宋体" w:cs="宋体"/>
                <w:sz w:val="24"/>
                <w:szCs w:val="24"/>
                <w:highlight w:val="none"/>
                <w:lang w:bidi="ar"/>
              </w:rPr>
              <w:t>•</w:t>
            </w:r>
            <w:r>
              <w:rPr>
                <w:rStyle w:val="204"/>
                <w:rFonts w:hint="eastAsia" w:ascii="宋体" w:hAnsi="宋体" w:eastAsia="宋体" w:cs="宋体"/>
                <w:sz w:val="24"/>
                <w:szCs w:val="24"/>
                <w:highlight w:val="none"/>
                <w:lang w:bidi="ar"/>
              </w:rPr>
              <w:t xml:space="preserve"> 材料：高强铝合金，表面喷沙阳化处理</w:t>
            </w:r>
          </w:p>
        </w:tc>
        <w:tc>
          <w:tcPr>
            <w:tcW w:w="6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台</w:t>
            </w: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6</w:t>
            </w:r>
          </w:p>
        </w:tc>
      </w:tr>
      <w:tr>
        <w:tblPrEx>
          <w:tblCellMar>
            <w:top w:w="0" w:type="dxa"/>
            <w:left w:w="108" w:type="dxa"/>
            <w:bottom w:w="0" w:type="dxa"/>
            <w:right w:w="108" w:type="dxa"/>
          </w:tblCellMar>
        </w:tblPrEx>
        <w:trPr>
          <w:trHeight w:val="414" w:hRule="atLeast"/>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20</w:t>
            </w:r>
          </w:p>
        </w:tc>
        <w:tc>
          <w:tcPr>
            <w:tcW w:w="169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门禁-开门按钮</w:t>
            </w:r>
          </w:p>
        </w:tc>
        <w:tc>
          <w:tcPr>
            <w:tcW w:w="4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出门按钮</w:t>
            </w:r>
          </w:p>
        </w:tc>
        <w:tc>
          <w:tcPr>
            <w:tcW w:w="6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台</w:t>
            </w: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6</w:t>
            </w:r>
          </w:p>
        </w:tc>
      </w:tr>
      <w:tr>
        <w:tblPrEx>
          <w:tblCellMar>
            <w:top w:w="0" w:type="dxa"/>
            <w:left w:w="108" w:type="dxa"/>
            <w:bottom w:w="0" w:type="dxa"/>
            <w:right w:w="108" w:type="dxa"/>
          </w:tblCellMar>
        </w:tblPrEx>
        <w:trPr>
          <w:trHeight w:val="818" w:hRule="atLeast"/>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21</w:t>
            </w:r>
          </w:p>
        </w:tc>
        <w:tc>
          <w:tcPr>
            <w:tcW w:w="169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门禁控制器</w:t>
            </w:r>
          </w:p>
        </w:tc>
        <w:tc>
          <w:tcPr>
            <w:tcW w:w="4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  与下层设备支持韦根接口通信。支持海康私有韦根协议，能无缝兼容第三方韦根接口读卡器。</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2.  可存储1万笔合法卡，5万笔刷卡记录。</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3.  支持首卡开门功能、卡和密码开门、在线升级功能、中心远程开门功能。</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4.  支持多种类型卡设计</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支持普通卡、残疾人卡、黑名单卡、巡更卡、胁迫卡、卡等。</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5.  丰富的事件报警联动功能设计</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设备事件：离线事件存储不足报警、网络断开报警等。</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报警输入事件：事件输入报警、事件输入报警恢复等。</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门事件：门未关妥报警、门被外力打开报警、门打开超时报警等。</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读卡器事件：胁迫报警、非法卡超次刷卡报警等。</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6.  支持在线模式和离线模式两种工作模式</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7.  支持多种校时设计</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支持NTP校时、手动校时、自动校时功能。</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8.看门狗设计</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主机具有看门狗(Watchdog)功能，能够通过看门狗检控设备的异常运行状态，并执行修复处理，确保设备长期稳定运行。</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9.客户端支持考勤功能</w:t>
            </w:r>
          </w:p>
        </w:tc>
        <w:tc>
          <w:tcPr>
            <w:tcW w:w="6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台</w:t>
            </w: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w:t>
            </w:r>
          </w:p>
        </w:tc>
      </w:tr>
      <w:tr>
        <w:tblPrEx>
          <w:tblCellMar>
            <w:top w:w="0" w:type="dxa"/>
            <w:left w:w="108" w:type="dxa"/>
            <w:bottom w:w="0" w:type="dxa"/>
            <w:right w:w="108" w:type="dxa"/>
          </w:tblCellMar>
        </w:tblPrEx>
        <w:trPr>
          <w:trHeight w:val="414" w:hRule="atLeast"/>
          <w:jc w:val="center"/>
        </w:trPr>
        <w:tc>
          <w:tcPr>
            <w:tcW w:w="8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22</w:t>
            </w:r>
          </w:p>
        </w:tc>
        <w:tc>
          <w:tcPr>
            <w:tcW w:w="169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电源</w:t>
            </w:r>
          </w:p>
        </w:tc>
        <w:tc>
          <w:tcPr>
            <w:tcW w:w="44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12V10A</w:t>
            </w:r>
          </w:p>
        </w:tc>
        <w:tc>
          <w:tcPr>
            <w:tcW w:w="6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个</w:t>
            </w:r>
          </w:p>
        </w:tc>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6</w:t>
            </w:r>
          </w:p>
        </w:tc>
      </w:tr>
      <w:tr>
        <w:tblPrEx>
          <w:tblCellMar>
            <w:top w:w="0" w:type="dxa"/>
            <w:left w:w="108" w:type="dxa"/>
            <w:bottom w:w="0" w:type="dxa"/>
            <w:right w:w="108" w:type="dxa"/>
          </w:tblCellMar>
        </w:tblPrEx>
        <w:trPr>
          <w:trHeight w:val="1222" w:hRule="atLeast"/>
          <w:jc w:val="center"/>
        </w:trPr>
        <w:tc>
          <w:tcPr>
            <w:tcW w:w="8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23</w:t>
            </w:r>
          </w:p>
        </w:tc>
        <w:tc>
          <w:tcPr>
            <w:tcW w:w="169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主控单元终端</w:t>
            </w:r>
          </w:p>
        </w:tc>
        <w:tc>
          <w:tcPr>
            <w:tcW w:w="44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"要求为软硬件一体机，采用定制化UI界面、个性定制化模块；</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主控单元要求：</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系统空间：120G SSD；</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存储空间：2T SATA；</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运行RAM：16G；</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主体结构：机身显示一体式，全铝机身内置10.1寸TFT触控屏；</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主机通讯能力：能够实现移动终端与主控单元通讯的移动终端数量为1-80台，可设定通讯方式：单向或者双向；</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切换方式：能够指定单一移动终端与主控单元即时通讯、交互；</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同步文件：主控单元与移动终端指定同步文件，能够实时预览、同步播放；</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远程上传：设定指定的服务器存储地址，分类上传，任意调用；</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状态提示：主界面即时显示与任一终端的连接状态、终端名称、通讯时长、IP地址显示；</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通讯管理：设定与移动终端指定的通讯密码；</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功能需求：定制UI,导航式菜单结构、系统实现服务端通讯连接系统，与手持终端即时通讯；双向操作，双层加密技术；</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文件推送：基于无线状态下的主控单元文件实时推送分发，由移动终端自动接收，通过移动终端来查看、编辑等；</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系统包含支持服务器端与手持终端通讯系统：基于TCP/IP协议专用平台与移动终端即时通讯，防外部环境干扰；</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系统支持控制录制服务器端采集画面及移动终端白板画面；</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系统支持主控单元视频画面自定义调整；</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系统内置录播系统，具有教师画面虚拟跟踪功能(可设置任意一视频画面为虚拟智能跟踪画面，实现非云台自动图像跟踪录制)，支持平行双画面合成录制，生成平行画面视频格式；</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可设定任意左右画面合成平行双画面,具有小窗口控制界面，包含录制控制按钮，置顶于于主屏正中；</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 xml:space="preserve">移动终端与主控单元双向交互操作，单点识别，及时同步显示到外部显示设备； </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采用最新的基于硬件识别的双层加密技术；主菜单隐藏图标，用户登陆加密，可设置推送速率，管理窗口IP地址自动识别，单点显示，后台运行占用内存小，交互通讯，图标实时显示，通讯故障及时报警显示在主控单元；</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播放PPT时，实时切换到白板系统时，主控单元自动停止PPT播放，返回到主控单元时可重新开始播放；</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兼容通用接口，输出接口：HDMI 、VGA、DVI、AUDIO；</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系统支持选用双网络配置，能够与用户现有机房网络服务器无缝衔接；</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系统选用企业级无线通讯平台、高速稳定交换数据。</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辅助功能：一键截屏，图片资源管理、视频转换、文件编辑等；</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操控单元：</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终端功能要求自定义终端通讯名称，通讯屏显分辨率设置，同步文件分类、转存；</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终端实时视频画面能够通过主控单元实时外接大屏展示；</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终端能够远控主控画面，对主控画面进行实时操作，包括软件操作、文档处理、技术设定等；</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能够实现电子白板常用图形素材，文字输入、复制粘贴功能；现场画面即时采集、显示、同步存储；移动终端素材调用、显示、同步存储；</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与主控单元即时高速切换，反应时间0.1-0.5秒；支持同步多屏显示移动终端软件内容，书写笔色可任意自定义颜色，支持色板取色；白板背景色可任意自定义颜色，支持色板取色；移动控制终端实时接收、操作；</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系统在运行过程中起到接收数据功能，与传输系统紧密结合高效的完成接收功能。接收反应速度为：0.1-0.3秒内，与传输系统均为同步，系统特点：同步、稳定、快速等。</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单击全屏显示画面，单击全屏画面返回主菜单，无缝切换至录播主界面，主菜单四画面缩略预览，任意切换；切换反应时间0.1-0.2秒；主菜单可直接调用录播系统录制、停止按钮，实现快速录播课件；</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可自定义保存若干板书，任意调用板书；调用的板书内容及时上传到主控单元；基于移动终端预览板书内容，及时调用至外部显示单元；切换至主控单元后，白板现有内容可在主控单元调用显示；</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主控单元主画面传输，实现高传输率，由移动控制终端即时操控，接收移动控制端画面；确保传输数据安全稳定；操作简单，易上手；系统运行可实时传输数据功能，传输反应速度为：0.1-0.3秒内，</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特点：同步、稳定、快速等。意外断开连接后支持原画面内容再次重连。</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基于移动终端专用采集模块实时图像采集，外部显示设备实时显示；实现现场随机采集、及时传输；</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"要求为软硬件一体机，采用定制化UI界面、个性定制化模块；</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主控单元要求：</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系统空间：120G SSD；</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存储空间：2T SATA；</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运行RAM：16G；</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主体结构：机身显示一体式，全铝机身内置10.1寸TFT触控屏；</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主机通讯能力：能够实现移动终端与主控单元通讯的移动终端数量为1-80台，可设定通讯方式：单向或者双向；</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切换方式：能够指定单一移动终端与主控单元即时通讯、交互；</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同步文件：主控单元与移动终端指定同步文件，能够实时预览、同步播放；</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远程上传：设定指定的服务器存储地址，分类上传，任意调用；</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状态提示：主界面即时显示与任一终端的连接状态、终端名称、通讯时长、IP地址显示；</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通讯管理：设定与移动终端指定的通讯密码；</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功能需求：定制UI,导航式菜单结构、系统实现服务端通讯连接系统，与手持终端即时通讯；双向操作，双层加密技术；</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文件推送：基于无线状态下的主控单元文件实时推送分发，由移动终端自动接收，通过移动终端来查看、编辑等；</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系统包含支持服务器端与手持终端通讯系统：基于TCP/IP协议专用平台与移动终端即时通讯，防外部环境干扰；</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系统支持控制录制服务器端采集画面及移动终端白板画面；</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系统支持主控单元视频画面自定义调整；</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系统内置录播系统，具有教师画面虚拟跟踪功能(可设置任意一视频画面为虚拟智能跟踪画面，实现非云台自动图像跟踪录制)，支持平行双画面合成录制，生成平行画面视频格式；</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可设定任意左右画面合成平行双画面,具有小窗口控制界面，包含录制控制按钮，置顶于于主屏正中；</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 xml:space="preserve">移动终端与主控单元双向交互操作，单点识别，及时同步显示到外部显示设备； </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采用最新的基于硬件识别的双层加密技术；主菜单隐藏图标，用户登陆加密，可设置推送速率，管理窗口IP地址自动识别，单点显示，后台运行占用内存小，交互通讯，图标实时显示，通讯故障及时报警显示在主控单元；</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播放PPT时，实时切换到白板系统时，主控单元自动停止PPT播放，返回到主控单元时可重新开始播放；</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兼容通用接口，输出接口：HDMI 、VGA、DVI、AUDIO；</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系统支持选用双网络配置，能够与用户现有机房网络服务器无缝衔接；</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系统选用企业级无线通讯平台、高速稳定交换数据。</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辅助功能：一键截屏，图片资源管理、视频转换、文件编辑等；</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操控单元：</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终端功能要求自定义终端通讯名称，通讯屏显分辨率设置，同步文件分类、转存；</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终端实时视频画面能够通过主控单元实时外接大屏展示；</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终端能够远控主控画面，对主控画面进行实时操作，包括软件操作、文档处理、技术设定等；</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能够实现电子白板常用图形素材，文字输入、复制粘贴功能；现场画面即时采集、显示、同步存储；移动终端素材调用、显示、同步存储；</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与主控单元即时高速切换，反应时间0.1-0.5秒；支持同步多屏显示移动终端软件内容，书写笔色可任意自定义颜色，支持色板取色；白板背景色可任意自定义颜色，支持色板取色；移动控制终端实时接收、操作；</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系统在运行过程中起到接收数据功能，与传输系统紧密结合高效的完成接收功能。接收反应速度为：0.1-0.3秒内，与传输系统均为同步，系统特点：同步、稳定、快速等。</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单击全屏显示画面，单击全屏画面返回主菜单，无缝切换至录播主界面，主菜单四画面缩略预览，任意切换；切换反应时间0.1-0.2秒；主菜单可直接调用录播系统录制、停止按钮，实现快速录播课件；</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可自定义保存若干板书，任意调用板书；调用的板书内容及时上传到主控单元；基于移动终端预览板书内容，及时调用至外部显示单元；切换至主控单元后，白板现有内容可在主控单元调用显示；</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主控单元主画面传输，实现高传输率，由移动控制终端即时操控，接收移动控制端画面；确保传输数据安全稳定；操作简单，易上手；系统运行可实时传输数据功能，传输反应速度为：0.1-0.3秒内，</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特点：同步、稳定、快速等。意外断开连接后支持原画面内容再次重连。</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基于移动终端专用采集模块实时图像采集，外部显示设备实时显示；实现现场随机采集、及时传输；</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提供</w:t>
            </w:r>
            <w:r>
              <w:rPr>
                <w:rFonts w:hint="eastAsia" w:ascii="宋体" w:hAnsi="宋体" w:eastAsia="宋体" w:cs="宋体"/>
                <w:color w:val="000000"/>
                <w:kern w:val="0"/>
                <w:sz w:val="24"/>
                <w:szCs w:val="24"/>
                <w:highlight w:val="none"/>
                <w:lang w:eastAsia="zh-CN" w:bidi="ar"/>
              </w:rPr>
              <w:t>三年</w:t>
            </w:r>
            <w:r>
              <w:rPr>
                <w:rFonts w:hint="eastAsia" w:ascii="宋体" w:hAnsi="宋体" w:eastAsia="宋体" w:cs="宋体"/>
                <w:color w:val="000000"/>
                <w:kern w:val="0"/>
                <w:sz w:val="24"/>
                <w:szCs w:val="24"/>
                <w:highlight w:val="none"/>
                <w:lang w:bidi="ar"/>
              </w:rPr>
              <w:t>质保</w:t>
            </w:r>
          </w:p>
        </w:tc>
        <w:tc>
          <w:tcPr>
            <w:tcW w:w="6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台</w:t>
            </w:r>
          </w:p>
        </w:tc>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2</w:t>
            </w:r>
          </w:p>
        </w:tc>
      </w:tr>
      <w:tr>
        <w:tblPrEx>
          <w:tblCellMar>
            <w:top w:w="0" w:type="dxa"/>
            <w:left w:w="108" w:type="dxa"/>
            <w:bottom w:w="0" w:type="dxa"/>
            <w:right w:w="108" w:type="dxa"/>
          </w:tblCellMar>
        </w:tblPrEx>
        <w:trPr>
          <w:trHeight w:val="90" w:hRule="atLeast"/>
          <w:jc w:val="center"/>
        </w:trPr>
        <w:tc>
          <w:tcPr>
            <w:tcW w:w="8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24</w:t>
            </w:r>
          </w:p>
        </w:tc>
        <w:tc>
          <w:tcPr>
            <w:tcW w:w="16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全频扬声器</w:t>
            </w:r>
          </w:p>
        </w:tc>
        <w:tc>
          <w:tcPr>
            <w:tcW w:w="4425"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频率响应(±3 dB)：90 Hz - 20 KHz</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灵敏度(1w/1m)1：97 dB</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额定阻抗：8 Ohms</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 xml:space="preserve">功率处理：350 W  </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两路 全频 低频单元1X12英寸 高音单元1X1.5英寸</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覆盖角：70° x 60°(H x V)</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M10螺栓</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只</w:t>
            </w:r>
          </w:p>
        </w:tc>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4</w:t>
            </w:r>
          </w:p>
        </w:tc>
      </w:tr>
      <w:tr>
        <w:tblPrEx>
          <w:tblCellMar>
            <w:top w:w="0" w:type="dxa"/>
            <w:left w:w="108" w:type="dxa"/>
            <w:bottom w:w="0" w:type="dxa"/>
            <w:right w:w="108" w:type="dxa"/>
          </w:tblCellMar>
        </w:tblPrEx>
        <w:trPr>
          <w:trHeight w:val="90" w:hRule="atLeast"/>
          <w:jc w:val="center"/>
        </w:trPr>
        <w:tc>
          <w:tcPr>
            <w:tcW w:w="8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25</w:t>
            </w:r>
          </w:p>
        </w:tc>
        <w:tc>
          <w:tcPr>
            <w:tcW w:w="16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辅助音响</w:t>
            </w:r>
          </w:p>
        </w:tc>
        <w:tc>
          <w:tcPr>
            <w:tcW w:w="4425"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频率：58Hz-20KHz（±3dB）</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 xml:space="preserve"> 灵敏度（1W/1M）：95dB</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 xml:space="preserve"> 额定阻抗：8Ω</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 xml:space="preserve"> 连续功率：300W</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峰值功率：1200W</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配置：2音路</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低频单元：1×10"</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高频单元：1×1.73"</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覆盖角度：圆锥形90°</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连接器：2×4PIN卡侬头</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 xml:space="preserve"> 倒相方式：后倒相</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吊挂方式：横向、竖向</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悬挂：19颗M10悬挂螺丝</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只</w:t>
            </w:r>
          </w:p>
        </w:tc>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4</w:t>
            </w:r>
          </w:p>
        </w:tc>
      </w:tr>
      <w:tr>
        <w:tblPrEx>
          <w:tblCellMar>
            <w:top w:w="0" w:type="dxa"/>
            <w:left w:w="108" w:type="dxa"/>
            <w:bottom w:w="0" w:type="dxa"/>
            <w:right w:w="108" w:type="dxa"/>
          </w:tblCellMar>
        </w:tblPrEx>
        <w:trPr>
          <w:trHeight w:val="5139" w:hRule="atLeast"/>
          <w:jc w:val="center"/>
        </w:trPr>
        <w:tc>
          <w:tcPr>
            <w:tcW w:w="8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26</w:t>
            </w:r>
          </w:p>
        </w:tc>
        <w:tc>
          <w:tcPr>
            <w:tcW w:w="16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功放</w:t>
            </w:r>
          </w:p>
        </w:tc>
        <w:tc>
          <w:tcPr>
            <w:tcW w:w="44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优质工频环形变压器电源供电</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高效的Class D功放模块</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XLR输入插座与SpeakON NL4输出插座</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220V/240V自动识别切换电压</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三种链接模式可设置（立体声/桥接/并接）</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后面板偶输入灵敏度选择（0.775V/1.4V）</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后面板有电源断路器</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前面板有独立通道、削峰警示、信号指示灯、保护和电源指示灯。</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扫描后面板二维码永久保存电子说明书，信息准确适用方便</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原色氧化铝合金雾银面板</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输出功率（AV220V/50Hz.±10%,THD+N=1% 时全部通道同事带在测试</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 xml:space="preserve">8Ω立体声功率 400W*2 </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4Ω立体声功率 600W*2</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8Ω桥接功率 1200W</w:t>
            </w:r>
          </w:p>
        </w:tc>
        <w:tc>
          <w:tcPr>
            <w:tcW w:w="6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台</w:t>
            </w:r>
          </w:p>
        </w:tc>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4</w:t>
            </w:r>
          </w:p>
        </w:tc>
      </w:tr>
      <w:tr>
        <w:tblPrEx>
          <w:tblCellMar>
            <w:top w:w="0" w:type="dxa"/>
            <w:left w:w="108" w:type="dxa"/>
            <w:bottom w:w="0" w:type="dxa"/>
            <w:right w:w="108" w:type="dxa"/>
          </w:tblCellMar>
        </w:tblPrEx>
        <w:trPr>
          <w:trHeight w:val="5066" w:hRule="atLeast"/>
          <w:jc w:val="center"/>
        </w:trPr>
        <w:tc>
          <w:tcPr>
            <w:tcW w:w="8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27</w:t>
            </w:r>
          </w:p>
        </w:tc>
        <w:tc>
          <w:tcPr>
            <w:tcW w:w="169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音频处理器</w:t>
            </w:r>
          </w:p>
        </w:tc>
        <w:tc>
          <w:tcPr>
            <w:tcW w:w="4425"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Style w:val="204"/>
                <w:rFonts w:hint="eastAsia" w:ascii="宋体" w:hAnsi="宋体" w:eastAsia="宋体" w:cs="宋体"/>
                <w:sz w:val="24"/>
                <w:szCs w:val="24"/>
                <w:highlight w:val="none"/>
                <w:lang w:bidi="ar"/>
              </w:rPr>
            </w:pPr>
            <w:r>
              <w:rPr>
                <w:rStyle w:val="960"/>
                <w:rFonts w:hint="eastAsia" w:ascii="宋体" w:hAnsi="宋体" w:eastAsia="宋体" w:cs="宋体"/>
                <w:sz w:val="24"/>
                <w:szCs w:val="24"/>
                <w:highlight w:val="none"/>
                <w:lang w:bidi="ar"/>
              </w:rPr>
              <w:t>•</w:t>
            </w:r>
            <w:r>
              <w:rPr>
                <w:rStyle w:val="204"/>
                <w:rFonts w:hint="eastAsia" w:ascii="宋体" w:hAnsi="宋体" w:eastAsia="宋体" w:cs="宋体"/>
                <w:sz w:val="24"/>
                <w:szCs w:val="24"/>
                <w:highlight w:val="none"/>
                <w:lang w:bidi="ar"/>
              </w:rPr>
              <w:t>立体声反馈抑制器2×12组快速跟踪陷波滤波器</w:t>
            </w:r>
            <w:r>
              <w:rPr>
                <w:rStyle w:val="204"/>
                <w:rFonts w:hint="eastAsia" w:ascii="宋体" w:hAnsi="宋体" w:eastAsia="宋体" w:cs="宋体"/>
                <w:sz w:val="24"/>
                <w:szCs w:val="24"/>
                <w:highlight w:val="none"/>
                <w:lang w:bidi="ar"/>
              </w:rPr>
              <w:br w:type="textWrapping"/>
            </w:r>
            <w:r>
              <w:rPr>
                <w:rStyle w:val="960"/>
                <w:rFonts w:hint="eastAsia" w:ascii="宋体" w:hAnsi="宋体" w:eastAsia="宋体" w:cs="宋体"/>
                <w:sz w:val="24"/>
                <w:szCs w:val="24"/>
                <w:highlight w:val="none"/>
                <w:lang w:bidi="ar"/>
              </w:rPr>
              <w:t>•</w:t>
            </w:r>
            <w:r>
              <w:rPr>
                <w:rStyle w:val="204"/>
                <w:rFonts w:hint="eastAsia" w:ascii="宋体" w:hAnsi="宋体" w:eastAsia="宋体" w:cs="宋体"/>
                <w:sz w:val="24"/>
                <w:szCs w:val="24"/>
                <w:highlight w:val="none"/>
                <w:lang w:bidi="ar"/>
              </w:rPr>
              <w:t>双28段图示均衡器</w:t>
            </w:r>
            <w:r>
              <w:rPr>
                <w:rStyle w:val="204"/>
                <w:rFonts w:hint="eastAsia" w:ascii="宋体" w:hAnsi="宋体" w:eastAsia="宋体" w:cs="宋体"/>
                <w:sz w:val="24"/>
                <w:szCs w:val="24"/>
                <w:highlight w:val="none"/>
                <w:lang w:bidi="ar"/>
              </w:rPr>
              <w:br w:type="textWrapping"/>
            </w:r>
            <w:r>
              <w:rPr>
                <w:rStyle w:val="960"/>
                <w:rFonts w:hint="eastAsia" w:ascii="宋体" w:hAnsi="宋体" w:eastAsia="宋体" w:cs="宋体"/>
                <w:sz w:val="24"/>
                <w:szCs w:val="24"/>
                <w:highlight w:val="none"/>
                <w:lang w:bidi="ar"/>
              </w:rPr>
              <w:t>•</w:t>
            </w:r>
            <w:r>
              <w:rPr>
                <w:rStyle w:val="204"/>
                <w:rFonts w:hint="eastAsia" w:ascii="宋体" w:hAnsi="宋体" w:eastAsia="宋体" w:cs="宋体"/>
                <w:sz w:val="24"/>
                <w:szCs w:val="24"/>
                <w:highlight w:val="none"/>
                <w:lang w:bidi="ar"/>
              </w:rPr>
              <w:t>经典的dBx压缩器</w:t>
            </w:r>
            <w:r>
              <w:rPr>
                <w:rStyle w:val="204"/>
                <w:rFonts w:hint="eastAsia" w:ascii="宋体" w:hAnsi="宋体" w:eastAsia="宋体" w:cs="宋体"/>
                <w:sz w:val="24"/>
                <w:szCs w:val="24"/>
                <w:highlight w:val="none"/>
                <w:lang w:bidi="ar"/>
              </w:rPr>
              <w:br w:type="textWrapping"/>
            </w:r>
            <w:r>
              <w:rPr>
                <w:rStyle w:val="960"/>
                <w:rFonts w:hint="eastAsia" w:ascii="宋体" w:hAnsi="宋体" w:eastAsia="宋体" w:cs="宋体"/>
                <w:sz w:val="24"/>
                <w:szCs w:val="24"/>
                <w:highlight w:val="none"/>
                <w:lang w:bidi="ar"/>
              </w:rPr>
              <w:t>•</w:t>
            </w:r>
            <w:r>
              <w:rPr>
                <w:rStyle w:val="204"/>
                <w:rFonts w:hint="eastAsia" w:ascii="宋体" w:hAnsi="宋体" w:eastAsia="宋体" w:cs="宋体"/>
                <w:sz w:val="24"/>
                <w:szCs w:val="24"/>
                <w:highlight w:val="none"/>
                <w:lang w:bidi="ar"/>
              </w:rPr>
              <w:t>120A分谐波合成器</w:t>
            </w:r>
            <w:r>
              <w:rPr>
                <w:rStyle w:val="204"/>
                <w:rFonts w:hint="eastAsia" w:ascii="宋体" w:hAnsi="宋体" w:eastAsia="宋体" w:cs="宋体"/>
                <w:sz w:val="24"/>
                <w:szCs w:val="24"/>
                <w:highlight w:val="none"/>
                <w:lang w:bidi="ar"/>
              </w:rPr>
              <w:br w:type="textWrapping"/>
            </w:r>
            <w:r>
              <w:rPr>
                <w:rStyle w:val="960"/>
                <w:rFonts w:hint="eastAsia" w:ascii="宋体" w:hAnsi="宋体" w:eastAsia="宋体" w:cs="宋体"/>
                <w:sz w:val="24"/>
                <w:szCs w:val="24"/>
                <w:highlight w:val="none"/>
                <w:lang w:bidi="ar"/>
              </w:rPr>
              <w:t>•</w:t>
            </w:r>
            <w:r>
              <w:rPr>
                <w:rStyle w:val="204"/>
                <w:rFonts w:hint="eastAsia" w:ascii="宋体" w:hAnsi="宋体" w:eastAsia="宋体" w:cs="宋体"/>
                <w:sz w:val="24"/>
                <w:szCs w:val="24"/>
                <w:highlight w:val="none"/>
                <w:lang w:bidi="ar"/>
              </w:rPr>
              <w:t>2×3，2×4，2×5，2×6分频组合选择</w:t>
            </w:r>
            <w:r>
              <w:rPr>
                <w:rStyle w:val="204"/>
                <w:rFonts w:hint="eastAsia" w:ascii="宋体" w:hAnsi="宋体" w:eastAsia="宋体" w:cs="宋体"/>
                <w:sz w:val="24"/>
                <w:szCs w:val="24"/>
                <w:highlight w:val="none"/>
                <w:lang w:bidi="ar"/>
              </w:rPr>
              <w:br w:type="textWrapping"/>
            </w:r>
            <w:r>
              <w:rPr>
                <w:rStyle w:val="960"/>
                <w:rFonts w:hint="eastAsia" w:ascii="宋体" w:hAnsi="宋体" w:eastAsia="宋体" w:cs="宋体"/>
                <w:sz w:val="24"/>
                <w:szCs w:val="24"/>
                <w:highlight w:val="none"/>
                <w:lang w:bidi="ar"/>
              </w:rPr>
              <w:t>•</w:t>
            </w:r>
            <w:r>
              <w:rPr>
                <w:rStyle w:val="204"/>
                <w:rFonts w:hint="eastAsia" w:ascii="宋体" w:hAnsi="宋体" w:eastAsia="宋体" w:cs="宋体"/>
                <w:sz w:val="24"/>
                <w:szCs w:val="24"/>
                <w:highlight w:val="none"/>
                <w:lang w:bidi="ar"/>
              </w:rPr>
              <w:t>立体声多段参数均衡器</w:t>
            </w:r>
            <w:r>
              <w:rPr>
                <w:rStyle w:val="204"/>
                <w:rFonts w:hint="eastAsia" w:ascii="宋体" w:hAnsi="宋体" w:eastAsia="宋体" w:cs="宋体"/>
                <w:sz w:val="24"/>
                <w:szCs w:val="24"/>
                <w:highlight w:val="none"/>
                <w:lang w:bidi="ar"/>
              </w:rPr>
              <w:br w:type="textWrapping"/>
            </w:r>
            <w:r>
              <w:rPr>
                <w:rStyle w:val="960"/>
                <w:rFonts w:hint="eastAsia" w:ascii="宋体" w:hAnsi="宋体" w:eastAsia="宋体" w:cs="宋体"/>
                <w:sz w:val="24"/>
                <w:szCs w:val="24"/>
                <w:highlight w:val="none"/>
                <w:lang w:bidi="ar"/>
              </w:rPr>
              <w:t>•</w:t>
            </w:r>
            <w:r>
              <w:rPr>
                <w:rStyle w:val="204"/>
                <w:rFonts w:hint="eastAsia" w:ascii="宋体" w:hAnsi="宋体" w:eastAsia="宋体" w:cs="宋体"/>
                <w:sz w:val="24"/>
                <w:szCs w:val="24"/>
                <w:highlight w:val="none"/>
                <w:lang w:bidi="ar"/>
              </w:rPr>
              <w:t>立体声输出限幅器</w:t>
            </w:r>
            <w:r>
              <w:rPr>
                <w:rStyle w:val="204"/>
                <w:rFonts w:hint="eastAsia" w:ascii="宋体" w:hAnsi="宋体" w:eastAsia="宋体" w:cs="宋体"/>
                <w:sz w:val="24"/>
                <w:szCs w:val="24"/>
                <w:highlight w:val="none"/>
                <w:lang w:bidi="ar"/>
              </w:rPr>
              <w:br w:type="textWrapping"/>
            </w:r>
            <w:r>
              <w:rPr>
                <w:rStyle w:val="960"/>
                <w:rFonts w:hint="eastAsia" w:ascii="宋体" w:hAnsi="宋体" w:eastAsia="宋体" w:cs="宋体"/>
                <w:sz w:val="24"/>
                <w:szCs w:val="24"/>
                <w:highlight w:val="none"/>
                <w:lang w:bidi="ar"/>
              </w:rPr>
              <w:t>•</w:t>
            </w:r>
            <w:r>
              <w:rPr>
                <w:rStyle w:val="204"/>
                <w:rFonts w:hint="eastAsia" w:ascii="宋体" w:hAnsi="宋体" w:eastAsia="宋体" w:cs="宋体"/>
                <w:sz w:val="24"/>
                <w:szCs w:val="24"/>
                <w:highlight w:val="none"/>
                <w:lang w:bidi="ar"/>
              </w:rPr>
              <w:t>音箱微调延时</w:t>
            </w:r>
            <w:r>
              <w:rPr>
                <w:rStyle w:val="204"/>
                <w:rFonts w:hint="eastAsia" w:ascii="宋体" w:hAnsi="宋体" w:eastAsia="宋体" w:cs="宋体"/>
                <w:sz w:val="24"/>
                <w:szCs w:val="24"/>
                <w:highlight w:val="none"/>
                <w:lang w:bidi="ar"/>
              </w:rPr>
              <w:br w:type="textWrapping"/>
            </w:r>
            <w:r>
              <w:rPr>
                <w:rStyle w:val="960"/>
                <w:rFonts w:hint="eastAsia" w:ascii="宋体" w:hAnsi="宋体" w:eastAsia="宋体" w:cs="宋体"/>
                <w:sz w:val="24"/>
                <w:szCs w:val="24"/>
                <w:highlight w:val="none"/>
                <w:lang w:bidi="ar"/>
              </w:rPr>
              <w:t>•</w:t>
            </w:r>
            <w:r>
              <w:rPr>
                <w:rStyle w:val="204"/>
                <w:rFonts w:hint="eastAsia" w:ascii="宋体" w:hAnsi="宋体" w:eastAsia="宋体" w:cs="宋体"/>
                <w:sz w:val="24"/>
                <w:szCs w:val="24"/>
                <w:highlight w:val="none"/>
                <w:lang w:bidi="ar"/>
              </w:rPr>
              <w:t>粉红噪声发生器</w:t>
            </w:r>
            <w:r>
              <w:rPr>
                <w:rStyle w:val="204"/>
                <w:rFonts w:hint="eastAsia" w:ascii="宋体" w:hAnsi="宋体" w:eastAsia="宋体" w:cs="宋体"/>
                <w:sz w:val="24"/>
                <w:szCs w:val="24"/>
                <w:highlight w:val="none"/>
                <w:lang w:bidi="ar"/>
              </w:rPr>
              <w:br w:type="textWrapping"/>
            </w:r>
            <w:r>
              <w:rPr>
                <w:rStyle w:val="960"/>
                <w:rFonts w:hint="eastAsia" w:ascii="宋体" w:hAnsi="宋体" w:eastAsia="宋体" w:cs="宋体"/>
                <w:sz w:val="24"/>
                <w:szCs w:val="24"/>
                <w:highlight w:val="none"/>
                <w:lang w:bidi="ar"/>
              </w:rPr>
              <w:t>•</w:t>
            </w:r>
            <w:r>
              <w:rPr>
                <w:rStyle w:val="204"/>
                <w:rFonts w:hint="eastAsia" w:ascii="宋体" w:hAnsi="宋体" w:eastAsia="宋体" w:cs="宋体"/>
                <w:sz w:val="24"/>
                <w:szCs w:val="24"/>
                <w:highlight w:val="none"/>
                <w:lang w:bidi="ar"/>
              </w:rPr>
              <w:t>Auto-EQ自动房间均衡补偿</w:t>
            </w:r>
            <w:r>
              <w:rPr>
                <w:rStyle w:val="204"/>
                <w:rFonts w:hint="eastAsia" w:ascii="宋体" w:hAnsi="宋体" w:eastAsia="宋体" w:cs="宋体"/>
                <w:sz w:val="24"/>
                <w:szCs w:val="24"/>
                <w:highlight w:val="none"/>
                <w:lang w:bidi="ar"/>
              </w:rPr>
              <w:br w:type="textWrapping"/>
            </w:r>
            <w:r>
              <w:rPr>
                <w:rStyle w:val="960"/>
                <w:rFonts w:hint="eastAsia" w:ascii="宋体" w:hAnsi="宋体" w:eastAsia="宋体" w:cs="宋体"/>
                <w:sz w:val="24"/>
                <w:szCs w:val="24"/>
                <w:highlight w:val="none"/>
                <w:lang w:bidi="ar"/>
              </w:rPr>
              <w:t>•</w:t>
            </w:r>
            <w:r>
              <w:rPr>
                <w:rStyle w:val="204"/>
                <w:rFonts w:hint="eastAsia" w:ascii="宋体" w:hAnsi="宋体" w:eastAsia="宋体" w:cs="宋体"/>
                <w:sz w:val="24"/>
                <w:szCs w:val="24"/>
                <w:highlight w:val="none"/>
                <w:lang w:bidi="ar"/>
              </w:rPr>
              <w:t>设置音箱和功放的Setup Wizard（设置导航小精灵）功能</w:t>
            </w:r>
            <w:r>
              <w:rPr>
                <w:rStyle w:val="204"/>
                <w:rFonts w:hint="eastAsia" w:ascii="宋体" w:hAnsi="宋体" w:eastAsia="宋体" w:cs="宋体"/>
                <w:sz w:val="24"/>
                <w:szCs w:val="24"/>
                <w:highlight w:val="none"/>
                <w:lang w:bidi="ar"/>
              </w:rPr>
              <w:br w:type="textWrapping"/>
            </w:r>
            <w:r>
              <w:rPr>
                <w:rStyle w:val="960"/>
                <w:rFonts w:hint="eastAsia" w:ascii="宋体" w:hAnsi="宋体" w:eastAsia="宋体" w:cs="宋体"/>
                <w:sz w:val="24"/>
                <w:szCs w:val="24"/>
                <w:highlight w:val="none"/>
                <w:lang w:bidi="ar"/>
              </w:rPr>
              <w:t>•</w:t>
            </w:r>
            <w:r>
              <w:rPr>
                <w:rStyle w:val="204"/>
                <w:rFonts w:hint="eastAsia" w:ascii="宋体" w:hAnsi="宋体" w:eastAsia="宋体" w:cs="宋体"/>
                <w:sz w:val="24"/>
                <w:szCs w:val="24"/>
                <w:highlight w:val="none"/>
                <w:lang w:bidi="ar"/>
              </w:rPr>
              <w:t>25个工厂预置/25个用户设置程式记忆库</w:t>
            </w:r>
            <w:r>
              <w:rPr>
                <w:rStyle w:val="204"/>
                <w:rFonts w:hint="eastAsia" w:ascii="宋体" w:hAnsi="宋体" w:eastAsia="宋体" w:cs="宋体"/>
                <w:sz w:val="24"/>
                <w:szCs w:val="24"/>
                <w:highlight w:val="none"/>
                <w:lang w:bidi="ar"/>
              </w:rPr>
              <w:br w:type="textWrapping"/>
            </w:r>
            <w:r>
              <w:rPr>
                <w:rStyle w:val="960"/>
                <w:rFonts w:hint="eastAsia" w:ascii="宋体" w:hAnsi="宋体" w:eastAsia="宋体" w:cs="宋体"/>
                <w:sz w:val="24"/>
                <w:szCs w:val="24"/>
                <w:highlight w:val="none"/>
                <w:lang w:bidi="ar"/>
              </w:rPr>
              <w:t>•</w:t>
            </w:r>
            <w:r>
              <w:rPr>
                <w:rStyle w:val="204"/>
                <w:rFonts w:hint="eastAsia" w:ascii="宋体" w:hAnsi="宋体" w:eastAsia="宋体" w:cs="宋体"/>
                <w:sz w:val="24"/>
                <w:szCs w:val="24"/>
                <w:highlight w:val="none"/>
                <w:lang w:bidi="ar"/>
              </w:rPr>
              <w:t>2组输入，6组输出</w:t>
            </w:r>
            <w:r>
              <w:rPr>
                <w:rStyle w:val="204"/>
                <w:rFonts w:hint="eastAsia" w:ascii="宋体" w:hAnsi="宋体" w:eastAsia="宋体" w:cs="宋体"/>
                <w:sz w:val="24"/>
                <w:szCs w:val="24"/>
                <w:highlight w:val="none"/>
                <w:lang w:bidi="ar"/>
              </w:rPr>
              <w:br w:type="textWrapping"/>
            </w:r>
            <w:r>
              <w:rPr>
                <w:rStyle w:val="960"/>
                <w:rFonts w:hint="eastAsia" w:ascii="宋体" w:hAnsi="宋体" w:eastAsia="宋体" w:cs="宋体"/>
                <w:sz w:val="24"/>
                <w:szCs w:val="24"/>
                <w:highlight w:val="none"/>
                <w:lang w:bidi="ar"/>
              </w:rPr>
              <w:t>•</w:t>
            </w:r>
            <w:r>
              <w:rPr>
                <w:rStyle w:val="204"/>
                <w:rFonts w:hint="eastAsia" w:ascii="宋体" w:hAnsi="宋体" w:eastAsia="宋体" w:cs="宋体"/>
                <w:sz w:val="24"/>
                <w:szCs w:val="24"/>
                <w:highlight w:val="none"/>
                <w:lang w:bidi="ar"/>
              </w:rPr>
              <w:t>RTA-M实时频谱分析议话筒输入设于面板，带幻像供电</w:t>
            </w:r>
            <w:r>
              <w:rPr>
                <w:rStyle w:val="204"/>
                <w:rFonts w:hint="eastAsia" w:ascii="宋体" w:hAnsi="宋体" w:eastAsia="宋体" w:cs="宋体"/>
                <w:sz w:val="24"/>
                <w:szCs w:val="24"/>
                <w:highlight w:val="none"/>
                <w:lang w:bidi="ar"/>
              </w:rPr>
              <w:br w:type="textWrapping"/>
            </w:r>
            <w:r>
              <w:rPr>
                <w:rStyle w:val="960"/>
                <w:rFonts w:hint="eastAsia" w:ascii="宋体" w:hAnsi="宋体" w:eastAsia="宋体" w:cs="宋体"/>
                <w:sz w:val="24"/>
                <w:szCs w:val="24"/>
                <w:highlight w:val="none"/>
                <w:lang w:bidi="ar"/>
              </w:rPr>
              <w:t>•</w:t>
            </w:r>
            <w:r>
              <w:rPr>
                <w:rStyle w:val="204"/>
                <w:rFonts w:hint="eastAsia" w:ascii="宋体" w:hAnsi="宋体" w:eastAsia="宋体" w:cs="宋体"/>
                <w:sz w:val="24"/>
                <w:szCs w:val="24"/>
                <w:highlight w:val="none"/>
                <w:lang w:bidi="ar"/>
              </w:rPr>
              <w:t>24－Bit A/D转换器提供大于110dB的动态范围</w:t>
            </w:r>
          </w:p>
          <w:p>
            <w:pPr>
              <w:widowControl/>
              <w:jc w:val="left"/>
              <w:textAlignment w:val="top"/>
              <w:rPr>
                <w:rFonts w:hint="eastAsia" w:ascii="宋体" w:hAnsi="宋体" w:eastAsia="宋体" w:cs="宋体"/>
                <w:color w:val="000000"/>
                <w:sz w:val="24"/>
                <w:szCs w:val="24"/>
                <w:highlight w:val="none"/>
              </w:rPr>
            </w:pPr>
            <w:r>
              <w:rPr>
                <w:rStyle w:val="960"/>
                <w:rFonts w:hint="eastAsia" w:ascii="宋体" w:hAnsi="宋体" w:eastAsia="宋体" w:cs="宋体"/>
                <w:sz w:val="24"/>
                <w:szCs w:val="24"/>
                <w:highlight w:val="none"/>
                <w:lang w:bidi="ar"/>
              </w:rPr>
              <w:t>•</w:t>
            </w:r>
            <w:r>
              <w:rPr>
                <w:rStyle w:val="204"/>
                <w:rFonts w:hint="eastAsia" w:ascii="宋体" w:hAnsi="宋体" w:eastAsia="宋体" w:cs="宋体"/>
                <w:sz w:val="24"/>
                <w:szCs w:val="24"/>
                <w:highlight w:val="none"/>
                <w:lang w:bidi="ar"/>
              </w:rPr>
              <w:t>图示LCD显示屏</w:t>
            </w:r>
          </w:p>
        </w:tc>
        <w:tc>
          <w:tcPr>
            <w:tcW w:w="6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304800" cy="304800"/>
                  <wp:effectExtent l="0" t="0" r="0" b="0"/>
                  <wp:wrapNone/>
                  <wp:docPr id="861" name="AutoShape_1860_SpCnt_256"/>
                  <wp:cNvGraphicFramePr/>
                  <a:graphic xmlns:a="http://schemas.openxmlformats.org/drawingml/2006/main">
                    <a:graphicData uri="http://schemas.openxmlformats.org/drawingml/2006/picture">
                      <pic:pic xmlns:pic="http://schemas.openxmlformats.org/drawingml/2006/picture">
                        <pic:nvPicPr>
                          <pic:cNvPr id="861" name="AutoShape_1860_SpCnt_256"/>
                          <pic:cNvPicPr/>
                        </pic:nvPicPr>
                        <pic:blipFill>
                          <a:blip r:embed="rId25"/>
                          <a:stretch>
                            <a:fillRect/>
                          </a:stretch>
                        </pic:blipFill>
                        <pic:spPr>
                          <a:xfrm>
                            <a:off x="0" y="0"/>
                            <a:ext cx="304800" cy="30480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304800" cy="304800"/>
                  <wp:effectExtent l="0" t="0" r="0" b="0"/>
                  <wp:wrapNone/>
                  <wp:docPr id="858" name="AutoShape_1860_SpCnt_257"/>
                  <wp:cNvGraphicFramePr/>
                  <a:graphic xmlns:a="http://schemas.openxmlformats.org/drawingml/2006/main">
                    <a:graphicData uri="http://schemas.openxmlformats.org/drawingml/2006/picture">
                      <pic:pic xmlns:pic="http://schemas.openxmlformats.org/drawingml/2006/picture">
                        <pic:nvPicPr>
                          <pic:cNvPr id="858" name="AutoShape_1860_SpCnt_257"/>
                          <pic:cNvPicPr/>
                        </pic:nvPicPr>
                        <pic:blipFill>
                          <a:blip r:embed="rId25"/>
                          <a:stretch>
                            <a:fillRect/>
                          </a:stretch>
                        </pic:blipFill>
                        <pic:spPr>
                          <a:xfrm>
                            <a:off x="0" y="0"/>
                            <a:ext cx="304800" cy="30480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04800" cy="302260"/>
                  <wp:effectExtent l="0" t="0" r="0" b="0"/>
                  <wp:wrapNone/>
                  <wp:docPr id="907" name="AutoShape_1860_SpCnt_258"/>
                  <wp:cNvGraphicFramePr/>
                  <a:graphic xmlns:a="http://schemas.openxmlformats.org/drawingml/2006/main">
                    <a:graphicData uri="http://schemas.openxmlformats.org/drawingml/2006/picture">
                      <pic:pic xmlns:pic="http://schemas.openxmlformats.org/drawingml/2006/picture">
                        <pic:nvPicPr>
                          <pic:cNvPr id="907" name="AutoShape_1860_SpCnt_258"/>
                          <pic:cNvPicPr/>
                        </pic:nvPicPr>
                        <pic:blipFill>
                          <a:blip r:embed="rId25"/>
                          <a:stretch>
                            <a:fillRect/>
                          </a:stretch>
                        </pic:blipFill>
                        <pic:spPr>
                          <a:xfrm>
                            <a:off x="0" y="0"/>
                            <a:ext cx="304800" cy="30226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304800" cy="302260"/>
                  <wp:effectExtent l="0" t="0" r="0" b="0"/>
                  <wp:wrapNone/>
                  <wp:docPr id="857" name="AutoShape_1860_SpCnt_259"/>
                  <wp:cNvGraphicFramePr/>
                  <a:graphic xmlns:a="http://schemas.openxmlformats.org/drawingml/2006/main">
                    <a:graphicData uri="http://schemas.openxmlformats.org/drawingml/2006/picture">
                      <pic:pic xmlns:pic="http://schemas.openxmlformats.org/drawingml/2006/picture">
                        <pic:nvPicPr>
                          <pic:cNvPr id="857" name="AutoShape_1860_SpCnt_259"/>
                          <pic:cNvPicPr/>
                        </pic:nvPicPr>
                        <pic:blipFill>
                          <a:blip r:embed="rId25"/>
                          <a:stretch>
                            <a:fillRect/>
                          </a:stretch>
                        </pic:blipFill>
                        <pic:spPr>
                          <a:xfrm>
                            <a:off x="0" y="0"/>
                            <a:ext cx="304800" cy="30226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304800" cy="302260"/>
                  <wp:effectExtent l="0" t="0" r="0" b="0"/>
                  <wp:wrapNone/>
                  <wp:docPr id="856" name="AutoShape_1860_SpCnt_260"/>
                  <wp:cNvGraphicFramePr/>
                  <a:graphic xmlns:a="http://schemas.openxmlformats.org/drawingml/2006/main">
                    <a:graphicData uri="http://schemas.openxmlformats.org/drawingml/2006/picture">
                      <pic:pic xmlns:pic="http://schemas.openxmlformats.org/drawingml/2006/picture">
                        <pic:nvPicPr>
                          <pic:cNvPr id="856" name="AutoShape_1860_SpCnt_260"/>
                          <pic:cNvPicPr/>
                        </pic:nvPicPr>
                        <pic:blipFill>
                          <a:blip r:embed="rId25"/>
                          <a:stretch>
                            <a:fillRect/>
                          </a:stretch>
                        </pic:blipFill>
                        <pic:spPr>
                          <a:xfrm>
                            <a:off x="0" y="0"/>
                            <a:ext cx="304800" cy="30226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304800" cy="302260"/>
                  <wp:effectExtent l="0" t="0" r="0" b="0"/>
                  <wp:wrapNone/>
                  <wp:docPr id="854" name="AutoShape_1860_SpCnt_261"/>
                  <wp:cNvGraphicFramePr/>
                  <a:graphic xmlns:a="http://schemas.openxmlformats.org/drawingml/2006/main">
                    <a:graphicData uri="http://schemas.openxmlformats.org/drawingml/2006/picture">
                      <pic:pic xmlns:pic="http://schemas.openxmlformats.org/drawingml/2006/picture">
                        <pic:nvPicPr>
                          <pic:cNvPr id="854" name="AutoShape_1860_SpCnt_261"/>
                          <pic:cNvPicPr/>
                        </pic:nvPicPr>
                        <pic:blipFill>
                          <a:blip r:embed="rId25"/>
                          <a:stretch>
                            <a:fillRect/>
                          </a:stretch>
                        </pic:blipFill>
                        <pic:spPr>
                          <a:xfrm>
                            <a:off x="0" y="0"/>
                            <a:ext cx="304800" cy="30226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304800" cy="302260"/>
                  <wp:effectExtent l="0" t="0" r="0" b="0"/>
                  <wp:wrapNone/>
                  <wp:docPr id="853" name="AutoShape_1860_SpCnt_262"/>
                  <wp:cNvGraphicFramePr/>
                  <a:graphic xmlns:a="http://schemas.openxmlformats.org/drawingml/2006/main">
                    <a:graphicData uri="http://schemas.openxmlformats.org/drawingml/2006/picture">
                      <pic:pic xmlns:pic="http://schemas.openxmlformats.org/drawingml/2006/picture">
                        <pic:nvPicPr>
                          <pic:cNvPr id="853" name="AutoShape_1860_SpCnt_262"/>
                          <pic:cNvPicPr/>
                        </pic:nvPicPr>
                        <pic:blipFill>
                          <a:blip r:embed="rId25"/>
                          <a:stretch>
                            <a:fillRect/>
                          </a:stretch>
                        </pic:blipFill>
                        <pic:spPr>
                          <a:xfrm>
                            <a:off x="0" y="0"/>
                            <a:ext cx="304800" cy="30226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304800" cy="304800"/>
                  <wp:effectExtent l="0" t="0" r="0" b="0"/>
                  <wp:wrapNone/>
                  <wp:docPr id="852" name="AutoShape_1860_SpCnt_263"/>
                  <wp:cNvGraphicFramePr/>
                  <a:graphic xmlns:a="http://schemas.openxmlformats.org/drawingml/2006/main">
                    <a:graphicData uri="http://schemas.openxmlformats.org/drawingml/2006/picture">
                      <pic:pic xmlns:pic="http://schemas.openxmlformats.org/drawingml/2006/picture">
                        <pic:nvPicPr>
                          <pic:cNvPr id="852" name="AutoShape_1860_SpCnt_263"/>
                          <pic:cNvPicPr/>
                        </pic:nvPicPr>
                        <pic:blipFill>
                          <a:blip r:embed="rId25"/>
                          <a:stretch>
                            <a:fillRect/>
                          </a:stretch>
                        </pic:blipFill>
                        <pic:spPr>
                          <a:xfrm>
                            <a:off x="0" y="0"/>
                            <a:ext cx="304800" cy="30480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304800" cy="304800"/>
                  <wp:effectExtent l="0" t="0" r="0" b="0"/>
                  <wp:wrapNone/>
                  <wp:docPr id="851" name="AutoShape_1860_SpCnt_264"/>
                  <wp:cNvGraphicFramePr/>
                  <a:graphic xmlns:a="http://schemas.openxmlformats.org/drawingml/2006/main">
                    <a:graphicData uri="http://schemas.openxmlformats.org/drawingml/2006/picture">
                      <pic:pic xmlns:pic="http://schemas.openxmlformats.org/drawingml/2006/picture">
                        <pic:nvPicPr>
                          <pic:cNvPr id="851" name="AutoShape_1860_SpCnt_264"/>
                          <pic:cNvPicPr/>
                        </pic:nvPicPr>
                        <pic:blipFill>
                          <a:blip r:embed="rId25"/>
                          <a:stretch>
                            <a:fillRect/>
                          </a:stretch>
                        </pic:blipFill>
                        <pic:spPr>
                          <a:xfrm>
                            <a:off x="0" y="0"/>
                            <a:ext cx="304800" cy="30480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304800" cy="302260"/>
                  <wp:effectExtent l="0" t="0" r="0" b="0"/>
                  <wp:wrapNone/>
                  <wp:docPr id="896" name="AutoShape_1860_SpCnt_265"/>
                  <wp:cNvGraphicFramePr/>
                  <a:graphic xmlns:a="http://schemas.openxmlformats.org/drawingml/2006/main">
                    <a:graphicData uri="http://schemas.openxmlformats.org/drawingml/2006/picture">
                      <pic:pic xmlns:pic="http://schemas.openxmlformats.org/drawingml/2006/picture">
                        <pic:nvPicPr>
                          <pic:cNvPr id="896" name="AutoShape_1860_SpCnt_265"/>
                          <pic:cNvPicPr/>
                        </pic:nvPicPr>
                        <pic:blipFill>
                          <a:blip r:embed="rId25"/>
                          <a:stretch>
                            <a:fillRect/>
                          </a:stretch>
                        </pic:blipFill>
                        <pic:spPr>
                          <a:xfrm>
                            <a:off x="0" y="0"/>
                            <a:ext cx="304800" cy="30226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304800" cy="302260"/>
                  <wp:effectExtent l="0" t="0" r="0" b="0"/>
                  <wp:wrapNone/>
                  <wp:docPr id="850" name="AutoShape_1860_SpCnt_266"/>
                  <wp:cNvGraphicFramePr/>
                  <a:graphic xmlns:a="http://schemas.openxmlformats.org/drawingml/2006/main">
                    <a:graphicData uri="http://schemas.openxmlformats.org/drawingml/2006/picture">
                      <pic:pic xmlns:pic="http://schemas.openxmlformats.org/drawingml/2006/picture">
                        <pic:nvPicPr>
                          <pic:cNvPr id="850" name="AutoShape_1860_SpCnt_266"/>
                          <pic:cNvPicPr/>
                        </pic:nvPicPr>
                        <pic:blipFill>
                          <a:blip r:embed="rId25"/>
                          <a:stretch>
                            <a:fillRect/>
                          </a:stretch>
                        </pic:blipFill>
                        <pic:spPr>
                          <a:xfrm>
                            <a:off x="0" y="0"/>
                            <a:ext cx="304800" cy="30226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304800" cy="302260"/>
                  <wp:effectExtent l="0" t="0" r="0" b="0"/>
                  <wp:wrapNone/>
                  <wp:docPr id="849" name="AutoShape_1860_SpCnt_267"/>
                  <wp:cNvGraphicFramePr/>
                  <a:graphic xmlns:a="http://schemas.openxmlformats.org/drawingml/2006/main">
                    <a:graphicData uri="http://schemas.openxmlformats.org/drawingml/2006/picture">
                      <pic:pic xmlns:pic="http://schemas.openxmlformats.org/drawingml/2006/picture">
                        <pic:nvPicPr>
                          <pic:cNvPr id="849" name="AutoShape_1860_SpCnt_267"/>
                          <pic:cNvPicPr/>
                        </pic:nvPicPr>
                        <pic:blipFill>
                          <a:blip r:embed="rId25"/>
                          <a:stretch>
                            <a:fillRect/>
                          </a:stretch>
                        </pic:blipFill>
                        <pic:spPr>
                          <a:xfrm>
                            <a:off x="0" y="0"/>
                            <a:ext cx="304800" cy="30226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304800" cy="302260"/>
                  <wp:effectExtent l="0" t="0" r="0" b="0"/>
                  <wp:wrapNone/>
                  <wp:docPr id="848" name="AutoShape_1860_SpCnt_268"/>
                  <wp:cNvGraphicFramePr/>
                  <a:graphic xmlns:a="http://schemas.openxmlformats.org/drawingml/2006/main">
                    <a:graphicData uri="http://schemas.openxmlformats.org/drawingml/2006/picture">
                      <pic:pic xmlns:pic="http://schemas.openxmlformats.org/drawingml/2006/picture">
                        <pic:nvPicPr>
                          <pic:cNvPr id="848" name="AutoShape_1860_SpCnt_268"/>
                          <pic:cNvPicPr/>
                        </pic:nvPicPr>
                        <pic:blipFill>
                          <a:blip r:embed="rId25"/>
                          <a:stretch>
                            <a:fillRect/>
                          </a:stretch>
                        </pic:blipFill>
                        <pic:spPr>
                          <a:xfrm>
                            <a:off x="0" y="0"/>
                            <a:ext cx="304800" cy="30226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304800" cy="302260"/>
                  <wp:effectExtent l="0" t="0" r="0" b="0"/>
                  <wp:wrapNone/>
                  <wp:docPr id="802" name="AutoShape_1860_SpCnt_269"/>
                  <wp:cNvGraphicFramePr/>
                  <a:graphic xmlns:a="http://schemas.openxmlformats.org/drawingml/2006/main">
                    <a:graphicData uri="http://schemas.openxmlformats.org/drawingml/2006/picture">
                      <pic:pic xmlns:pic="http://schemas.openxmlformats.org/drawingml/2006/picture">
                        <pic:nvPicPr>
                          <pic:cNvPr id="802" name="AutoShape_1860_SpCnt_269"/>
                          <pic:cNvPicPr/>
                        </pic:nvPicPr>
                        <pic:blipFill>
                          <a:blip r:embed="rId25"/>
                          <a:stretch>
                            <a:fillRect/>
                          </a:stretch>
                        </pic:blipFill>
                        <pic:spPr>
                          <a:xfrm>
                            <a:off x="0" y="0"/>
                            <a:ext cx="304800" cy="30226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304800" cy="302260"/>
                  <wp:effectExtent l="0" t="0" r="0" b="0"/>
                  <wp:wrapNone/>
                  <wp:docPr id="847" name="AutoShape_1860_SpCnt_270"/>
                  <wp:cNvGraphicFramePr/>
                  <a:graphic xmlns:a="http://schemas.openxmlformats.org/drawingml/2006/main">
                    <a:graphicData uri="http://schemas.openxmlformats.org/drawingml/2006/picture">
                      <pic:pic xmlns:pic="http://schemas.openxmlformats.org/drawingml/2006/picture">
                        <pic:nvPicPr>
                          <pic:cNvPr id="847" name="AutoShape_1860_SpCnt_270"/>
                          <pic:cNvPicPr/>
                        </pic:nvPicPr>
                        <pic:blipFill>
                          <a:blip r:embed="rId25"/>
                          <a:stretch>
                            <a:fillRect/>
                          </a:stretch>
                        </pic:blipFill>
                        <pic:spPr>
                          <a:xfrm>
                            <a:off x="0" y="0"/>
                            <a:ext cx="304800" cy="30226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304800" cy="302260"/>
                  <wp:effectExtent l="0" t="0" r="0" b="0"/>
                  <wp:wrapNone/>
                  <wp:docPr id="846" name="AutoShape_1860_SpCnt_271"/>
                  <wp:cNvGraphicFramePr/>
                  <a:graphic xmlns:a="http://schemas.openxmlformats.org/drawingml/2006/main">
                    <a:graphicData uri="http://schemas.openxmlformats.org/drawingml/2006/picture">
                      <pic:pic xmlns:pic="http://schemas.openxmlformats.org/drawingml/2006/picture">
                        <pic:nvPicPr>
                          <pic:cNvPr id="846" name="AutoShape_1860_SpCnt_271"/>
                          <pic:cNvPicPr/>
                        </pic:nvPicPr>
                        <pic:blipFill>
                          <a:blip r:embed="rId25"/>
                          <a:stretch>
                            <a:fillRect/>
                          </a:stretch>
                        </pic:blipFill>
                        <pic:spPr>
                          <a:xfrm>
                            <a:off x="0" y="0"/>
                            <a:ext cx="304800" cy="30226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304800" cy="302260"/>
                  <wp:effectExtent l="0" t="0" r="0" b="0"/>
                  <wp:wrapNone/>
                  <wp:docPr id="878" name="AutoShape_1860_SpCnt_272"/>
                  <wp:cNvGraphicFramePr/>
                  <a:graphic xmlns:a="http://schemas.openxmlformats.org/drawingml/2006/main">
                    <a:graphicData uri="http://schemas.openxmlformats.org/drawingml/2006/picture">
                      <pic:pic xmlns:pic="http://schemas.openxmlformats.org/drawingml/2006/picture">
                        <pic:nvPicPr>
                          <pic:cNvPr id="878" name="AutoShape_1860_SpCnt_272"/>
                          <pic:cNvPicPr/>
                        </pic:nvPicPr>
                        <pic:blipFill>
                          <a:blip r:embed="rId25"/>
                          <a:stretch>
                            <a:fillRect/>
                          </a:stretch>
                        </pic:blipFill>
                        <pic:spPr>
                          <a:xfrm>
                            <a:off x="0" y="0"/>
                            <a:ext cx="304800" cy="30226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304800" cy="302260"/>
                  <wp:effectExtent l="0" t="0" r="0" b="0"/>
                  <wp:wrapNone/>
                  <wp:docPr id="845" name="AutoShape_1860_SpCnt_273"/>
                  <wp:cNvGraphicFramePr/>
                  <a:graphic xmlns:a="http://schemas.openxmlformats.org/drawingml/2006/main">
                    <a:graphicData uri="http://schemas.openxmlformats.org/drawingml/2006/picture">
                      <pic:pic xmlns:pic="http://schemas.openxmlformats.org/drawingml/2006/picture">
                        <pic:nvPicPr>
                          <pic:cNvPr id="845" name="AutoShape_1860_SpCnt_273"/>
                          <pic:cNvPicPr/>
                        </pic:nvPicPr>
                        <pic:blipFill>
                          <a:blip r:embed="rId25"/>
                          <a:stretch>
                            <a:fillRect/>
                          </a:stretch>
                        </pic:blipFill>
                        <pic:spPr>
                          <a:xfrm>
                            <a:off x="0" y="0"/>
                            <a:ext cx="304800" cy="30226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304800" cy="302260"/>
                  <wp:effectExtent l="0" t="0" r="0" b="0"/>
                  <wp:wrapNone/>
                  <wp:docPr id="880" name="AutoShape_1860_SpCnt_274"/>
                  <wp:cNvGraphicFramePr/>
                  <a:graphic xmlns:a="http://schemas.openxmlformats.org/drawingml/2006/main">
                    <a:graphicData uri="http://schemas.openxmlformats.org/drawingml/2006/picture">
                      <pic:pic xmlns:pic="http://schemas.openxmlformats.org/drawingml/2006/picture">
                        <pic:nvPicPr>
                          <pic:cNvPr id="880" name="AutoShape_1860_SpCnt_274"/>
                          <pic:cNvPicPr/>
                        </pic:nvPicPr>
                        <pic:blipFill>
                          <a:blip r:embed="rId25"/>
                          <a:stretch>
                            <a:fillRect/>
                          </a:stretch>
                        </pic:blipFill>
                        <pic:spPr>
                          <a:xfrm>
                            <a:off x="0" y="0"/>
                            <a:ext cx="304800" cy="30226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304800" cy="302260"/>
                  <wp:effectExtent l="0" t="0" r="0" b="0"/>
                  <wp:wrapNone/>
                  <wp:docPr id="844" name="AutoShape_1860_SpCnt_275"/>
                  <wp:cNvGraphicFramePr/>
                  <a:graphic xmlns:a="http://schemas.openxmlformats.org/drawingml/2006/main">
                    <a:graphicData uri="http://schemas.openxmlformats.org/drawingml/2006/picture">
                      <pic:pic xmlns:pic="http://schemas.openxmlformats.org/drawingml/2006/picture">
                        <pic:nvPicPr>
                          <pic:cNvPr id="844" name="AutoShape_1860_SpCnt_275"/>
                          <pic:cNvPicPr/>
                        </pic:nvPicPr>
                        <pic:blipFill>
                          <a:blip r:embed="rId25"/>
                          <a:stretch>
                            <a:fillRect/>
                          </a:stretch>
                        </pic:blipFill>
                        <pic:spPr>
                          <a:xfrm>
                            <a:off x="0" y="0"/>
                            <a:ext cx="304800" cy="30226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304800" cy="302260"/>
                  <wp:effectExtent l="0" t="0" r="0" b="0"/>
                  <wp:wrapNone/>
                  <wp:docPr id="798" name="AutoShape_1860_SpCnt_276"/>
                  <wp:cNvGraphicFramePr/>
                  <a:graphic xmlns:a="http://schemas.openxmlformats.org/drawingml/2006/main">
                    <a:graphicData uri="http://schemas.openxmlformats.org/drawingml/2006/picture">
                      <pic:pic xmlns:pic="http://schemas.openxmlformats.org/drawingml/2006/picture">
                        <pic:nvPicPr>
                          <pic:cNvPr id="798" name="AutoShape_1860_SpCnt_276"/>
                          <pic:cNvPicPr/>
                        </pic:nvPicPr>
                        <pic:blipFill>
                          <a:blip r:embed="rId25"/>
                          <a:stretch>
                            <a:fillRect/>
                          </a:stretch>
                        </pic:blipFill>
                        <pic:spPr>
                          <a:xfrm>
                            <a:off x="0" y="0"/>
                            <a:ext cx="304800" cy="30226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304800" cy="302260"/>
                  <wp:effectExtent l="0" t="0" r="0" b="0"/>
                  <wp:wrapNone/>
                  <wp:docPr id="839" name="AutoShape_1860_SpCnt_277"/>
                  <wp:cNvGraphicFramePr/>
                  <a:graphic xmlns:a="http://schemas.openxmlformats.org/drawingml/2006/main">
                    <a:graphicData uri="http://schemas.openxmlformats.org/drawingml/2006/picture">
                      <pic:pic xmlns:pic="http://schemas.openxmlformats.org/drawingml/2006/picture">
                        <pic:nvPicPr>
                          <pic:cNvPr id="839" name="AutoShape_1860_SpCnt_277"/>
                          <pic:cNvPicPr/>
                        </pic:nvPicPr>
                        <pic:blipFill>
                          <a:blip r:embed="rId25"/>
                          <a:stretch>
                            <a:fillRect/>
                          </a:stretch>
                        </pic:blipFill>
                        <pic:spPr>
                          <a:xfrm>
                            <a:off x="0" y="0"/>
                            <a:ext cx="304800" cy="30226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304800" cy="302260"/>
                  <wp:effectExtent l="0" t="0" r="0" b="0"/>
                  <wp:wrapNone/>
                  <wp:docPr id="841" name="AutoShape_1860_SpCnt_278"/>
                  <wp:cNvGraphicFramePr/>
                  <a:graphic xmlns:a="http://schemas.openxmlformats.org/drawingml/2006/main">
                    <a:graphicData uri="http://schemas.openxmlformats.org/drawingml/2006/picture">
                      <pic:pic xmlns:pic="http://schemas.openxmlformats.org/drawingml/2006/picture">
                        <pic:nvPicPr>
                          <pic:cNvPr id="841" name="AutoShape_1860_SpCnt_278"/>
                          <pic:cNvPicPr/>
                        </pic:nvPicPr>
                        <pic:blipFill>
                          <a:blip r:embed="rId25"/>
                          <a:stretch>
                            <a:fillRect/>
                          </a:stretch>
                        </pic:blipFill>
                        <pic:spPr>
                          <a:xfrm>
                            <a:off x="0" y="0"/>
                            <a:ext cx="304800" cy="30226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304800" cy="302260"/>
                  <wp:effectExtent l="0" t="0" r="0" b="0"/>
                  <wp:wrapNone/>
                  <wp:docPr id="842" name="AutoShape_1860_SpCnt_279"/>
                  <wp:cNvGraphicFramePr/>
                  <a:graphic xmlns:a="http://schemas.openxmlformats.org/drawingml/2006/main">
                    <a:graphicData uri="http://schemas.openxmlformats.org/drawingml/2006/picture">
                      <pic:pic xmlns:pic="http://schemas.openxmlformats.org/drawingml/2006/picture">
                        <pic:nvPicPr>
                          <pic:cNvPr id="842" name="AutoShape_1860_SpCnt_279"/>
                          <pic:cNvPicPr/>
                        </pic:nvPicPr>
                        <pic:blipFill>
                          <a:blip r:embed="rId25"/>
                          <a:stretch>
                            <a:fillRect/>
                          </a:stretch>
                        </pic:blipFill>
                        <pic:spPr>
                          <a:xfrm>
                            <a:off x="0" y="0"/>
                            <a:ext cx="304800" cy="30226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304800" cy="302260"/>
                  <wp:effectExtent l="0" t="0" r="0" b="0"/>
                  <wp:wrapNone/>
                  <wp:docPr id="840" name="AutoShape_1860_SpCnt_280"/>
                  <wp:cNvGraphicFramePr/>
                  <a:graphic xmlns:a="http://schemas.openxmlformats.org/drawingml/2006/main">
                    <a:graphicData uri="http://schemas.openxmlformats.org/drawingml/2006/picture">
                      <pic:pic xmlns:pic="http://schemas.openxmlformats.org/drawingml/2006/picture">
                        <pic:nvPicPr>
                          <pic:cNvPr id="840" name="AutoShape_1860_SpCnt_280"/>
                          <pic:cNvPicPr/>
                        </pic:nvPicPr>
                        <pic:blipFill>
                          <a:blip r:embed="rId25"/>
                          <a:stretch>
                            <a:fillRect/>
                          </a:stretch>
                        </pic:blipFill>
                        <pic:spPr>
                          <a:xfrm>
                            <a:off x="0" y="0"/>
                            <a:ext cx="304800" cy="30226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304800" cy="302260"/>
                  <wp:effectExtent l="0" t="0" r="0" b="0"/>
                  <wp:wrapNone/>
                  <wp:docPr id="855" name="AutoShape_1860_SpCnt_281"/>
                  <wp:cNvGraphicFramePr/>
                  <a:graphic xmlns:a="http://schemas.openxmlformats.org/drawingml/2006/main">
                    <a:graphicData uri="http://schemas.openxmlformats.org/drawingml/2006/picture">
                      <pic:pic xmlns:pic="http://schemas.openxmlformats.org/drawingml/2006/picture">
                        <pic:nvPicPr>
                          <pic:cNvPr id="855" name="AutoShape_1860_SpCnt_281"/>
                          <pic:cNvPicPr/>
                        </pic:nvPicPr>
                        <pic:blipFill>
                          <a:blip r:embed="rId25"/>
                          <a:stretch>
                            <a:fillRect/>
                          </a:stretch>
                        </pic:blipFill>
                        <pic:spPr>
                          <a:xfrm>
                            <a:off x="0" y="0"/>
                            <a:ext cx="304800" cy="30226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304800" cy="302260"/>
                  <wp:effectExtent l="0" t="0" r="0" b="0"/>
                  <wp:wrapNone/>
                  <wp:docPr id="860" name="AutoShape_1860_SpCnt_282"/>
                  <wp:cNvGraphicFramePr/>
                  <a:graphic xmlns:a="http://schemas.openxmlformats.org/drawingml/2006/main">
                    <a:graphicData uri="http://schemas.openxmlformats.org/drawingml/2006/picture">
                      <pic:pic xmlns:pic="http://schemas.openxmlformats.org/drawingml/2006/picture">
                        <pic:nvPicPr>
                          <pic:cNvPr id="860" name="AutoShape_1860_SpCnt_282"/>
                          <pic:cNvPicPr/>
                        </pic:nvPicPr>
                        <pic:blipFill>
                          <a:blip r:embed="rId25"/>
                          <a:stretch>
                            <a:fillRect/>
                          </a:stretch>
                        </pic:blipFill>
                        <pic:spPr>
                          <a:xfrm>
                            <a:off x="0" y="0"/>
                            <a:ext cx="304800" cy="30226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304800" cy="302260"/>
                  <wp:effectExtent l="0" t="0" r="0" b="0"/>
                  <wp:wrapNone/>
                  <wp:docPr id="739" name="AutoShape_1860_SpCnt_283"/>
                  <wp:cNvGraphicFramePr/>
                  <a:graphic xmlns:a="http://schemas.openxmlformats.org/drawingml/2006/main">
                    <a:graphicData uri="http://schemas.openxmlformats.org/drawingml/2006/picture">
                      <pic:pic xmlns:pic="http://schemas.openxmlformats.org/drawingml/2006/picture">
                        <pic:nvPicPr>
                          <pic:cNvPr id="739" name="AutoShape_1860_SpCnt_283"/>
                          <pic:cNvPicPr/>
                        </pic:nvPicPr>
                        <pic:blipFill>
                          <a:blip r:embed="rId25"/>
                          <a:stretch>
                            <a:fillRect/>
                          </a:stretch>
                        </pic:blipFill>
                        <pic:spPr>
                          <a:xfrm>
                            <a:off x="0" y="0"/>
                            <a:ext cx="304800" cy="30226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304800" cy="302260"/>
                  <wp:effectExtent l="0" t="0" r="0" b="0"/>
                  <wp:wrapNone/>
                  <wp:docPr id="866" name="AutoShape_1860_SpCnt_284"/>
                  <wp:cNvGraphicFramePr/>
                  <a:graphic xmlns:a="http://schemas.openxmlformats.org/drawingml/2006/main">
                    <a:graphicData uri="http://schemas.openxmlformats.org/drawingml/2006/picture">
                      <pic:pic xmlns:pic="http://schemas.openxmlformats.org/drawingml/2006/picture">
                        <pic:nvPicPr>
                          <pic:cNvPr id="866" name="AutoShape_1860_SpCnt_284"/>
                          <pic:cNvPicPr/>
                        </pic:nvPicPr>
                        <pic:blipFill>
                          <a:blip r:embed="rId25"/>
                          <a:stretch>
                            <a:fillRect/>
                          </a:stretch>
                        </pic:blipFill>
                        <pic:spPr>
                          <a:xfrm>
                            <a:off x="0" y="0"/>
                            <a:ext cx="304800" cy="30226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304800" cy="302260"/>
                  <wp:effectExtent l="0" t="0" r="0" b="0"/>
                  <wp:wrapNone/>
                  <wp:docPr id="790" name="AutoShape_1860_SpCnt_285"/>
                  <wp:cNvGraphicFramePr/>
                  <a:graphic xmlns:a="http://schemas.openxmlformats.org/drawingml/2006/main">
                    <a:graphicData uri="http://schemas.openxmlformats.org/drawingml/2006/picture">
                      <pic:pic xmlns:pic="http://schemas.openxmlformats.org/drawingml/2006/picture">
                        <pic:nvPicPr>
                          <pic:cNvPr id="790" name="AutoShape_1860_SpCnt_285"/>
                          <pic:cNvPicPr/>
                        </pic:nvPicPr>
                        <pic:blipFill>
                          <a:blip r:embed="rId25"/>
                          <a:stretch>
                            <a:fillRect/>
                          </a:stretch>
                        </pic:blipFill>
                        <pic:spPr>
                          <a:xfrm>
                            <a:off x="0" y="0"/>
                            <a:ext cx="304800" cy="30226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304800" cy="302260"/>
                  <wp:effectExtent l="0" t="0" r="0" b="0"/>
                  <wp:wrapNone/>
                  <wp:docPr id="870" name="AutoShape_1860_SpCnt_286"/>
                  <wp:cNvGraphicFramePr/>
                  <a:graphic xmlns:a="http://schemas.openxmlformats.org/drawingml/2006/main">
                    <a:graphicData uri="http://schemas.openxmlformats.org/drawingml/2006/picture">
                      <pic:pic xmlns:pic="http://schemas.openxmlformats.org/drawingml/2006/picture">
                        <pic:nvPicPr>
                          <pic:cNvPr id="870" name="AutoShape_1860_SpCnt_286"/>
                          <pic:cNvPicPr/>
                        </pic:nvPicPr>
                        <pic:blipFill>
                          <a:blip r:embed="rId25"/>
                          <a:stretch>
                            <a:fillRect/>
                          </a:stretch>
                        </pic:blipFill>
                        <pic:spPr>
                          <a:xfrm>
                            <a:off x="0" y="0"/>
                            <a:ext cx="304800" cy="30226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304800" cy="304800"/>
                  <wp:effectExtent l="0" t="0" r="0" b="0"/>
                  <wp:wrapNone/>
                  <wp:docPr id="1078" name="AutoShape_1860_SpCnt_287"/>
                  <wp:cNvGraphicFramePr/>
                  <a:graphic xmlns:a="http://schemas.openxmlformats.org/drawingml/2006/main">
                    <a:graphicData uri="http://schemas.openxmlformats.org/drawingml/2006/picture">
                      <pic:pic xmlns:pic="http://schemas.openxmlformats.org/drawingml/2006/picture">
                        <pic:nvPicPr>
                          <pic:cNvPr id="1078" name="AutoShape_1860_SpCnt_287"/>
                          <pic:cNvPicPr/>
                        </pic:nvPicPr>
                        <pic:blipFill>
                          <a:blip r:embed="rId25"/>
                          <a:stretch>
                            <a:fillRect/>
                          </a:stretch>
                        </pic:blipFill>
                        <pic:spPr>
                          <a:xfrm>
                            <a:off x="0" y="0"/>
                            <a:ext cx="304800" cy="30480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52" name="AutoShape_1860_SpCnt_288"/>
                  <wp:cNvGraphicFramePr/>
                  <a:graphic xmlns:a="http://schemas.openxmlformats.org/drawingml/2006/main">
                    <a:graphicData uri="http://schemas.openxmlformats.org/drawingml/2006/picture">
                      <pic:pic xmlns:pic="http://schemas.openxmlformats.org/drawingml/2006/picture">
                        <pic:nvPicPr>
                          <pic:cNvPr id="1152" name="AutoShape_1860_SpCnt_288"/>
                          <pic:cNvPicPr/>
                        </pic:nvPicPr>
                        <pic:blipFill>
                          <a:blip r:embed="rId25"/>
                          <a:stretch>
                            <a:fillRect/>
                          </a:stretch>
                        </pic:blipFill>
                        <pic:spPr>
                          <a:xfrm>
                            <a:off x="0" y="0"/>
                            <a:ext cx="304800" cy="30480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37" name="AutoShape_1860_SpCnt_289"/>
                  <wp:cNvGraphicFramePr/>
                  <a:graphic xmlns:a="http://schemas.openxmlformats.org/drawingml/2006/main">
                    <a:graphicData uri="http://schemas.openxmlformats.org/drawingml/2006/picture">
                      <pic:pic xmlns:pic="http://schemas.openxmlformats.org/drawingml/2006/picture">
                        <pic:nvPicPr>
                          <pic:cNvPr id="1137" name="AutoShape_1860_SpCnt_289"/>
                          <pic:cNvPicPr/>
                        </pic:nvPicPr>
                        <pic:blipFill>
                          <a:blip r:embed="rId25"/>
                          <a:stretch>
                            <a:fillRect/>
                          </a:stretch>
                        </pic:blipFill>
                        <pic:spPr>
                          <a:xfrm>
                            <a:off x="0" y="0"/>
                            <a:ext cx="304800" cy="30480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41" name="AutoShape_1860_SpCnt_290"/>
                  <wp:cNvGraphicFramePr/>
                  <a:graphic xmlns:a="http://schemas.openxmlformats.org/drawingml/2006/main">
                    <a:graphicData uri="http://schemas.openxmlformats.org/drawingml/2006/picture">
                      <pic:pic xmlns:pic="http://schemas.openxmlformats.org/drawingml/2006/picture">
                        <pic:nvPicPr>
                          <pic:cNvPr id="1141" name="AutoShape_1860_SpCnt_290"/>
                          <pic:cNvPicPr/>
                        </pic:nvPicPr>
                        <pic:blipFill>
                          <a:blip r:embed="rId25"/>
                          <a:stretch>
                            <a:fillRect/>
                          </a:stretch>
                        </pic:blipFill>
                        <pic:spPr>
                          <a:xfrm>
                            <a:off x="0" y="0"/>
                            <a:ext cx="304800" cy="30480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24" name="AutoShape_1860_SpCnt_291"/>
                  <wp:cNvGraphicFramePr/>
                  <a:graphic xmlns:a="http://schemas.openxmlformats.org/drawingml/2006/main">
                    <a:graphicData uri="http://schemas.openxmlformats.org/drawingml/2006/picture">
                      <pic:pic xmlns:pic="http://schemas.openxmlformats.org/drawingml/2006/picture">
                        <pic:nvPicPr>
                          <pic:cNvPr id="1124" name="AutoShape_1860_SpCnt_291"/>
                          <pic:cNvPicPr/>
                        </pic:nvPicPr>
                        <pic:blipFill>
                          <a:blip r:embed="rId25"/>
                          <a:stretch>
                            <a:fillRect/>
                          </a:stretch>
                        </pic:blipFill>
                        <pic:spPr>
                          <a:xfrm>
                            <a:off x="0" y="0"/>
                            <a:ext cx="304800" cy="30480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58" name="AutoShape_1860_SpCnt_292"/>
                  <wp:cNvGraphicFramePr/>
                  <a:graphic xmlns:a="http://schemas.openxmlformats.org/drawingml/2006/main">
                    <a:graphicData uri="http://schemas.openxmlformats.org/drawingml/2006/picture">
                      <pic:pic xmlns:pic="http://schemas.openxmlformats.org/drawingml/2006/picture">
                        <pic:nvPicPr>
                          <pic:cNvPr id="1158" name="AutoShape_1860_SpCnt_292"/>
                          <pic:cNvPicPr/>
                        </pic:nvPicPr>
                        <pic:blipFill>
                          <a:blip r:embed="rId25"/>
                          <a:stretch>
                            <a:fillRect/>
                          </a:stretch>
                        </pic:blipFill>
                        <pic:spPr>
                          <a:xfrm>
                            <a:off x="0" y="0"/>
                            <a:ext cx="304800" cy="30480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57" name="AutoShape_1860_SpCnt_293"/>
                  <wp:cNvGraphicFramePr/>
                  <a:graphic xmlns:a="http://schemas.openxmlformats.org/drawingml/2006/main">
                    <a:graphicData uri="http://schemas.openxmlformats.org/drawingml/2006/picture">
                      <pic:pic xmlns:pic="http://schemas.openxmlformats.org/drawingml/2006/picture">
                        <pic:nvPicPr>
                          <pic:cNvPr id="1157" name="AutoShape_1860_SpCnt_293"/>
                          <pic:cNvPicPr/>
                        </pic:nvPicPr>
                        <pic:blipFill>
                          <a:blip r:embed="rId25"/>
                          <a:stretch>
                            <a:fillRect/>
                          </a:stretch>
                        </pic:blipFill>
                        <pic:spPr>
                          <a:xfrm>
                            <a:off x="0" y="0"/>
                            <a:ext cx="304800" cy="30480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56" name="AutoShape_1860_SpCnt_294"/>
                  <wp:cNvGraphicFramePr/>
                  <a:graphic xmlns:a="http://schemas.openxmlformats.org/drawingml/2006/main">
                    <a:graphicData uri="http://schemas.openxmlformats.org/drawingml/2006/picture">
                      <pic:pic xmlns:pic="http://schemas.openxmlformats.org/drawingml/2006/picture">
                        <pic:nvPicPr>
                          <pic:cNvPr id="1156" name="AutoShape_1860_SpCnt_294"/>
                          <pic:cNvPicPr/>
                        </pic:nvPicPr>
                        <pic:blipFill>
                          <a:blip r:embed="rId25"/>
                          <a:stretch>
                            <a:fillRect/>
                          </a:stretch>
                        </pic:blipFill>
                        <pic:spPr>
                          <a:xfrm>
                            <a:off x="0" y="0"/>
                            <a:ext cx="304800" cy="30480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55" name="AutoShape_1860_SpCnt_295"/>
                  <wp:cNvGraphicFramePr/>
                  <a:graphic xmlns:a="http://schemas.openxmlformats.org/drawingml/2006/main">
                    <a:graphicData uri="http://schemas.openxmlformats.org/drawingml/2006/picture">
                      <pic:pic xmlns:pic="http://schemas.openxmlformats.org/drawingml/2006/picture">
                        <pic:nvPicPr>
                          <pic:cNvPr id="1155" name="AutoShape_1860_SpCnt_295"/>
                          <pic:cNvPicPr/>
                        </pic:nvPicPr>
                        <pic:blipFill>
                          <a:blip r:embed="rId25"/>
                          <a:stretch>
                            <a:fillRect/>
                          </a:stretch>
                        </pic:blipFill>
                        <pic:spPr>
                          <a:xfrm>
                            <a:off x="0" y="0"/>
                            <a:ext cx="304800" cy="30480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54" name="AutoShape_1860_SpCnt_296"/>
                  <wp:cNvGraphicFramePr/>
                  <a:graphic xmlns:a="http://schemas.openxmlformats.org/drawingml/2006/main">
                    <a:graphicData uri="http://schemas.openxmlformats.org/drawingml/2006/picture">
                      <pic:pic xmlns:pic="http://schemas.openxmlformats.org/drawingml/2006/picture">
                        <pic:nvPicPr>
                          <pic:cNvPr id="1154" name="AutoShape_1860_SpCnt_296"/>
                          <pic:cNvPicPr/>
                        </pic:nvPicPr>
                        <pic:blipFill>
                          <a:blip r:embed="rId25"/>
                          <a:stretch>
                            <a:fillRect/>
                          </a:stretch>
                        </pic:blipFill>
                        <pic:spPr>
                          <a:xfrm>
                            <a:off x="0" y="0"/>
                            <a:ext cx="304800" cy="30480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53" name="AutoShape_1860_SpCnt_297"/>
                  <wp:cNvGraphicFramePr/>
                  <a:graphic xmlns:a="http://schemas.openxmlformats.org/drawingml/2006/main">
                    <a:graphicData uri="http://schemas.openxmlformats.org/drawingml/2006/picture">
                      <pic:pic xmlns:pic="http://schemas.openxmlformats.org/drawingml/2006/picture">
                        <pic:nvPicPr>
                          <pic:cNvPr id="1153" name="AutoShape_1860_SpCnt_297"/>
                          <pic:cNvPicPr/>
                        </pic:nvPicPr>
                        <pic:blipFill>
                          <a:blip r:embed="rId25"/>
                          <a:stretch>
                            <a:fillRect/>
                          </a:stretch>
                        </pic:blipFill>
                        <pic:spPr>
                          <a:xfrm>
                            <a:off x="0" y="0"/>
                            <a:ext cx="304800" cy="30480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16" name="AutoShape_1860_SpCnt_298"/>
                  <wp:cNvGraphicFramePr/>
                  <a:graphic xmlns:a="http://schemas.openxmlformats.org/drawingml/2006/main">
                    <a:graphicData uri="http://schemas.openxmlformats.org/drawingml/2006/picture">
                      <pic:pic xmlns:pic="http://schemas.openxmlformats.org/drawingml/2006/picture">
                        <pic:nvPicPr>
                          <pic:cNvPr id="1116" name="AutoShape_1860_SpCnt_298"/>
                          <pic:cNvPicPr/>
                        </pic:nvPicPr>
                        <pic:blipFill>
                          <a:blip r:embed="rId25"/>
                          <a:stretch>
                            <a:fillRect/>
                          </a:stretch>
                        </pic:blipFill>
                        <pic:spPr>
                          <a:xfrm>
                            <a:off x="0" y="0"/>
                            <a:ext cx="304800" cy="30480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50" name="AutoShape_1860_SpCnt_299"/>
                  <wp:cNvGraphicFramePr/>
                  <a:graphic xmlns:a="http://schemas.openxmlformats.org/drawingml/2006/main">
                    <a:graphicData uri="http://schemas.openxmlformats.org/drawingml/2006/picture">
                      <pic:pic xmlns:pic="http://schemas.openxmlformats.org/drawingml/2006/picture">
                        <pic:nvPicPr>
                          <pic:cNvPr id="1150" name="AutoShape_1860_SpCnt_299"/>
                          <pic:cNvPicPr/>
                        </pic:nvPicPr>
                        <pic:blipFill>
                          <a:blip r:embed="rId25"/>
                          <a:stretch>
                            <a:fillRect/>
                          </a:stretch>
                        </pic:blipFill>
                        <pic:spPr>
                          <a:xfrm>
                            <a:off x="0" y="0"/>
                            <a:ext cx="304800" cy="30480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06368"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49" name="AutoShape_1860_SpCnt_300"/>
                  <wp:cNvGraphicFramePr/>
                  <a:graphic xmlns:a="http://schemas.openxmlformats.org/drawingml/2006/main">
                    <a:graphicData uri="http://schemas.openxmlformats.org/drawingml/2006/picture">
                      <pic:pic xmlns:pic="http://schemas.openxmlformats.org/drawingml/2006/picture">
                        <pic:nvPicPr>
                          <pic:cNvPr id="1149" name="AutoShape_1860_SpCnt_300"/>
                          <pic:cNvPicPr/>
                        </pic:nvPicPr>
                        <pic:blipFill>
                          <a:blip r:embed="rId25"/>
                          <a:stretch>
                            <a:fillRect/>
                          </a:stretch>
                        </pic:blipFill>
                        <pic:spPr>
                          <a:xfrm>
                            <a:off x="0" y="0"/>
                            <a:ext cx="304800" cy="30480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48" name="AutoShape_1860_SpCnt_301"/>
                  <wp:cNvGraphicFramePr/>
                  <a:graphic xmlns:a="http://schemas.openxmlformats.org/drawingml/2006/main">
                    <a:graphicData uri="http://schemas.openxmlformats.org/drawingml/2006/picture">
                      <pic:pic xmlns:pic="http://schemas.openxmlformats.org/drawingml/2006/picture">
                        <pic:nvPicPr>
                          <pic:cNvPr id="1148" name="AutoShape_1860_SpCnt_301"/>
                          <pic:cNvPicPr/>
                        </pic:nvPicPr>
                        <pic:blipFill>
                          <a:blip r:embed="rId25"/>
                          <a:stretch>
                            <a:fillRect/>
                          </a:stretch>
                        </pic:blipFill>
                        <pic:spPr>
                          <a:xfrm>
                            <a:off x="0" y="0"/>
                            <a:ext cx="304800" cy="30480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47" name="AutoShape_1860_SpCnt_302"/>
                  <wp:cNvGraphicFramePr/>
                  <a:graphic xmlns:a="http://schemas.openxmlformats.org/drawingml/2006/main">
                    <a:graphicData uri="http://schemas.openxmlformats.org/drawingml/2006/picture">
                      <pic:pic xmlns:pic="http://schemas.openxmlformats.org/drawingml/2006/picture">
                        <pic:nvPicPr>
                          <pic:cNvPr id="1147" name="AutoShape_1860_SpCnt_302"/>
                          <pic:cNvPicPr/>
                        </pic:nvPicPr>
                        <pic:blipFill>
                          <a:blip r:embed="rId25"/>
                          <a:stretch>
                            <a:fillRect/>
                          </a:stretch>
                        </pic:blipFill>
                        <pic:spPr>
                          <a:xfrm>
                            <a:off x="0" y="0"/>
                            <a:ext cx="304800" cy="30480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46" name="AutoShape_1860_SpCnt_303"/>
                  <wp:cNvGraphicFramePr/>
                  <a:graphic xmlns:a="http://schemas.openxmlformats.org/drawingml/2006/main">
                    <a:graphicData uri="http://schemas.openxmlformats.org/drawingml/2006/picture">
                      <pic:pic xmlns:pic="http://schemas.openxmlformats.org/drawingml/2006/picture">
                        <pic:nvPicPr>
                          <pic:cNvPr id="1146" name="AutoShape_1860_SpCnt_303"/>
                          <pic:cNvPicPr/>
                        </pic:nvPicPr>
                        <pic:blipFill>
                          <a:blip r:embed="rId25"/>
                          <a:stretch>
                            <a:fillRect/>
                          </a:stretch>
                        </pic:blipFill>
                        <pic:spPr>
                          <a:xfrm>
                            <a:off x="0" y="0"/>
                            <a:ext cx="304800" cy="30480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45" name="AutoShape_1860_SpCnt_304"/>
                  <wp:cNvGraphicFramePr/>
                  <a:graphic xmlns:a="http://schemas.openxmlformats.org/drawingml/2006/main">
                    <a:graphicData uri="http://schemas.openxmlformats.org/drawingml/2006/picture">
                      <pic:pic xmlns:pic="http://schemas.openxmlformats.org/drawingml/2006/picture">
                        <pic:nvPicPr>
                          <pic:cNvPr id="1145" name="AutoShape_1860_SpCnt_304"/>
                          <pic:cNvPicPr/>
                        </pic:nvPicPr>
                        <pic:blipFill>
                          <a:blip r:embed="rId25"/>
                          <a:stretch>
                            <a:fillRect/>
                          </a:stretch>
                        </pic:blipFill>
                        <pic:spPr>
                          <a:xfrm>
                            <a:off x="0" y="0"/>
                            <a:ext cx="304800" cy="30480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11488" behindDoc="0" locked="0" layoutInCell="1" allowOverlap="1">
                  <wp:simplePos x="0" y="0"/>
                  <wp:positionH relativeFrom="column">
                    <wp:posOffset>0</wp:posOffset>
                  </wp:positionH>
                  <wp:positionV relativeFrom="paragraph">
                    <wp:posOffset>0</wp:posOffset>
                  </wp:positionV>
                  <wp:extent cx="304800" cy="302260"/>
                  <wp:effectExtent l="0" t="0" r="0" b="0"/>
                  <wp:wrapNone/>
                  <wp:docPr id="1144" name="AutoShape_1860_SpCnt_305"/>
                  <wp:cNvGraphicFramePr/>
                  <a:graphic xmlns:a="http://schemas.openxmlformats.org/drawingml/2006/main">
                    <a:graphicData uri="http://schemas.openxmlformats.org/drawingml/2006/picture">
                      <pic:pic xmlns:pic="http://schemas.openxmlformats.org/drawingml/2006/picture">
                        <pic:nvPicPr>
                          <pic:cNvPr id="1144" name="AutoShape_1860_SpCnt_305"/>
                          <pic:cNvPicPr/>
                        </pic:nvPicPr>
                        <pic:blipFill>
                          <a:blip r:embed="rId25"/>
                          <a:stretch>
                            <a:fillRect/>
                          </a:stretch>
                        </pic:blipFill>
                        <pic:spPr>
                          <a:xfrm>
                            <a:off x="0" y="0"/>
                            <a:ext cx="304800" cy="30226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12512" behindDoc="0" locked="0" layoutInCell="1" allowOverlap="1">
                  <wp:simplePos x="0" y="0"/>
                  <wp:positionH relativeFrom="column">
                    <wp:posOffset>0</wp:posOffset>
                  </wp:positionH>
                  <wp:positionV relativeFrom="paragraph">
                    <wp:posOffset>0</wp:posOffset>
                  </wp:positionV>
                  <wp:extent cx="304800" cy="302260"/>
                  <wp:effectExtent l="0" t="0" r="0" b="0"/>
                  <wp:wrapNone/>
                  <wp:docPr id="1140" name="AutoShape_1860_SpCnt_306"/>
                  <wp:cNvGraphicFramePr/>
                  <a:graphic xmlns:a="http://schemas.openxmlformats.org/drawingml/2006/main">
                    <a:graphicData uri="http://schemas.openxmlformats.org/drawingml/2006/picture">
                      <pic:pic xmlns:pic="http://schemas.openxmlformats.org/drawingml/2006/picture">
                        <pic:nvPicPr>
                          <pic:cNvPr id="1140" name="AutoShape_1860_SpCnt_306"/>
                          <pic:cNvPicPr/>
                        </pic:nvPicPr>
                        <pic:blipFill>
                          <a:blip r:embed="rId25"/>
                          <a:stretch>
                            <a:fillRect/>
                          </a:stretch>
                        </pic:blipFill>
                        <pic:spPr>
                          <a:xfrm>
                            <a:off x="0" y="0"/>
                            <a:ext cx="304800" cy="30226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13536" behindDoc="0" locked="0" layoutInCell="1" allowOverlap="1">
                  <wp:simplePos x="0" y="0"/>
                  <wp:positionH relativeFrom="column">
                    <wp:posOffset>0</wp:posOffset>
                  </wp:positionH>
                  <wp:positionV relativeFrom="paragraph">
                    <wp:posOffset>0</wp:posOffset>
                  </wp:positionV>
                  <wp:extent cx="304800" cy="302260"/>
                  <wp:effectExtent l="0" t="0" r="0" b="0"/>
                  <wp:wrapNone/>
                  <wp:docPr id="1139" name="AutoShape_1860_SpCnt_307"/>
                  <wp:cNvGraphicFramePr/>
                  <a:graphic xmlns:a="http://schemas.openxmlformats.org/drawingml/2006/main">
                    <a:graphicData uri="http://schemas.openxmlformats.org/drawingml/2006/picture">
                      <pic:pic xmlns:pic="http://schemas.openxmlformats.org/drawingml/2006/picture">
                        <pic:nvPicPr>
                          <pic:cNvPr id="1139" name="AutoShape_1860_SpCnt_307"/>
                          <pic:cNvPicPr/>
                        </pic:nvPicPr>
                        <pic:blipFill>
                          <a:blip r:embed="rId25"/>
                          <a:stretch>
                            <a:fillRect/>
                          </a:stretch>
                        </pic:blipFill>
                        <pic:spPr>
                          <a:xfrm>
                            <a:off x="0" y="0"/>
                            <a:ext cx="304800" cy="30226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14560" behindDoc="0" locked="0" layoutInCell="1" allowOverlap="1">
                  <wp:simplePos x="0" y="0"/>
                  <wp:positionH relativeFrom="column">
                    <wp:posOffset>0</wp:posOffset>
                  </wp:positionH>
                  <wp:positionV relativeFrom="paragraph">
                    <wp:posOffset>0</wp:posOffset>
                  </wp:positionV>
                  <wp:extent cx="304800" cy="302260"/>
                  <wp:effectExtent l="0" t="0" r="0" b="0"/>
                  <wp:wrapNone/>
                  <wp:docPr id="1138" name="AutoShape_1860_SpCnt_308"/>
                  <wp:cNvGraphicFramePr/>
                  <a:graphic xmlns:a="http://schemas.openxmlformats.org/drawingml/2006/main">
                    <a:graphicData uri="http://schemas.openxmlformats.org/drawingml/2006/picture">
                      <pic:pic xmlns:pic="http://schemas.openxmlformats.org/drawingml/2006/picture">
                        <pic:nvPicPr>
                          <pic:cNvPr id="1138" name="AutoShape_1860_SpCnt_308"/>
                          <pic:cNvPicPr/>
                        </pic:nvPicPr>
                        <pic:blipFill>
                          <a:blip r:embed="rId25"/>
                          <a:stretch>
                            <a:fillRect/>
                          </a:stretch>
                        </pic:blipFill>
                        <pic:spPr>
                          <a:xfrm>
                            <a:off x="0" y="0"/>
                            <a:ext cx="304800" cy="30226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15584" behindDoc="0" locked="0" layoutInCell="1" allowOverlap="1">
                  <wp:simplePos x="0" y="0"/>
                  <wp:positionH relativeFrom="column">
                    <wp:posOffset>0</wp:posOffset>
                  </wp:positionH>
                  <wp:positionV relativeFrom="paragraph">
                    <wp:posOffset>0</wp:posOffset>
                  </wp:positionV>
                  <wp:extent cx="304800" cy="302260"/>
                  <wp:effectExtent l="0" t="0" r="0" b="0"/>
                  <wp:wrapNone/>
                  <wp:docPr id="1135" name="AutoShape_1860_SpCnt_309"/>
                  <wp:cNvGraphicFramePr/>
                  <a:graphic xmlns:a="http://schemas.openxmlformats.org/drawingml/2006/main">
                    <a:graphicData uri="http://schemas.openxmlformats.org/drawingml/2006/picture">
                      <pic:pic xmlns:pic="http://schemas.openxmlformats.org/drawingml/2006/picture">
                        <pic:nvPicPr>
                          <pic:cNvPr id="1135" name="AutoShape_1860_SpCnt_309"/>
                          <pic:cNvPicPr/>
                        </pic:nvPicPr>
                        <pic:blipFill>
                          <a:blip r:embed="rId25"/>
                          <a:stretch>
                            <a:fillRect/>
                          </a:stretch>
                        </pic:blipFill>
                        <pic:spPr>
                          <a:xfrm>
                            <a:off x="0" y="0"/>
                            <a:ext cx="304800" cy="30226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16608" behindDoc="0" locked="0" layoutInCell="1" allowOverlap="1">
                  <wp:simplePos x="0" y="0"/>
                  <wp:positionH relativeFrom="column">
                    <wp:posOffset>0</wp:posOffset>
                  </wp:positionH>
                  <wp:positionV relativeFrom="paragraph">
                    <wp:posOffset>0</wp:posOffset>
                  </wp:positionV>
                  <wp:extent cx="304800" cy="302260"/>
                  <wp:effectExtent l="0" t="0" r="0" b="0"/>
                  <wp:wrapNone/>
                  <wp:docPr id="1134" name="AutoShape_1860_SpCnt_310"/>
                  <wp:cNvGraphicFramePr/>
                  <a:graphic xmlns:a="http://schemas.openxmlformats.org/drawingml/2006/main">
                    <a:graphicData uri="http://schemas.openxmlformats.org/drawingml/2006/picture">
                      <pic:pic xmlns:pic="http://schemas.openxmlformats.org/drawingml/2006/picture">
                        <pic:nvPicPr>
                          <pic:cNvPr id="1134" name="AutoShape_1860_SpCnt_310"/>
                          <pic:cNvPicPr/>
                        </pic:nvPicPr>
                        <pic:blipFill>
                          <a:blip r:embed="rId25"/>
                          <a:stretch>
                            <a:fillRect/>
                          </a:stretch>
                        </pic:blipFill>
                        <pic:spPr>
                          <a:xfrm>
                            <a:off x="0" y="0"/>
                            <a:ext cx="304800" cy="30226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17632" behindDoc="0" locked="0" layoutInCell="1" allowOverlap="1">
                  <wp:simplePos x="0" y="0"/>
                  <wp:positionH relativeFrom="column">
                    <wp:posOffset>0</wp:posOffset>
                  </wp:positionH>
                  <wp:positionV relativeFrom="paragraph">
                    <wp:posOffset>0</wp:posOffset>
                  </wp:positionV>
                  <wp:extent cx="304800" cy="302260"/>
                  <wp:effectExtent l="0" t="0" r="0" b="0"/>
                  <wp:wrapNone/>
                  <wp:docPr id="1133" name="AutoShape_1860_SpCnt_311"/>
                  <wp:cNvGraphicFramePr/>
                  <a:graphic xmlns:a="http://schemas.openxmlformats.org/drawingml/2006/main">
                    <a:graphicData uri="http://schemas.openxmlformats.org/drawingml/2006/picture">
                      <pic:pic xmlns:pic="http://schemas.openxmlformats.org/drawingml/2006/picture">
                        <pic:nvPicPr>
                          <pic:cNvPr id="1133" name="AutoShape_1860_SpCnt_311"/>
                          <pic:cNvPicPr/>
                        </pic:nvPicPr>
                        <pic:blipFill>
                          <a:blip r:embed="rId25"/>
                          <a:stretch>
                            <a:fillRect/>
                          </a:stretch>
                        </pic:blipFill>
                        <pic:spPr>
                          <a:xfrm>
                            <a:off x="0" y="0"/>
                            <a:ext cx="304800" cy="30226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18656" behindDoc="0" locked="0" layoutInCell="1" allowOverlap="1">
                  <wp:simplePos x="0" y="0"/>
                  <wp:positionH relativeFrom="column">
                    <wp:posOffset>0</wp:posOffset>
                  </wp:positionH>
                  <wp:positionV relativeFrom="paragraph">
                    <wp:posOffset>0</wp:posOffset>
                  </wp:positionV>
                  <wp:extent cx="304800" cy="302260"/>
                  <wp:effectExtent l="0" t="0" r="0" b="0"/>
                  <wp:wrapNone/>
                  <wp:docPr id="1132" name="AutoShape_1860_SpCnt_312"/>
                  <wp:cNvGraphicFramePr/>
                  <a:graphic xmlns:a="http://schemas.openxmlformats.org/drawingml/2006/main">
                    <a:graphicData uri="http://schemas.openxmlformats.org/drawingml/2006/picture">
                      <pic:pic xmlns:pic="http://schemas.openxmlformats.org/drawingml/2006/picture">
                        <pic:nvPicPr>
                          <pic:cNvPr id="1132" name="AutoShape_1860_SpCnt_312"/>
                          <pic:cNvPicPr/>
                        </pic:nvPicPr>
                        <pic:blipFill>
                          <a:blip r:embed="rId25"/>
                          <a:stretch>
                            <a:fillRect/>
                          </a:stretch>
                        </pic:blipFill>
                        <pic:spPr>
                          <a:xfrm>
                            <a:off x="0" y="0"/>
                            <a:ext cx="304800" cy="30226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19680" behindDoc="0" locked="0" layoutInCell="1" allowOverlap="1">
                  <wp:simplePos x="0" y="0"/>
                  <wp:positionH relativeFrom="column">
                    <wp:posOffset>0</wp:posOffset>
                  </wp:positionH>
                  <wp:positionV relativeFrom="paragraph">
                    <wp:posOffset>0</wp:posOffset>
                  </wp:positionV>
                  <wp:extent cx="304800" cy="302260"/>
                  <wp:effectExtent l="0" t="0" r="0" b="0"/>
                  <wp:wrapNone/>
                  <wp:docPr id="1131" name="AutoShape_1860_SpCnt_313"/>
                  <wp:cNvGraphicFramePr/>
                  <a:graphic xmlns:a="http://schemas.openxmlformats.org/drawingml/2006/main">
                    <a:graphicData uri="http://schemas.openxmlformats.org/drawingml/2006/picture">
                      <pic:pic xmlns:pic="http://schemas.openxmlformats.org/drawingml/2006/picture">
                        <pic:nvPicPr>
                          <pic:cNvPr id="1131" name="AutoShape_1860_SpCnt_313"/>
                          <pic:cNvPicPr/>
                        </pic:nvPicPr>
                        <pic:blipFill>
                          <a:blip r:embed="rId25"/>
                          <a:stretch>
                            <a:fillRect/>
                          </a:stretch>
                        </pic:blipFill>
                        <pic:spPr>
                          <a:xfrm>
                            <a:off x="0" y="0"/>
                            <a:ext cx="304800" cy="30226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2070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30" name="AutoShape_1860_SpCnt_314"/>
                  <wp:cNvGraphicFramePr/>
                  <a:graphic xmlns:a="http://schemas.openxmlformats.org/drawingml/2006/main">
                    <a:graphicData uri="http://schemas.openxmlformats.org/drawingml/2006/picture">
                      <pic:pic xmlns:pic="http://schemas.openxmlformats.org/drawingml/2006/picture">
                        <pic:nvPicPr>
                          <pic:cNvPr id="1130" name="AutoShape_1860_SpCnt_314"/>
                          <pic:cNvPicPr/>
                        </pic:nvPicPr>
                        <pic:blipFill>
                          <a:blip r:embed="rId25"/>
                          <a:stretch>
                            <a:fillRect/>
                          </a:stretch>
                        </pic:blipFill>
                        <pic:spPr>
                          <a:xfrm>
                            <a:off x="0" y="0"/>
                            <a:ext cx="304800" cy="30480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21728"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29" name="AutoShape_1860_SpCnt_315"/>
                  <wp:cNvGraphicFramePr/>
                  <a:graphic xmlns:a="http://schemas.openxmlformats.org/drawingml/2006/main">
                    <a:graphicData uri="http://schemas.openxmlformats.org/drawingml/2006/picture">
                      <pic:pic xmlns:pic="http://schemas.openxmlformats.org/drawingml/2006/picture">
                        <pic:nvPicPr>
                          <pic:cNvPr id="1129" name="AutoShape_1860_SpCnt_315"/>
                          <pic:cNvPicPr/>
                        </pic:nvPicPr>
                        <pic:blipFill>
                          <a:blip r:embed="rId25"/>
                          <a:stretch>
                            <a:fillRect/>
                          </a:stretch>
                        </pic:blipFill>
                        <pic:spPr>
                          <a:xfrm>
                            <a:off x="0" y="0"/>
                            <a:ext cx="304800" cy="30480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22752"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28" name="AutoShape_1860_SpCnt_316"/>
                  <wp:cNvGraphicFramePr/>
                  <a:graphic xmlns:a="http://schemas.openxmlformats.org/drawingml/2006/main">
                    <a:graphicData uri="http://schemas.openxmlformats.org/drawingml/2006/picture">
                      <pic:pic xmlns:pic="http://schemas.openxmlformats.org/drawingml/2006/picture">
                        <pic:nvPicPr>
                          <pic:cNvPr id="1128" name="AutoShape_1860_SpCnt_316"/>
                          <pic:cNvPicPr/>
                        </pic:nvPicPr>
                        <pic:blipFill>
                          <a:blip r:embed="rId25"/>
                          <a:stretch>
                            <a:fillRect/>
                          </a:stretch>
                        </pic:blipFill>
                        <pic:spPr>
                          <a:xfrm>
                            <a:off x="0" y="0"/>
                            <a:ext cx="304800" cy="30480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23776"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27" name="AutoShape_1860_SpCnt_317"/>
                  <wp:cNvGraphicFramePr/>
                  <a:graphic xmlns:a="http://schemas.openxmlformats.org/drawingml/2006/main">
                    <a:graphicData uri="http://schemas.openxmlformats.org/drawingml/2006/picture">
                      <pic:pic xmlns:pic="http://schemas.openxmlformats.org/drawingml/2006/picture">
                        <pic:nvPicPr>
                          <pic:cNvPr id="1127" name="AutoShape_1860_SpCnt_317"/>
                          <pic:cNvPicPr/>
                        </pic:nvPicPr>
                        <pic:blipFill>
                          <a:blip r:embed="rId25"/>
                          <a:stretch>
                            <a:fillRect/>
                          </a:stretch>
                        </pic:blipFill>
                        <pic:spPr>
                          <a:xfrm>
                            <a:off x="0" y="0"/>
                            <a:ext cx="304800" cy="30480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24800"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26" name="AutoShape_1860_SpCnt_318"/>
                  <wp:cNvGraphicFramePr/>
                  <a:graphic xmlns:a="http://schemas.openxmlformats.org/drawingml/2006/main">
                    <a:graphicData uri="http://schemas.openxmlformats.org/drawingml/2006/picture">
                      <pic:pic xmlns:pic="http://schemas.openxmlformats.org/drawingml/2006/picture">
                        <pic:nvPicPr>
                          <pic:cNvPr id="1126" name="AutoShape_1860_SpCnt_318"/>
                          <pic:cNvPicPr/>
                        </pic:nvPicPr>
                        <pic:blipFill>
                          <a:blip r:embed="rId25"/>
                          <a:stretch>
                            <a:fillRect/>
                          </a:stretch>
                        </pic:blipFill>
                        <pic:spPr>
                          <a:xfrm>
                            <a:off x="0" y="0"/>
                            <a:ext cx="304800" cy="30480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2582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08" name="AutoShape_1860_SpCnt_319"/>
                  <wp:cNvGraphicFramePr/>
                  <a:graphic xmlns:a="http://schemas.openxmlformats.org/drawingml/2006/main">
                    <a:graphicData uri="http://schemas.openxmlformats.org/drawingml/2006/picture">
                      <pic:pic xmlns:pic="http://schemas.openxmlformats.org/drawingml/2006/picture">
                        <pic:nvPicPr>
                          <pic:cNvPr id="1108" name="AutoShape_1860_SpCnt_319"/>
                          <pic:cNvPicPr/>
                        </pic:nvPicPr>
                        <pic:blipFill>
                          <a:blip r:embed="rId25"/>
                          <a:stretch>
                            <a:fillRect/>
                          </a:stretch>
                        </pic:blipFill>
                        <pic:spPr>
                          <a:xfrm>
                            <a:off x="0" y="0"/>
                            <a:ext cx="304800" cy="30480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26848"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25" name="AutoShape_1860_SpCnt_320"/>
                  <wp:cNvGraphicFramePr/>
                  <a:graphic xmlns:a="http://schemas.openxmlformats.org/drawingml/2006/main">
                    <a:graphicData uri="http://schemas.openxmlformats.org/drawingml/2006/picture">
                      <pic:pic xmlns:pic="http://schemas.openxmlformats.org/drawingml/2006/picture">
                        <pic:nvPicPr>
                          <pic:cNvPr id="1125" name="AutoShape_1860_SpCnt_320"/>
                          <pic:cNvPicPr/>
                        </pic:nvPicPr>
                        <pic:blipFill>
                          <a:blip r:embed="rId25"/>
                          <a:stretch>
                            <a:fillRect/>
                          </a:stretch>
                        </pic:blipFill>
                        <pic:spPr>
                          <a:xfrm>
                            <a:off x="0" y="0"/>
                            <a:ext cx="304800" cy="30480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304800" cy="304800"/>
                  <wp:effectExtent l="0" t="0" r="0" b="0"/>
                  <wp:wrapNone/>
                  <wp:docPr id="1089" name="AutoShape_1860_SpCnt_321"/>
                  <wp:cNvGraphicFramePr/>
                  <a:graphic xmlns:a="http://schemas.openxmlformats.org/drawingml/2006/main">
                    <a:graphicData uri="http://schemas.openxmlformats.org/drawingml/2006/picture">
                      <pic:pic xmlns:pic="http://schemas.openxmlformats.org/drawingml/2006/picture">
                        <pic:nvPicPr>
                          <pic:cNvPr id="1089" name="AutoShape_1860_SpCnt_321"/>
                          <pic:cNvPicPr/>
                        </pic:nvPicPr>
                        <pic:blipFill>
                          <a:blip r:embed="rId25"/>
                          <a:stretch>
                            <a:fillRect/>
                          </a:stretch>
                        </pic:blipFill>
                        <pic:spPr>
                          <a:xfrm>
                            <a:off x="0" y="0"/>
                            <a:ext cx="304800" cy="30480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28896"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22" name="AutoShape_1860_SpCnt_322"/>
                  <wp:cNvGraphicFramePr/>
                  <a:graphic xmlns:a="http://schemas.openxmlformats.org/drawingml/2006/main">
                    <a:graphicData uri="http://schemas.openxmlformats.org/drawingml/2006/picture">
                      <pic:pic xmlns:pic="http://schemas.openxmlformats.org/drawingml/2006/picture">
                        <pic:nvPicPr>
                          <pic:cNvPr id="1122" name="AutoShape_1860_SpCnt_322"/>
                          <pic:cNvPicPr/>
                        </pic:nvPicPr>
                        <pic:blipFill>
                          <a:blip r:embed="rId25"/>
                          <a:stretch>
                            <a:fillRect/>
                          </a:stretch>
                        </pic:blipFill>
                        <pic:spPr>
                          <a:xfrm>
                            <a:off x="0" y="0"/>
                            <a:ext cx="304800" cy="30480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29920"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21" name="AutoShape_1860_SpCnt_323"/>
                  <wp:cNvGraphicFramePr/>
                  <a:graphic xmlns:a="http://schemas.openxmlformats.org/drawingml/2006/main">
                    <a:graphicData uri="http://schemas.openxmlformats.org/drawingml/2006/picture">
                      <pic:pic xmlns:pic="http://schemas.openxmlformats.org/drawingml/2006/picture">
                        <pic:nvPicPr>
                          <pic:cNvPr id="1121" name="AutoShape_1860_SpCnt_323"/>
                          <pic:cNvPicPr/>
                        </pic:nvPicPr>
                        <pic:blipFill>
                          <a:blip r:embed="rId25"/>
                          <a:stretch>
                            <a:fillRect/>
                          </a:stretch>
                        </pic:blipFill>
                        <pic:spPr>
                          <a:xfrm>
                            <a:off x="0" y="0"/>
                            <a:ext cx="304800" cy="30480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23" name="AutoShape_1860_SpCnt_324"/>
                  <wp:cNvGraphicFramePr/>
                  <a:graphic xmlns:a="http://schemas.openxmlformats.org/drawingml/2006/main">
                    <a:graphicData uri="http://schemas.openxmlformats.org/drawingml/2006/picture">
                      <pic:pic xmlns:pic="http://schemas.openxmlformats.org/drawingml/2006/picture">
                        <pic:nvPicPr>
                          <pic:cNvPr id="1123" name="AutoShape_1860_SpCnt_324"/>
                          <pic:cNvPicPr/>
                        </pic:nvPicPr>
                        <pic:blipFill>
                          <a:blip r:embed="rId25"/>
                          <a:stretch>
                            <a:fillRect/>
                          </a:stretch>
                        </pic:blipFill>
                        <pic:spPr>
                          <a:xfrm>
                            <a:off x="0" y="0"/>
                            <a:ext cx="304800" cy="30480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31968"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19" name="AutoShape_1860_SpCnt_325"/>
                  <wp:cNvGraphicFramePr/>
                  <a:graphic xmlns:a="http://schemas.openxmlformats.org/drawingml/2006/main">
                    <a:graphicData uri="http://schemas.openxmlformats.org/drawingml/2006/picture">
                      <pic:pic xmlns:pic="http://schemas.openxmlformats.org/drawingml/2006/picture">
                        <pic:nvPicPr>
                          <pic:cNvPr id="1119" name="AutoShape_1860_SpCnt_325"/>
                          <pic:cNvPicPr/>
                        </pic:nvPicPr>
                        <pic:blipFill>
                          <a:blip r:embed="rId25"/>
                          <a:stretch>
                            <a:fillRect/>
                          </a:stretch>
                        </pic:blipFill>
                        <pic:spPr>
                          <a:xfrm>
                            <a:off x="0" y="0"/>
                            <a:ext cx="304800" cy="30480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32992"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18" name="AutoShape_1860_SpCnt_326"/>
                  <wp:cNvGraphicFramePr/>
                  <a:graphic xmlns:a="http://schemas.openxmlformats.org/drawingml/2006/main">
                    <a:graphicData uri="http://schemas.openxmlformats.org/drawingml/2006/picture">
                      <pic:pic xmlns:pic="http://schemas.openxmlformats.org/drawingml/2006/picture">
                        <pic:nvPicPr>
                          <pic:cNvPr id="1118" name="AutoShape_1860_SpCnt_326"/>
                          <pic:cNvPicPr/>
                        </pic:nvPicPr>
                        <pic:blipFill>
                          <a:blip r:embed="rId25"/>
                          <a:stretch>
                            <a:fillRect/>
                          </a:stretch>
                        </pic:blipFill>
                        <pic:spPr>
                          <a:xfrm>
                            <a:off x="0" y="0"/>
                            <a:ext cx="304800" cy="30480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34016" behindDoc="0" locked="0" layoutInCell="1" allowOverlap="1">
                  <wp:simplePos x="0" y="0"/>
                  <wp:positionH relativeFrom="column">
                    <wp:posOffset>0</wp:posOffset>
                  </wp:positionH>
                  <wp:positionV relativeFrom="paragraph">
                    <wp:posOffset>0</wp:posOffset>
                  </wp:positionV>
                  <wp:extent cx="304800" cy="304800"/>
                  <wp:effectExtent l="0" t="0" r="0" b="0"/>
                  <wp:wrapNone/>
                  <wp:docPr id="1117" name="AutoShape_1860_SpCnt_327"/>
                  <wp:cNvGraphicFramePr/>
                  <a:graphic xmlns:a="http://schemas.openxmlformats.org/drawingml/2006/main">
                    <a:graphicData uri="http://schemas.openxmlformats.org/drawingml/2006/picture">
                      <pic:pic xmlns:pic="http://schemas.openxmlformats.org/drawingml/2006/picture">
                        <pic:nvPicPr>
                          <pic:cNvPr id="1117" name="AutoShape_1860_SpCnt_327"/>
                          <pic:cNvPicPr/>
                        </pic:nvPicPr>
                        <pic:blipFill>
                          <a:blip r:embed="rId25"/>
                          <a:stretch>
                            <a:fillRect/>
                          </a:stretch>
                        </pic:blipFill>
                        <pic:spPr>
                          <a:xfrm>
                            <a:off x="0" y="0"/>
                            <a:ext cx="304800" cy="30480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lang w:bidi="ar"/>
              </w:rPr>
              <w:t>台</w:t>
            </w:r>
          </w:p>
        </w:tc>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2</w:t>
            </w:r>
          </w:p>
        </w:tc>
      </w:tr>
      <w:tr>
        <w:tblPrEx>
          <w:tblCellMar>
            <w:top w:w="0" w:type="dxa"/>
            <w:left w:w="108" w:type="dxa"/>
            <w:bottom w:w="0" w:type="dxa"/>
            <w:right w:w="108" w:type="dxa"/>
          </w:tblCellMar>
        </w:tblPrEx>
        <w:trPr>
          <w:trHeight w:val="2031" w:hRule="atLeast"/>
          <w:jc w:val="center"/>
        </w:trPr>
        <w:tc>
          <w:tcPr>
            <w:tcW w:w="8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28</w:t>
            </w:r>
          </w:p>
        </w:tc>
        <w:tc>
          <w:tcPr>
            <w:tcW w:w="16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调音台</w:t>
            </w:r>
          </w:p>
        </w:tc>
        <w:tc>
          <w:tcPr>
            <w:tcW w:w="4425"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16输入通道模拟调音台</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8路单声道,10话筒,4立体声,4编组母线和1立体声母线,4AUX(包括FX)</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单声道输入通道配有PAD开关,D-PRE话放,带有倒向晶体管电路</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单旋钮压缩器,功率30瓦,48V幻象电源,XLR平衡输出,金属机身</w:t>
            </w:r>
          </w:p>
        </w:tc>
        <w:tc>
          <w:tcPr>
            <w:tcW w:w="6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35040" behindDoc="0" locked="0" layoutInCell="1" allowOverlap="1">
                  <wp:simplePos x="0" y="0"/>
                  <wp:positionH relativeFrom="column">
                    <wp:posOffset>0</wp:posOffset>
                  </wp:positionH>
                  <wp:positionV relativeFrom="paragraph">
                    <wp:posOffset>0</wp:posOffset>
                  </wp:positionV>
                  <wp:extent cx="304800" cy="305435"/>
                  <wp:effectExtent l="0" t="0" r="0" b="0"/>
                  <wp:wrapNone/>
                  <wp:docPr id="1115" name="AutoShape_1860_SpCnt_328"/>
                  <wp:cNvGraphicFramePr/>
                  <a:graphic xmlns:a="http://schemas.openxmlformats.org/drawingml/2006/main">
                    <a:graphicData uri="http://schemas.openxmlformats.org/drawingml/2006/picture">
                      <pic:pic xmlns:pic="http://schemas.openxmlformats.org/drawingml/2006/picture">
                        <pic:nvPicPr>
                          <pic:cNvPr id="1115" name="AutoShape_1860_SpCnt_328"/>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36064" behindDoc="0" locked="0" layoutInCell="1" allowOverlap="1">
                  <wp:simplePos x="0" y="0"/>
                  <wp:positionH relativeFrom="column">
                    <wp:posOffset>0</wp:posOffset>
                  </wp:positionH>
                  <wp:positionV relativeFrom="paragraph">
                    <wp:posOffset>0</wp:posOffset>
                  </wp:positionV>
                  <wp:extent cx="304800" cy="305435"/>
                  <wp:effectExtent l="0" t="0" r="0" b="0"/>
                  <wp:wrapNone/>
                  <wp:docPr id="1114" name="AutoShape_1860_SpCnt_329"/>
                  <wp:cNvGraphicFramePr/>
                  <a:graphic xmlns:a="http://schemas.openxmlformats.org/drawingml/2006/main">
                    <a:graphicData uri="http://schemas.openxmlformats.org/drawingml/2006/picture">
                      <pic:pic xmlns:pic="http://schemas.openxmlformats.org/drawingml/2006/picture">
                        <pic:nvPicPr>
                          <pic:cNvPr id="1114" name="AutoShape_1860_SpCnt_329"/>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37088" behindDoc="0" locked="0" layoutInCell="1" allowOverlap="1">
                  <wp:simplePos x="0" y="0"/>
                  <wp:positionH relativeFrom="column">
                    <wp:posOffset>0</wp:posOffset>
                  </wp:positionH>
                  <wp:positionV relativeFrom="paragraph">
                    <wp:posOffset>0</wp:posOffset>
                  </wp:positionV>
                  <wp:extent cx="304800" cy="305435"/>
                  <wp:effectExtent l="0" t="0" r="0" b="0"/>
                  <wp:wrapNone/>
                  <wp:docPr id="1113" name="AutoShape_1860_SpCnt_330"/>
                  <wp:cNvGraphicFramePr/>
                  <a:graphic xmlns:a="http://schemas.openxmlformats.org/drawingml/2006/main">
                    <a:graphicData uri="http://schemas.openxmlformats.org/drawingml/2006/picture">
                      <pic:pic xmlns:pic="http://schemas.openxmlformats.org/drawingml/2006/picture">
                        <pic:nvPicPr>
                          <pic:cNvPr id="1113" name="AutoShape_1860_SpCnt_330"/>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38112"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85" name="AutoShape_1860_SpCnt_331"/>
                  <wp:cNvGraphicFramePr/>
                  <a:graphic xmlns:a="http://schemas.openxmlformats.org/drawingml/2006/main">
                    <a:graphicData uri="http://schemas.openxmlformats.org/drawingml/2006/picture">
                      <pic:pic xmlns:pic="http://schemas.openxmlformats.org/drawingml/2006/picture">
                        <pic:nvPicPr>
                          <pic:cNvPr id="1085" name="AutoShape_1860_SpCnt_331"/>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39136" behindDoc="0" locked="0" layoutInCell="1" allowOverlap="1">
                  <wp:simplePos x="0" y="0"/>
                  <wp:positionH relativeFrom="column">
                    <wp:posOffset>0</wp:posOffset>
                  </wp:positionH>
                  <wp:positionV relativeFrom="paragraph">
                    <wp:posOffset>0</wp:posOffset>
                  </wp:positionV>
                  <wp:extent cx="304800" cy="305435"/>
                  <wp:effectExtent l="0" t="0" r="0" b="0"/>
                  <wp:wrapNone/>
                  <wp:docPr id="1112" name="AutoShape_1860_SpCnt_332"/>
                  <wp:cNvGraphicFramePr/>
                  <a:graphic xmlns:a="http://schemas.openxmlformats.org/drawingml/2006/main">
                    <a:graphicData uri="http://schemas.openxmlformats.org/drawingml/2006/picture">
                      <pic:pic xmlns:pic="http://schemas.openxmlformats.org/drawingml/2006/picture">
                        <pic:nvPicPr>
                          <pic:cNvPr id="1112" name="AutoShape_1860_SpCnt_332"/>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40160" behindDoc="0" locked="0" layoutInCell="1" allowOverlap="1">
                  <wp:simplePos x="0" y="0"/>
                  <wp:positionH relativeFrom="column">
                    <wp:posOffset>0</wp:posOffset>
                  </wp:positionH>
                  <wp:positionV relativeFrom="paragraph">
                    <wp:posOffset>0</wp:posOffset>
                  </wp:positionV>
                  <wp:extent cx="304800" cy="305435"/>
                  <wp:effectExtent l="0" t="0" r="0" b="0"/>
                  <wp:wrapNone/>
                  <wp:docPr id="1111" name="AutoShape_1860_SpCnt_333"/>
                  <wp:cNvGraphicFramePr/>
                  <a:graphic xmlns:a="http://schemas.openxmlformats.org/drawingml/2006/main">
                    <a:graphicData uri="http://schemas.openxmlformats.org/drawingml/2006/picture">
                      <pic:pic xmlns:pic="http://schemas.openxmlformats.org/drawingml/2006/picture">
                        <pic:nvPicPr>
                          <pic:cNvPr id="1111" name="AutoShape_1860_SpCnt_333"/>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41184" behindDoc="0" locked="0" layoutInCell="1" allowOverlap="1">
                  <wp:simplePos x="0" y="0"/>
                  <wp:positionH relativeFrom="column">
                    <wp:posOffset>0</wp:posOffset>
                  </wp:positionH>
                  <wp:positionV relativeFrom="paragraph">
                    <wp:posOffset>0</wp:posOffset>
                  </wp:positionV>
                  <wp:extent cx="304800" cy="305435"/>
                  <wp:effectExtent l="0" t="0" r="0" b="0"/>
                  <wp:wrapNone/>
                  <wp:docPr id="1110" name="AutoShape_1860_SpCnt_334"/>
                  <wp:cNvGraphicFramePr/>
                  <a:graphic xmlns:a="http://schemas.openxmlformats.org/drawingml/2006/main">
                    <a:graphicData uri="http://schemas.openxmlformats.org/drawingml/2006/picture">
                      <pic:pic xmlns:pic="http://schemas.openxmlformats.org/drawingml/2006/picture">
                        <pic:nvPicPr>
                          <pic:cNvPr id="1110" name="AutoShape_1860_SpCnt_334"/>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42208" behindDoc="0" locked="0" layoutInCell="1" allowOverlap="1">
                  <wp:simplePos x="0" y="0"/>
                  <wp:positionH relativeFrom="column">
                    <wp:posOffset>0</wp:posOffset>
                  </wp:positionH>
                  <wp:positionV relativeFrom="paragraph">
                    <wp:posOffset>0</wp:posOffset>
                  </wp:positionV>
                  <wp:extent cx="304800" cy="305435"/>
                  <wp:effectExtent l="0" t="0" r="0" b="0"/>
                  <wp:wrapNone/>
                  <wp:docPr id="1109" name="AutoShape_1860_SpCnt_335"/>
                  <wp:cNvGraphicFramePr/>
                  <a:graphic xmlns:a="http://schemas.openxmlformats.org/drawingml/2006/main">
                    <a:graphicData uri="http://schemas.openxmlformats.org/drawingml/2006/picture">
                      <pic:pic xmlns:pic="http://schemas.openxmlformats.org/drawingml/2006/picture">
                        <pic:nvPicPr>
                          <pic:cNvPr id="1109" name="AutoShape_1860_SpCnt_335"/>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43232" behindDoc="0" locked="0" layoutInCell="1" allowOverlap="1">
                  <wp:simplePos x="0" y="0"/>
                  <wp:positionH relativeFrom="column">
                    <wp:posOffset>0</wp:posOffset>
                  </wp:positionH>
                  <wp:positionV relativeFrom="paragraph">
                    <wp:posOffset>0</wp:posOffset>
                  </wp:positionV>
                  <wp:extent cx="304800" cy="305435"/>
                  <wp:effectExtent l="0" t="0" r="0" b="0"/>
                  <wp:wrapNone/>
                  <wp:docPr id="1151" name="AutoShape_1860_SpCnt_336"/>
                  <wp:cNvGraphicFramePr/>
                  <a:graphic xmlns:a="http://schemas.openxmlformats.org/drawingml/2006/main">
                    <a:graphicData uri="http://schemas.openxmlformats.org/drawingml/2006/picture">
                      <pic:pic xmlns:pic="http://schemas.openxmlformats.org/drawingml/2006/picture">
                        <pic:nvPicPr>
                          <pic:cNvPr id="1151" name="AutoShape_1860_SpCnt_336"/>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44256" behindDoc="0" locked="0" layoutInCell="1" allowOverlap="1">
                  <wp:simplePos x="0" y="0"/>
                  <wp:positionH relativeFrom="column">
                    <wp:posOffset>0</wp:posOffset>
                  </wp:positionH>
                  <wp:positionV relativeFrom="paragraph">
                    <wp:posOffset>0</wp:posOffset>
                  </wp:positionV>
                  <wp:extent cx="304800" cy="299720"/>
                  <wp:effectExtent l="0" t="0" r="0" b="0"/>
                  <wp:wrapNone/>
                  <wp:docPr id="1142" name="AutoShape_1860_SpCnt_337"/>
                  <wp:cNvGraphicFramePr/>
                  <a:graphic xmlns:a="http://schemas.openxmlformats.org/drawingml/2006/main">
                    <a:graphicData uri="http://schemas.openxmlformats.org/drawingml/2006/picture">
                      <pic:pic xmlns:pic="http://schemas.openxmlformats.org/drawingml/2006/picture">
                        <pic:nvPicPr>
                          <pic:cNvPr id="1142" name="AutoShape_1860_SpCnt_337"/>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45280" behindDoc="0" locked="0" layoutInCell="1" allowOverlap="1">
                  <wp:simplePos x="0" y="0"/>
                  <wp:positionH relativeFrom="column">
                    <wp:posOffset>0</wp:posOffset>
                  </wp:positionH>
                  <wp:positionV relativeFrom="paragraph">
                    <wp:posOffset>0</wp:posOffset>
                  </wp:positionV>
                  <wp:extent cx="304800" cy="305435"/>
                  <wp:effectExtent l="0" t="0" r="0" b="0"/>
                  <wp:wrapNone/>
                  <wp:docPr id="1107" name="AutoShape_1860_SpCnt_338"/>
                  <wp:cNvGraphicFramePr/>
                  <a:graphic xmlns:a="http://schemas.openxmlformats.org/drawingml/2006/main">
                    <a:graphicData uri="http://schemas.openxmlformats.org/drawingml/2006/picture">
                      <pic:pic xmlns:pic="http://schemas.openxmlformats.org/drawingml/2006/picture">
                        <pic:nvPicPr>
                          <pic:cNvPr id="1107" name="AutoShape_1860_SpCnt_338"/>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46304" behindDoc="0" locked="0" layoutInCell="1" allowOverlap="1">
                  <wp:simplePos x="0" y="0"/>
                  <wp:positionH relativeFrom="column">
                    <wp:posOffset>0</wp:posOffset>
                  </wp:positionH>
                  <wp:positionV relativeFrom="paragraph">
                    <wp:posOffset>0</wp:posOffset>
                  </wp:positionV>
                  <wp:extent cx="304800" cy="299720"/>
                  <wp:effectExtent l="0" t="0" r="0" b="0"/>
                  <wp:wrapNone/>
                  <wp:docPr id="1106" name="AutoShape_1860_SpCnt_339"/>
                  <wp:cNvGraphicFramePr/>
                  <a:graphic xmlns:a="http://schemas.openxmlformats.org/drawingml/2006/main">
                    <a:graphicData uri="http://schemas.openxmlformats.org/drawingml/2006/picture">
                      <pic:pic xmlns:pic="http://schemas.openxmlformats.org/drawingml/2006/picture">
                        <pic:nvPicPr>
                          <pic:cNvPr id="1106" name="AutoShape_1860_SpCnt_339"/>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47328" behindDoc="0" locked="0" layoutInCell="1" allowOverlap="1">
                  <wp:simplePos x="0" y="0"/>
                  <wp:positionH relativeFrom="column">
                    <wp:posOffset>0</wp:posOffset>
                  </wp:positionH>
                  <wp:positionV relativeFrom="paragraph">
                    <wp:posOffset>0</wp:posOffset>
                  </wp:positionV>
                  <wp:extent cx="304800" cy="299720"/>
                  <wp:effectExtent l="0" t="0" r="0" b="0"/>
                  <wp:wrapNone/>
                  <wp:docPr id="1105" name="AutoShape_1860_SpCnt_340"/>
                  <wp:cNvGraphicFramePr/>
                  <a:graphic xmlns:a="http://schemas.openxmlformats.org/drawingml/2006/main">
                    <a:graphicData uri="http://schemas.openxmlformats.org/drawingml/2006/picture">
                      <pic:pic xmlns:pic="http://schemas.openxmlformats.org/drawingml/2006/picture">
                        <pic:nvPicPr>
                          <pic:cNvPr id="1105" name="AutoShape_1860_SpCnt_340"/>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48352" behindDoc="0" locked="0" layoutInCell="1" allowOverlap="1">
                  <wp:simplePos x="0" y="0"/>
                  <wp:positionH relativeFrom="column">
                    <wp:posOffset>0</wp:posOffset>
                  </wp:positionH>
                  <wp:positionV relativeFrom="paragraph">
                    <wp:posOffset>0</wp:posOffset>
                  </wp:positionV>
                  <wp:extent cx="304800" cy="299720"/>
                  <wp:effectExtent l="0" t="0" r="0" b="0"/>
                  <wp:wrapNone/>
                  <wp:docPr id="1136" name="AutoShape_1860_SpCnt_341"/>
                  <wp:cNvGraphicFramePr/>
                  <a:graphic xmlns:a="http://schemas.openxmlformats.org/drawingml/2006/main">
                    <a:graphicData uri="http://schemas.openxmlformats.org/drawingml/2006/picture">
                      <pic:pic xmlns:pic="http://schemas.openxmlformats.org/drawingml/2006/picture">
                        <pic:nvPicPr>
                          <pic:cNvPr id="1136" name="AutoShape_1860_SpCnt_341"/>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49376" behindDoc="0" locked="0" layoutInCell="1" allowOverlap="1">
                  <wp:simplePos x="0" y="0"/>
                  <wp:positionH relativeFrom="column">
                    <wp:posOffset>0</wp:posOffset>
                  </wp:positionH>
                  <wp:positionV relativeFrom="paragraph">
                    <wp:posOffset>0</wp:posOffset>
                  </wp:positionV>
                  <wp:extent cx="304800" cy="305435"/>
                  <wp:effectExtent l="0" t="0" r="0" b="0"/>
                  <wp:wrapNone/>
                  <wp:docPr id="1120" name="AutoShape_1860_SpCnt_342"/>
                  <wp:cNvGraphicFramePr/>
                  <a:graphic xmlns:a="http://schemas.openxmlformats.org/drawingml/2006/main">
                    <a:graphicData uri="http://schemas.openxmlformats.org/drawingml/2006/picture">
                      <pic:pic xmlns:pic="http://schemas.openxmlformats.org/drawingml/2006/picture">
                        <pic:nvPicPr>
                          <pic:cNvPr id="1120" name="AutoShape_1860_SpCnt_342"/>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50400" behindDoc="0" locked="0" layoutInCell="1" allowOverlap="1">
                  <wp:simplePos x="0" y="0"/>
                  <wp:positionH relativeFrom="column">
                    <wp:posOffset>0</wp:posOffset>
                  </wp:positionH>
                  <wp:positionV relativeFrom="paragraph">
                    <wp:posOffset>0</wp:posOffset>
                  </wp:positionV>
                  <wp:extent cx="304800" cy="299720"/>
                  <wp:effectExtent l="0" t="0" r="0" b="0"/>
                  <wp:wrapNone/>
                  <wp:docPr id="1104" name="AutoShape_1860_SpCnt_343"/>
                  <wp:cNvGraphicFramePr/>
                  <a:graphic xmlns:a="http://schemas.openxmlformats.org/drawingml/2006/main">
                    <a:graphicData uri="http://schemas.openxmlformats.org/drawingml/2006/picture">
                      <pic:pic xmlns:pic="http://schemas.openxmlformats.org/drawingml/2006/picture">
                        <pic:nvPicPr>
                          <pic:cNvPr id="1104" name="AutoShape_1860_SpCnt_343"/>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51424" behindDoc="0" locked="0" layoutInCell="1" allowOverlap="1">
                  <wp:simplePos x="0" y="0"/>
                  <wp:positionH relativeFrom="column">
                    <wp:posOffset>0</wp:posOffset>
                  </wp:positionH>
                  <wp:positionV relativeFrom="paragraph">
                    <wp:posOffset>0</wp:posOffset>
                  </wp:positionV>
                  <wp:extent cx="304800" cy="299720"/>
                  <wp:effectExtent l="0" t="0" r="0" b="0"/>
                  <wp:wrapNone/>
                  <wp:docPr id="1103" name="AutoShape_1860_SpCnt_344"/>
                  <wp:cNvGraphicFramePr/>
                  <a:graphic xmlns:a="http://schemas.openxmlformats.org/drawingml/2006/main">
                    <a:graphicData uri="http://schemas.openxmlformats.org/drawingml/2006/picture">
                      <pic:pic xmlns:pic="http://schemas.openxmlformats.org/drawingml/2006/picture">
                        <pic:nvPicPr>
                          <pic:cNvPr id="1103" name="AutoShape_1860_SpCnt_344"/>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52448" behindDoc="0" locked="0" layoutInCell="1" allowOverlap="1">
                  <wp:simplePos x="0" y="0"/>
                  <wp:positionH relativeFrom="column">
                    <wp:posOffset>0</wp:posOffset>
                  </wp:positionH>
                  <wp:positionV relativeFrom="paragraph">
                    <wp:posOffset>0</wp:posOffset>
                  </wp:positionV>
                  <wp:extent cx="304800" cy="305435"/>
                  <wp:effectExtent l="0" t="0" r="0" b="0"/>
                  <wp:wrapNone/>
                  <wp:docPr id="1102" name="AutoShape_1860_SpCnt_345"/>
                  <wp:cNvGraphicFramePr/>
                  <a:graphic xmlns:a="http://schemas.openxmlformats.org/drawingml/2006/main">
                    <a:graphicData uri="http://schemas.openxmlformats.org/drawingml/2006/picture">
                      <pic:pic xmlns:pic="http://schemas.openxmlformats.org/drawingml/2006/picture">
                        <pic:nvPicPr>
                          <pic:cNvPr id="1102" name="AutoShape_1860_SpCnt_345"/>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53472" behindDoc="0" locked="0" layoutInCell="1" allowOverlap="1">
                  <wp:simplePos x="0" y="0"/>
                  <wp:positionH relativeFrom="column">
                    <wp:posOffset>0</wp:posOffset>
                  </wp:positionH>
                  <wp:positionV relativeFrom="paragraph">
                    <wp:posOffset>0</wp:posOffset>
                  </wp:positionV>
                  <wp:extent cx="304800" cy="299720"/>
                  <wp:effectExtent l="0" t="0" r="0" b="0"/>
                  <wp:wrapNone/>
                  <wp:docPr id="1101" name="AutoShape_1860_SpCnt_346"/>
                  <wp:cNvGraphicFramePr/>
                  <a:graphic xmlns:a="http://schemas.openxmlformats.org/drawingml/2006/main">
                    <a:graphicData uri="http://schemas.openxmlformats.org/drawingml/2006/picture">
                      <pic:pic xmlns:pic="http://schemas.openxmlformats.org/drawingml/2006/picture">
                        <pic:nvPicPr>
                          <pic:cNvPr id="1101" name="AutoShape_1860_SpCnt_346"/>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54496" behindDoc="0" locked="0" layoutInCell="1" allowOverlap="1">
                  <wp:simplePos x="0" y="0"/>
                  <wp:positionH relativeFrom="column">
                    <wp:posOffset>0</wp:posOffset>
                  </wp:positionH>
                  <wp:positionV relativeFrom="paragraph">
                    <wp:posOffset>0</wp:posOffset>
                  </wp:positionV>
                  <wp:extent cx="304800" cy="305435"/>
                  <wp:effectExtent l="0" t="0" r="0" b="0"/>
                  <wp:wrapNone/>
                  <wp:docPr id="1100" name="AutoShape_1860_SpCnt_347"/>
                  <wp:cNvGraphicFramePr/>
                  <a:graphic xmlns:a="http://schemas.openxmlformats.org/drawingml/2006/main">
                    <a:graphicData uri="http://schemas.openxmlformats.org/drawingml/2006/picture">
                      <pic:pic xmlns:pic="http://schemas.openxmlformats.org/drawingml/2006/picture">
                        <pic:nvPicPr>
                          <pic:cNvPr id="1100" name="AutoShape_1860_SpCnt_347"/>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55520"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99" name="AutoShape_1860_SpCnt_348"/>
                  <wp:cNvGraphicFramePr/>
                  <a:graphic xmlns:a="http://schemas.openxmlformats.org/drawingml/2006/main">
                    <a:graphicData uri="http://schemas.openxmlformats.org/drawingml/2006/picture">
                      <pic:pic xmlns:pic="http://schemas.openxmlformats.org/drawingml/2006/picture">
                        <pic:nvPicPr>
                          <pic:cNvPr id="1099" name="AutoShape_1860_SpCnt_348"/>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56544"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98" name="AutoShape_1860_SpCnt_349"/>
                  <wp:cNvGraphicFramePr/>
                  <a:graphic xmlns:a="http://schemas.openxmlformats.org/drawingml/2006/main">
                    <a:graphicData uri="http://schemas.openxmlformats.org/drawingml/2006/picture">
                      <pic:pic xmlns:pic="http://schemas.openxmlformats.org/drawingml/2006/picture">
                        <pic:nvPicPr>
                          <pic:cNvPr id="1098" name="AutoShape_1860_SpCnt_349"/>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57568"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97" name="AutoShape_1860_SpCnt_350"/>
                  <wp:cNvGraphicFramePr/>
                  <a:graphic xmlns:a="http://schemas.openxmlformats.org/drawingml/2006/main">
                    <a:graphicData uri="http://schemas.openxmlformats.org/drawingml/2006/picture">
                      <pic:pic xmlns:pic="http://schemas.openxmlformats.org/drawingml/2006/picture">
                        <pic:nvPicPr>
                          <pic:cNvPr id="1097" name="AutoShape_1860_SpCnt_350"/>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58592"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86" name="AutoShape_1860_SpCnt_351"/>
                  <wp:cNvGraphicFramePr/>
                  <a:graphic xmlns:a="http://schemas.openxmlformats.org/drawingml/2006/main">
                    <a:graphicData uri="http://schemas.openxmlformats.org/drawingml/2006/picture">
                      <pic:pic xmlns:pic="http://schemas.openxmlformats.org/drawingml/2006/picture">
                        <pic:nvPicPr>
                          <pic:cNvPr id="1086" name="AutoShape_1860_SpCnt_351"/>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59616"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96" name="AutoShape_1860_SpCnt_352"/>
                  <wp:cNvGraphicFramePr/>
                  <a:graphic xmlns:a="http://schemas.openxmlformats.org/drawingml/2006/main">
                    <a:graphicData uri="http://schemas.openxmlformats.org/drawingml/2006/picture">
                      <pic:pic xmlns:pic="http://schemas.openxmlformats.org/drawingml/2006/picture">
                        <pic:nvPicPr>
                          <pic:cNvPr id="1096" name="AutoShape_1860_SpCnt_352"/>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60640"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95" name="AutoShape_1860_SpCnt_353"/>
                  <wp:cNvGraphicFramePr/>
                  <a:graphic xmlns:a="http://schemas.openxmlformats.org/drawingml/2006/main">
                    <a:graphicData uri="http://schemas.openxmlformats.org/drawingml/2006/picture">
                      <pic:pic xmlns:pic="http://schemas.openxmlformats.org/drawingml/2006/picture">
                        <pic:nvPicPr>
                          <pic:cNvPr id="1095" name="AutoShape_1860_SpCnt_353"/>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61664" behindDoc="0" locked="0" layoutInCell="1" allowOverlap="1">
                  <wp:simplePos x="0" y="0"/>
                  <wp:positionH relativeFrom="column">
                    <wp:posOffset>0</wp:posOffset>
                  </wp:positionH>
                  <wp:positionV relativeFrom="paragraph">
                    <wp:posOffset>0</wp:posOffset>
                  </wp:positionV>
                  <wp:extent cx="304800" cy="299720"/>
                  <wp:effectExtent l="0" t="0" r="0" b="0"/>
                  <wp:wrapNone/>
                  <wp:docPr id="1094" name="AutoShape_1860_SpCnt_354"/>
                  <wp:cNvGraphicFramePr/>
                  <a:graphic xmlns:a="http://schemas.openxmlformats.org/drawingml/2006/main">
                    <a:graphicData uri="http://schemas.openxmlformats.org/drawingml/2006/picture">
                      <pic:pic xmlns:pic="http://schemas.openxmlformats.org/drawingml/2006/picture">
                        <pic:nvPicPr>
                          <pic:cNvPr id="1094" name="AutoShape_1860_SpCnt_354"/>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62688"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84" name="AutoShape_1860_SpCnt_355"/>
                  <wp:cNvGraphicFramePr/>
                  <a:graphic xmlns:a="http://schemas.openxmlformats.org/drawingml/2006/main">
                    <a:graphicData uri="http://schemas.openxmlformats.org/drawingml/2006/picture">
                      <pic:pic xmlns:pic="http://schemas.openxmlformats.org/drawingml/2006/picture">
                        <pic:nvPicPr>
                          <pic:cNvPr id="1084" name="AutoShape_1860_SpCnt_355"/>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63712"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83" name="AutoShape_1860_SpCnt_356"/>
                  <wp:cNvGraphicFramePr/>
                  <a:graphic xmlns:a="http://schemas.openxmlformats.org/drawingml/2006/main">
                    <a:graphicData uri="http://schemas.openxmlformats.org/drawingml/2006/picture">
                      <pic:pic xmlns:pic="http://schemas.openxmlformats.org/drawingml/2006/picture">
                        <pic:nvPicPr>
                          <pic:cNvPr id="1083" name="AutoShape_1860_SpCnt_356"/>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64736"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93" name="AutoShape_1860_SpCnt_357"/>
                  <wp:cNvGraphicFramePr/>
                  <a:graphic xmlns:a="http://schemas.openxmlformats.org/drawingml/2006/main">
                    <a:graphicData uri="http://schemas.openxmlformats.org/drawingml/2006/picture">
                      <pic:pic xmlns:pic="http://schemas.openxmlformats.org/drawingml/2006/picture">
                        <pic:nvPicPr>
                          <pic:cNvPr id="1093" name="AutoShape_1860_SpCnt_357"/>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65760" behindDoc="0" locked="0" layoutInCell="1" allowOverlap="1">
                  <wp:simplePos x="0" y="0"/>
                  <wp:positionH relativeFrom="column">
                    <wp:posOffset>0</wp:posOffset>
                  </wp:positionH>
                  <wp:positionV relativeFrom="paragraph">
                    <wp:posOffset>0</wp:posOffset>
                  </wp:positionV>
                  <wp:extent cx="304800" cy="299720"/>
                  <wp:effectExtent l="0" t="0" r="0" b="0"/>
                  <wp:wrapNone/>
                  <wp:docPr id="1143" name="AutoShape_1860_SpCnt_358"/>
                  <wp:cNvGraphicFramePr/>
                  <a:graphic xmlns:a="http://schemas.openxmlformats.org/drawingml/2006/main">
                    <a:graphicData uri="http://schemas.openxmlformats.org/drawingml/2006/picture">
                      <pic:pic xmlns:pic="http://schemas.openxmlformats.org/drawingml/2006/picture">
                        <pic:nvPicPr>
                          <pic:cNvPr id="1143" name="AutoShape_1860_SpCnt_358"/>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66784"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92" name="AutoShape_1860_SpCnt_359"/>
                  <wp:cNvGraphicFramePr/>
                  <a:graphic xmlns:a="http://schemas.openxmlformats.org/drawingml/2006/main">
                    <a:graphicData uri="http://schemas.openxmlformats.org/drawingml/2006/picture">
                      <pic:pic xmlns:pic="http://schemas.openxmlformats.org/drawingml/2006/picture">
                        <pic:nvPicPr>
                          <pic:cNvPr id="1092" name="AutoShape_1860_SpCnt_359"/>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67808"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91" name="AutoShape_1860_SpCnt_360"/>
                  <wp:cNvGraphicFramePr/>
                  <a:graphic xmlns:a="http://schemas.openxmlformats.org/drawingml/2006/main">
                    <a:graphicData uri="http://schemas.openxmlformats.org/drawingml/2006/picture">
                      <pic:pic xmlns:pic="http://schemas.openxmlformats.org/drawingml/2006/picture">
                        <pic:nvPicPr>
                          <pic:cNvPr id="1091" name="AutoShape_1860_SpCnt_360"/>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304800" cy="299720"/>
                  <wp:effectExtent l="0" t="0" r="0" b="0"/>
                  <wp:wrapNone/>
                  <wp:docPr id="1090" name="AutoShape_1860_SpCnt_361"/>
                  <wp:cNvGraphicFramePr/>
                  <a:graphic xmlns:a="http://schemas.openxmlformats.org/drawingml/2006/main">
                    <a:graphicData uri="http://schemas.openxmlformats.org/drawingml/2006/picture">
                      <pic:pic xmlns:pic="http://schemas.openxmlformats.org/drawingml/2006/picture">
                        <pic:nvPicPr>
                          <pic:cNvPr id="1090" name="AutoShape_1860_SpCnt_361"/>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69856"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88" name="AutoShape_1860_SpCnt_362"/>
                  <wp:cNvGraphicFramePr/>
                  <a:graphic xmlns:a="http://schemas.openxmlformats.org/drawingml/2006/main">
                    <a:graphicData uri="http://schemas.openxmlformats.org/drawingml/2006/picture">
                      <pic:pic xmlns:pic="http://schemas.openxmlformats.org/drawingml/2006/picture">
                        <pic:nvPicPr>
                          <pic:cNvPr id="1088" name="AutoShape_1860_SpCnt_362"/>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70880" behindDoc="0" locked="0" layoutInCell="1" allowOverlap="1">
                  <wp:simplePos x="0" y="0"/>
                  <wp:positionH relativeFrom="column">
                    <wp:posOffset>0</wp:posOffset>
                  </wp:positionH>
                  <wp:positionV relativeFrom="paragraph">
                    <wp:posOffset>0</wp:posOffset>
                  </wp:positionV>
                  <wp:extent cx="304800" cy="299720"/>
                  <wp:effectExtent l="0" t="0" r="0" b="0"/>
                  <wp:wrapNone/>
                  <wp:docPr id="1087" name="AutoShape_1860_SpCnt_363"/>
                  <wp:cNvGraphicFramePr/>
                  <a:graphic xmlns:a="http://schemas.openxmlformats.org/drawingml/2006/main">
                    <a:graphicData uri="http://schemas.openxmlformats.org/drawingml/2006/picture">
                      <pic:pic xmlns:pic="http://schemas.openxmlformats.org/drawingml/2006/picture">
                        <pic:nvPicPr>
                          <pic:cNvPr id="1087" name="AutoShape_1860_SpCnt_363"/>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71904"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81" name="AutoShape_1860_SpCnt_364"/>
                  <wp:cNvGraphicFramePr/>
                  <a:graphic xmlns:a="http://schemas.openxmlformats.org/drawingml/2006/main">
                    <a:graphicData uri="http://schemas.openxmlformats.org/drawingml/2006/picture">
                      <pic:pic xmlns:pic="http://schemas.openxmlformats.org/drawingml/2006/picture">
                        <pic:nvPicPr>
                          <pic:cNvPr id="1081" name="AutoShape_1860_SpCnt_364"/>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72928"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80" name="AutoShape_1860_SpCnt_365"/>
                  <wp:cNvGraphicFramePr/>
                  <a:graphic xmlns:a="http://schemas.openxmlformats.org/drawingml/2006/main">
                    <a:graphicData uri="http://schemas.openxmlformats.org/drawingml/2006/picture">
                      <pic:pic xmlns:pic="http://schemas.openxmlformats.org/drawingml/2006/picture">
                        <pic:nvPicPr>
                          <pic:cNvPr id="1080" name="AutoShape_1860_SpCnt_365"/>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73952"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79" name="AutoShape_1860_SpCnt_366"/>
                  <wp:cNvGraphicFramePr/>
                  <a:graphic xmlns:a="http://schemas.openxmlformats.org/drawingml/2006/main">
                    <a:graphicData uri="http://schemas.openxmlformats.org/drawingml/2006/picture">
                      <pic:pic xmlns:pic="http://schemas.openxmlformats.org/drawingml/2006/picture">
                        <pic:nvPicPr>
                          <pic:cNvPr id="1079" name="AutoShape_1860_SpCnt_366"/>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74976"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77" name="AutoShape_1860_SpCnt_367"/>
                  <wp:cNvGraphicFramePr/>
                  <a:graphic xmlns:a="http://schemas.openxmlformats.org/drawingml/2006/main">
                    <a:graphicData uri="http://schemas.openxmlformats.org/drawingml/2006/picture">
                      <pic:pic xmlns:pic="http://schemas.openxmlformats.org/drawingml/2006/picture">
                        <pic:nvPicPr>
                          <pic:cNvPr id="1077" name="AutoShape_1860_SpCnt_367"/>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76000"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76" name="AutoShape_1860_SpCnt_368"/>
                  <wp:cNvGraphicFramePr/>
                  <a:graphic xmlns:a="http://schemas.openxmlformats.org/drawingml/2006/main">
                    <a:graphicData uri="http://schemas.openxmlformats.org/drawingml/2006/picture">
                      <pic:pic xmlns:pic="http://schemas.openxmlformats.org/drawingml/2006/picture">
                        <pic:nvPicPr>
                          <pic:cNvPr id="1076" name="AutoShape_1860_SpCnt_368"/>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77024" behindDoc="0" locked="0" layoutInCell="1" allowOverlap="1">
                  <wp:simplePos x="0" y="0"/>
                  <wp:positionH relativeFrom="column">
                    <wp:posOffset>0</wp:posOffset>
                  </wp:positionH>
                  <wp:positionV relativeFrom="paragraph">
                    <wp:posOffset>0</wp:posOffset>
                  </wp:positionV>
                  <wp:extent cx="304800" cy="299720"/>
                  <wp:effectExtent l="0" t="0" r="0" b="0"/>
                  <wp:wrapNone/>
                  <wp:docPr id="1075" name="AutoShape_1860_SpCnt_369"/>
                  <wp:cNvGraphicFramePr/>
                  <a:graphic xmlns:a="http://schemas.openxmlformats.org/drawingml/2006/main">
                    <a:graphicData uri="http://schemas.openxmlformats.org/drawingml/2006/picture">
                      <pic:pic xmlns:pic="http://schemas.openxmlformats.org/drawingml/2006/picture">
                        <pic:nvPicPr>
                          <pic:cNvPr id="1075" name="AutoShape_1860_SpCnt_369"/>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78048"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73" name="AutoShape_1860_SpCnt_370"/>
                  <wp:cNvGraphicFramePr/>
                  <a:graphic xmlns:a="http://schemas.openxmlformats.org/drawingml/2006/main">
                    <a:graphicData uri="http://schemas.openxmlformats.org/drawingml/2006/picture">
                      <pic:pic xmlns:pic="http://schemas.openxmlformats.org/drawingml/2006/picture">
                        <pic:nvPicPr>
                          <pic:cNvPr id="1073" name="AutoShape_1860_SpCnt_370"/>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79072" behindDoc="0" locked="0" layoutInCell="1" allowOverlap="1">
                  <wp:simplePos x="0" y="0"/>
                  <wp:positionH relativeFrom="column">
                    <wp:posOffset>0</wp:posOffset>
                  </wp:positionH>
                  <wp:positionV relativeFrom="paragraph">
                    <wp:posOffset>0</wp:posOffset>
                  </wp:positionV>
                  <wp:extent cx="304800" cy="299720"/>
                  <wp:effectExtent l="0" t="0" r="0" b="0"/>
                  <wp:wrapNone/>
                  <wp:docPr id="1072" name="AutoShape_1860_SpCnt_371"/>
                  <wp:cNvGraphicFramePr/>
                  <a:graphic xmlns:a="http://schemas.openxmlformats.org/drawingml/2006/main">
                    <a:graphicData uri="http://schemas.openxmlformats.org/drawingml/2006/picture">
                      <pic:pic xmlns:pic="http://schemas.openxmlformats.org/drawingml/2006/picture">
                        <pic:nvPicPr>
                          <pic:cNvPr id="1072" name="AutoShape_1860_SpCnt_371"/>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80096"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71" name="AutoShape_1860_SpCnt_372"/>
                  <wp:cNvGraphicFramePr/>
                  <a:graphic xmlns:a="http://schemas.openxmlformats.org/drawingml/2006/main">
                    <a:graphicData uri="http://schemas.openxmlformats.org/drawingml/2006/picture">
                      <pic:pic xmlns:pic="http://schemas.openxmlformats.org/drawingml/2006/picture">
                        <pic:nvPicPr>
                          <pic:cNvPr id="1071" name="AutoShape_1860_SpCnt_372"/>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81120"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70" name="AutoShape_1860_SpCnt_373"/>
                  <wp:cNvGraphicFramePr/>
                  <a:graphic xmlns:a="http://schemas.openxmlformats.org/drawingml/2006/main">
                    <a:graphicData uri="http://schemas.openxmlformats.org/drawingml/2006/picture">
                      <pic:pic xmlns:pic="http://schemas.openxmlformats.org/drawingml/2006/picture">
                        <pic:nvPicPr>
                          <pic:cNvPr id="1070" name="AutoShape_1860_SpCnt_373"/>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82144"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69" name="AutoShape_1860_SpCnt_374"/>
                  <wp:cNvGraphicFramePr/>
                  <a:graphic xmlns:a="http://schemas.openxmlformats.org/drawingml/2006/main">
                    <a:graphicData uri="http://schemas.openxmlformats.org/drawingml/2006/picture">
                      <pic:pic xmlns:pic="http://schemas.openxmlformats.org/drawingml/2006/picture">
                        <pic:nvPicPr>
                          <pic:cNvPr id="1069" name="AutoShape_1860_SpCnt_374"/>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83168"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68" name="AutoShape_1860_SpCnt_375"/>
                  <wp:cNvGraphicFramePr/>
                  <a:graphic xmlns:a="http://schemas.openxmlformats.org/drawingml/2006/main">
                    <a:graphicData uri="http://schemas.openxmlformats.org/drawingml/2006/picture">
                      <pic:pic xmlns:pic="http://schemas.openxmlformats.org/drawingml/2006/picture">
                        <pic:nvPicPr>
                          <pic:cNvPr id="1068" name="AutoShape_1860_SpCnt_375"/>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84192"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66" name="AutoShape_1860_SpCnt_376"/>
                  <wp:cNvGraphicFramePr/>
                  <a:graphic xmlns:a="http://schemas.openxmlformats.org/drawingml/2006/main">
                    <a:graphicData uri="http://schemas.openxmlformats.org/drawingml/2006/picture">
                      <pic:pic xmlns:pic="http://schemas.openxmlformats.org/drawingml/2006/picture">
                        <pic:nvPicPr>
                          <pic:cNvPr id="1066" name="AutoShape_1860_SpCnt_376"/>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67" name="AutoShape_1860_SpCnt_377"/>
                  <wp:cNvGraphicFramePr/>
                  <a:graphic xmlns:a="http://schemas.openxmlformats.org/drawingml/2006/main">
                    <a:graphicData uri="http://schemas.openxmlformats.org/drawingml/2006/picture">
                      <pic:pic xmlns:pic="http://schemas.openxmlformats.org/drawingml/2006/picture">
                        <pic:nvPicPr>
                          <pic:cNvPr id="1067" name="AutoShape_1860_SpCnt_377"/>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86240"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12" name="AutoShape_1860_SpCnt_378"/>
                  <wp:cNvGraphicFramePr/>
                  <a:graphic xmlns:a="http://schemas.openxmlformats.org/drawingml/2006/main">
                    <a:graphicData uri="http://schemas.openxmlformats.org/drawingml/2006/picture">
                      <pic:pic xmlns:pic="http://schemas.openxmlformats.org/drawingml/2006/picture">
                        <pic:nvPicPr>
                          <pic:cNvPr id="1012" name="AutoShape_1860_SpCnt_378"/>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87264"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11" name="AutoShape_1860_SpCnt_379"/>
                  <wp:cNvGraphicFramePr/>
                  <a:graphic xmlns:a="http://schemas.openxmlformats.org/drawingml/2006/main">
                    <a:graphicData uri="http://schemas.openxmlformats.org/drawingml/2006/picture">
                      <pic:pic xmlns:pic="http://schemas.openxmlformats.org/drawingml/2006/picture">
                        <pic:nvPicPr>
                          <pic:cNvPr id="1011" name="AutoShape_1860_SpCnt_379"/>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88288"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10" name="AutoShape_1860_SpCnt_380"/>
                  <wp:cNvGraphicFramePr/>
                  <a:graphic xmlns:a="http://schemas.openxmlformats.org/drawingml/2006/main">
                    <a:graphicData uri="http://schemas.openxmlformats.org/drawingml/2006/picture">
                      <pic:pic xmlns:pic="http://schemas.openxmlformats.org/drawingml/2006/picture">
                        <pic:nvPicPr>
                          <pic:cNvPr id="1010" name="AutoShape_1860_SpCnt_380"/>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89312"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01" name="AutoShape_1860_SpCnt_381"/>
                  <wp:cNvGraphicFramePr/>
                  <a:graphic xmlns:a="http://schemas.openxmlformats.org/drawingml/2006/main">
                    <a:graphicData uri="http://schemas.openxmlformats.org/drawingml/2006/picture">
                      <pic:pic xmlns:pic="http://schemas.openxmlformats.org/drawingml/2006/picture">
                        <pic:nvPicPr>
                          <pic:cNvPr id="1001" name="AutoShape_1860_SpCnt_381"/>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90336"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14" name="AutoShape_1860_SpCnt_382"/>
                  <wp:cNvGraphicFramePr/>
                  <a:graphic xmlns:a="http://schemas.openxmlformats.org/drawingml/2006/main">
                    <a:graphicData uri="http://schemas.openxmlformats.org/drawingml/2006/picture">
                      <pic:pic xmlns:pic="http://schemas.openxmlformats.org/drawingml/2006/picture">
                        <pic:nvPicPr>
                          <pic:cNvPr id="1014" name="AutoShape_1860_SpCnt_382"/>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91360"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17" name="AutoShape_1860_SpCnt_383"/>
                  <wp:cNvGraphicFramePr/>
                  <a:graphic xmlns:a="http://schemas.openxmlformats.org/drawingml/2006/main">
                    <a:graphicData uri="http://schemas.openxmlformats.org/drawingml/2006/picture">
                      <pic:pic xmlns:pic="http://schemas.openxmlformats.org/drawingml/2006/picture">
                        <pic:nvPicPr>
                          <pic:cNvPr id="1017" name="AutoShape_1860_SpCnt_383"/>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92384" behindDoc="0" locked="0" layoutInCell="1" allowOverlap="1">
                  <wp:simplePos x="0" y="0"/>
                  <wp:positionH relativeFrom="column">
                    <wp:posOffset>0</wp:posOffset>
                  </wp:positionH>
                  <wp:positionV relativeFrom="paragraph">
                    <wp:posOffset>0</wp:posOffset>
                  </wp:positionV>
                  <wp:extent cx="304800" cy="299720"/>
                  <wp:effectExtent l="0" t="0" r="0" b="0"/>
                  <wp:wrapNone/>
                  <wp:docPr id="1019" name="AutoShape_1860_SpCnt_384"/>
                  <wp:cNvGraphicFramePr/>
                  <a:graphic xmlns:a="http://schemas.openxmlformats.org/drawingml/2006/main">
                    <a:graphicData uri="http://schemas.openxmlformats.org/drawingml/2006/picture">
                      <pic:pic xmlns:pic="http://schemas.openxmlformats.org/drawingml/2006/picture">
                        <pic:nvPicPr>
                          <pic:cNvPr id="1019" name="AutoShape_1860_SpCnt_384"/>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93408"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21" name="AutoShape_1860_SpCnt_385"/>
                  <wp:cNvGraphicFramePr/>
                  <a:graphic xmlns:a="http://schemas.openxmlformats.org/drawingml/2006/main">
                    <a:graphicData uri="http://schemas.openxmlformats.org/drawingml/2006/picture">
                      <pic:pic xmlns:pic="http://schemas.openxmlformats.org/drawingml/2006/picture">
                        <pic:nvPicPr>
                          <pic:cNvPr id="1021" name="AutoShape_1860_SpCnt_385"/>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94432"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23" name="AutoShape_1860_SpCnt_386"/>
                  <wp:cNvGraphicFramePr/>
                  <a:graphic xmlns:a="http://schemas.openxmlformats.org/drawingml/2006/main">
                    <a:graphicData uri="http://schemas.openxmlformats.org/drawingml/2006/picture">
                      <pic:pic xmlns:pic="http://schemas.openxmlformats.org/drawingml/2006/picture">
                        <pic:nvPicPr>
                          <pic:cNvPr id="1023" name="AutoShape_1860_SpCnt_386"/>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95456"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18" name="AutoShape_1860_SpCnt_387"/>
                  <wp:cNvGraphicFramePr/>
                  <a:graphic xmlns:a="http://schemas.openxmlformats.org/drawingml/2006/main">
                    <a:graphicData uri="http://schemas.openxmlformats.org/drawingml/2006/picture">
                      <pic:pic xmlns:pic="http://schemas.openxmlformats.org/drawingml/2006/picture">
                        <pic:nvPicPr>
                          <pic:cNvPr id="1018" name="AutoShape_1860_SpCnt_387"/>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96480"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24" name="AutoShape_1860_SpCnt_388"/>
                  <wp:cNvGraphicFramePr/>
                  <a:graphic xmlns:a="http://schemas.openxmlformats.org/drawingml/2006/main">
                    <a:graphicData uri="http://schemas.openxmlformats.org/drawingml/2006/picture">
                      <pic:pic xmlns:pic="http://schemas.openxmlformats.org/drawingml/2006/picture">
                        <pic:nvPicPr>
                          <pic:cNvPr id="1024" name="AutoShape_1860_SpCnt_388"/>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97504"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25" name="AutoShape_1860_SpCnt_389"/>
                  <wp:cNvGraphicFramePr/>
                  <a:graphic xmlns:a="http://schemas.openxmlformats.org/drawingml/2006/main">
                    <a:graphicData uri="http://schemas.openxmlformats.org/drawingml/2006/picture">
                      <pic:pic xmlns:pic="http://schemas.openxmlformats.org/drawingml/2006/picture">
                        <pic:nvPicPr>
                          <pic:cNvPr id="1025" name="AutoShape_1860_SpCnt_389"/>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98528"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26" name="AutoShape_1860_SpCnt_390"/>
                  <wp:cNvGraphicFramePr/>
                  <a:graphic xmlns:a="http://schemas.openxmlformats.org/drawingml/2006/main">
                    <a:graphicData uri="http://schemas.openxmlformats.org/drawingml/2006/picture">
                      <pic:pic xmlns:pic="http://schemas.openxmlformats.org/drawingml/2006/picture">
                        <pic:nvPicPr>
                          <pic:cNvPr id="1026" name="AutoShape_1860_SpCnt_390"/>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799552"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31" name="AutoShape_1860_SpCnt_391"/>
                  <wp:cNvGraphicFramePr/>
                  <a:graphic xmlns:a="http://schemas.openxmlformats.org/drawingml/2006/main">
                    <a:graphicData uri="http://schemas.openxmlformats.org/drawingml/2006/picture">
                      <pic:pic xmlns:pic="http://schemas.openxmlformats.org/drawingml/2006/picture">
                        <pic:nvPicPr>
                          <pic:cNvPr id="1031" name="AutoShape_1860_SpCnt_391"/>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00576" behindDoc="0" locked="0" layoutInCell="1" allowOverlap="1">
                  <wp:simplePos x="0" y="0"/>
                  <wp:positionH relativeFrom="column">
                    <wp:posOffset>0</wp:posOffset>
                  </wp:positionH>
                  <wp:positionV relativeFrom="paragraph">
                    <wp:posOffset>0</wp:posOffset>
                  </wp:positionV>
                  <wp:extent cx="304800" cy="299720"/>
                  <wp:effectExtent l="0" t="0" r="0" b="0"/>
                  <wp:wrapNone/>
                  <wp:docPr id="1029" name="AutoShape_1860_SpCnt_392"/>
                  <wp:cNvGraphicFramePr/>
                  <a:graphic xmlns:a="http://schemas.openxmlformats.org/drawingml/2006/main">
                    <a:graphicData uri="http://schemas.openxmlformats.org/drawingml/2006/picture">
                      <pic:pic xmlns:pic="http://schemas.openxmlformats.org/drawingml/2006/picture">
                        <pic:nvPicPr>
                          <pic:cNvPr id="1029" name="AutoShape_1860_SpCnt_392"/>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01600" behindDoc="0" locked="0" layoutInCell="1" allowOverlap="1">
                  <wp:simplePos x="0" y="0"/>
                  <wp:positionH relativeFrom="column">
                    <wp:posOffset>0</wp:posOffset>
                  </wp:positionH>
                  <wp:positionV relativeFrom="paragraph">
                    <wp:posOffset>0</wp:posOffset>
                  </wp:positionV>
                  <wp:extent cx="304800" cy="299720"/>
                  <wp:effectExtent l="0" t="0" r="0" b="0"/>
                  <wp:wrapNone/>
                  <wp:docPr id="1036" name="AutoShape_1860_SpCnt_393"/>
                  <wp:cNvGraphicFramePr/>
                  <a:graphic xmlns:a="http://schemas.openxmlformats.org/drawingml/2006/main">
                    <a:graphicData uri="http://schemas.openxmlformats.org/drawingml/2006/picture">
                      <pic:pic xmlns:pic="http://schemas.openxmlformats.org/drawingml/2006/picture">
                        <pic:nvPicPr>
                          <pic:cNvPr id="1036" name="AutoShape_1860_SpCnt_393"/>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02624" behindDoc="0" locked="0" layoutInCell="1" allowOverlap="1">
                  <wp:simplePos x="0" y="0"/>
                  <wp:positionH relativeFrom="column">
                    <wp:posOffset>0</wp:posOffset>
                  </wp:positionH>
                  <wp:positionV relativeFrom="paragraph">
                    <wp:posOffset>0</wp:posOffset>
                  </wp:positionV>
                  <wp:extent cx="304800" cy="299720"/>
                  <wp:effectExtent l="0" t="0" r="0" b="0"/>
                  <wp:wrapNone/>
                  <wp:docPr id="937" name="AutoShape_1860_SpCnt_394"/>
                  <wp:cNvGraphicFramePr/>
                  <a:graphic xmlns:a="http://schemas.openxmlformats.org/drawingml/2006/main">
                    <a:graphicData uri="http://schemas.openxmlformats.org/drawingml/2006/picture">
                      <pic:pic xmlns:pic="http://schemas.openxmlformats.org/drawingml/2006/picture">
                        <pic:nvPicPr>
                          <pic:cNvPr id="937" name="AutoShape_1860_SpCnt_394"/>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03648" behindDoc="0" locked="0" layoutInCell="1" allowOverlap="1">
                  <wp:simplePos x="0" y="0"/>
                  <wp:positionH relativeFrom="column">
                    <wp:posOffset>0</wp:posOffset>
                  </wp:positionH>
                  <wp:positionV relativeFrom="paragraph">
                    <wp:posOffset>0</wp:posOffset>
                  </wp:positionV>
                  <wp:extent cx="304800" cy="299720"/>
                  <wp:effectExtent l="0" t="0" r="0" b="0"/>
                  <wp:wrapNone/>
                  <wp:docPr id="952" name="AutoShape_1860_SpCnt_395"/>
                  <wp:cNvGraphicFramePr/>
                  <a:graphic xmlns:a="http://schemas.openxmlformats.org/drawingml/2006/main">
                    <a:graphicData uri="http://schemas.openxmlformats.org/drawingml/2006/picture">
                      <pic:pic xmlns:pic="http://schemas.openxmlformats.org/drawingml/2006/picture">
                        <pic:nvPicPr>
                          <pic:cNvPr id="952" name="AutoShape_1860_SpCnt_395"/>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04672" behindDoc="0" locked="0" layoutInCell="1" allowOverlap="1">
                  <wp:simplePos x="0" y="0"/>
                  <wp:positionH relativeFrom="column">
                    <wp:posOffset>0</wp:posOffset>
                  </wp:positionH>
                  <wp:positionV relativeFrom="paragraph">
                    <wp:posOffset>0</wp:posOffset>
                  </wp:positionV>
                  <wp:extent cx="304800" cy="299720"/>
                  <wp:effectExtent l="0" t="0" r="0" b="0"/>
                  <wp:wrapNone/>
                  <wp:docPr id="1051" name="AutoShape_1860_SpCnt_396"/>
                  <wp:cNvGraphicFramePr/>
                  <a:graphic xmlns:a="http://schemas.openxmlformats.org/drawingml/2006/main">
                    <a:graphicData uri="http://schemas.openxmlformats.org/drawingml/2006/picture">
                      <pic:pic xmlns:pic="http://schemas.openxmlformats.org/drawingml/2006/picture">
                        <pic:nvPicPr>
                          <pic:cNvPr id="1051" name="AutoShape_1860_SpCnt_396"/>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05696" behindDoc="0" locked="0" layoutInCell="1" allowOverlap="1">
                  <wp:simplePos x="0" y="0"/>
                  <wp:positionH relativeFrom="column">
                    <wp:posOffset>0</wp:posOffset>
                  </wp:positionH>
                  <wp:positionV relativeFrom="paragraph">
                    <wp:posOffset>0</wp:posOffset>
                  </wp:positionV>
                  <wp:extent cx="304800" cy="299720"/>
                  <wp:effectExtent l="0" t="0" r="0" b="0"/>
                  <wp:wrapNone/>
                  <wp:docPr id="953" name="AutoShape_1860_SpCnt_397"/>
                  <wp:cNvGraphicFramePr/>
                  <a:graphic xmlns:a="http://schemas.openxmlformats.org/drawingml/2006/main">
                    <a:graphicData uri="http://schemas.openxmlformats.org/drawingml/2006/picture">
                      <pic:pic xmlns:pic="http://schemas.openxmlformats.org/drawingml/2006/picture">
                        <pic:nvPicPr>
                          <pic:cNvPr id="953" name="AutoShape_1860_SpCnt_397"/>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06720" behindDoc="0" locked="0" layoutInCell="1" allowOverlap="1">
                  <wp:simplePos x="0" y="0"/>
                  <wp:positionH relativeFrom="column">
                    <wp:posOffset>0</wp:posOffset>
                  </wp:positionH>
                  <wp:positionV relativeFrom="paragraph">
                    <wp:posOffset>0</wp:posOffset>
                  </wp:positionV>
                  <wp:extent cx="304800" cy="299720"/>
                  <wp:effectExtent l="0" t="0" r="0" b="0"/>
                  <wp:wrapNone/>
                  <wp:docPr id="1059" name="AutoShape_1860_SpCnt_398"/>
                  <wp:cNvGraphicFramePr/>
                  <a:graphic xmlns:a="http://schemas.openxmlformats.org/drawingml/2006/main">
                    <a:graphicData uri="http://schemas.openxmlformats.org/drawingml/2006/picture">
                      <pic:pic xmlns:pic="http://schemas.openxmlformats.org/drawingml/2006/picture">
                        <pic:nvPicPr>
                          <pic:cNvPr id="1059" name="AutoShape_1860_SpCnt_398"/>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07744"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62" name="AutoShape_1860_SpCnt_399"/>
                  <wp:cNvGraphicFramePr/>
                  <a:graphic xmlns:a="http://schemas.openxmlformats.org/drawingml/2006/main">
                    <a:graphicData uri="http://schemas.openxmlformats.org/drawingml/2006/picture">
                      <pic:pic xmlns:pic="http://schemas.openxmlformats.org/drawingml/2006/picture">
                        <pic:nvPicPr>
                          <pic:cNvPr id="1062" name="AutoShape_1860_SpCnt_399"/>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08768"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40" name="AutoShape_1860_SpCnt_400"/>
                  <wp:cNvGraphicFramePr/>
                  <a:graphic xmlns:a="http://schemas.openxmlformats.org/drawingml/2006/main">
                    <a:graphicData uri="http://schemas.openxmlformats.org/drawingml/2006/picture">
                      <pic:pic xmlns:pic="http://schemas.openxmlformats.org/drawingml/2006/picture">
                        <pic:nvPicPr>
                          <pic:cNvPr id="1040" name="AutoShape_1860_SpCnt_400"/>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09792" behindDoc="0" locked="0" layoutInCell="1" allowOverlap="1">
                  <wp:simplePos x="0" y="0"/>
                  <wp:positionH relativeFrom="column">
                    <wp:posOffset>0</wp:posOffset>
                  </wp:positionH>
                  <wp:positionV relativeFrom="paragraph">
                    <wp:posOffset>0</wp:posOffset>
                  </wp:positionV>
                  <wp:extent cx="304800" cy="299720"/>
                  <wp:effectExtent l="0" t="0" r="0" b="0"/>
                  <wp:wrapNone/>
                  <wp:docPr id="1037" name="AutoShape_1860_SpCnt_401"/>
                  <wp:cNvGraphicFramePr/>
                  <a:graphic xmlns:a="http://schemas.openxmlformats.org/drawingml/2006/main">
                    <a:graphicData uri="http://schemas.openxmlformats.org/drawingml/2006/picture">
                      <pic:pic xmlns:pic="http://schemas.openxmlformats.org/drawingml/2006/picture">
                        <pic:nvPicPr>
                          <pic:cNvPr id="1037" name="AutoShape_1860_SpCnt_401"/>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10816"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38" name="AutoShape_1860_SpCnt_402"/>
                  <wp:cNvGraphicFramePr/>
                  <a:graphic xmlns:a="http://schemas.openxmlformats.org/drawingml/2006/main">
                    <a:graphicData uri="http://schemas.openxmlformats.org/drawingml/2006/picture">
                      <pic:pic xmlns:pic="http://schemas.openxmlformats.org/drawingml/2006/picture">
                        <pic:nvPicPr>
                          <pic:cNvPr id="1038" name="AutoShape_1860_SpCnt_402"/>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11840"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41" name="AutoShape_1860_SpCnt_403"/>
                  <wp:cNvGraphicFramePr/>
                  <a:graphic xmlns:a="http://schemas.openxmlformats.org/drawingml/2006/main">
                    <a:graphicData uri="http://schemas.openxmlformats.org/drawingml/2006/picture">
                      <pic:pic xmlns:pic="http://schemas.openxmlformats.org/drawingml/2006/picture">
                        <pic:nvPicPr>
                          <pic:cNvPr id="1041" name="AutoShape_1860_SpCnt_403"/>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12864"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39" name="AutoShape_1860_SpCnt_404"/>
                  <wp:cNvGraphicFramePr/>
                  <a:graphic xmlns:a="http://schemas.openxmlformats.org/drawingml/2006/main">
                    <a:graphicData uri="http://schemas.openxmlformats.org/drawingml/2006/picture">
                      <pic:pic xmlns:pic="http://schemas.openxmlformats.org/drawingml/2006/picture">
                        <pic:nvPicPr>
                          <pic:cNvPr id="1039" name="AutoShape_1860_SpCnt_404"/>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13888"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42" name="AutoShape_1860_SpCnt_405"/>
                  <wp:cNvGraphicFramePr/>
                  <a:graphic xmlns:a="http://schemas.openxmlformats.org/drawingml/2006/main">
                    <a:graphicData uri="http://schemas.openxmlformats.org/drawingml/2006/picture">
                      <pic:pic xmlns:pic="http://schemas.openxmlformats.org/drawingml/2006/picture">
                        <pic:nvPicPr>
                          <pic:cNvPr id="1042" name="AutoShape_1860_SpCnt_405"/>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14912"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43" name="AutoShape_1860_SpCnt_406"/>
                  <wp:cNvGraphicFramePr/>
                  <a:graphic xmlns:a="http://schemas.openxmlformats.org/drawingml/2006/main">
                    <a:graphicData uri="http://schemas.openxmlformats.org/drawingml/2006/picture">
                      <pic:pic xmlns:pic="http://schemas.openxmlformats.org/drawingml/2006/picture">
                        <pic:nvPicPr>
                          <pic:cNvPr id="1043" name="AutoShape_1860_SpCnt_406"/>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15936"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47" name="AutoShape_1860_SpCnt_407"/>
                  <wp:cNvGraphicFramePr/>
                  <a:graphic xmlns:a="http://schemas.openxmlformats.org/drawingml/2006/main">
                    <a:graphicData uri="http://schemas.openxmlformats.org/drawingml/2006/picture">
                      <pic:pic xmlns:pic="http://schemas.openxmlformats.org/drawingml/2006/picture">
                        <pic:nvPicPr>
                          <pic:cNvPr id="1047" name="AutoShape_1860_SpCnt_407"/>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16960" behindDoc="0" locked="0" layoutInCell="1" allowOverlap="1">
                  <wp:simplePos x="0" y="0"/>
                  <wp:positionH relativeFrom="column">
                    <wp:posOffset>0</wp:posOffset>
                  </wp:positionH>
                  <wp:positionV relativeFrom="paragraph">
                    <wp:posOffset>0</wp:posOffset>
                  </wp:positionV>
                  <wp:extent cx="304800" cy="299720"/>
                  <wp:effectExtent l="0" t="0" r="0" b="0"/>
                  <wp:wrapNone/>
                  <wp:docPr id="1045" name="AutoShape_1860_SpCnt_408"/>
                  <wp:cNvGraphicFramePr/>
                  <a:graphic xmlns:a="http://schemas.openxmlformats.org/drawingml/2006/main">
                    <a:graphicData uri="http://schemas.openxmlformats.org/drawingml/2006/picture">
                      <pic:pic xmlns:pic="http://schemas.openxmlformats.org/drawingml/2006/picture">
                        <pic:nvPicPr>
                          <pic:cNvPr id="1045" name="AutoShape_1860_SpCnt_408"/>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17984"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44" name="AutoShape_1860_SpCnt_409"/>
                  <wp:cNvGraphicFramePr/>
                  <a:graphic xmlns:a="http://schemas.openxmlformats.org/drawingml/2006/main">
                    <a:graphicData uri="http://schemas.openxmlformats.org/drawingml/2006/picture">
                      <pic:pic xmlns:pic="http://schemas.openxmlformats.org/drawingml/2006/picture">
                        <pic:nvPicPr>
                          <pic:cNvPr id="1044" name="AutoShape_1860_SpCnt_409"/>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19008" behindDoc="0" locked="0" layoutInCell="1" allowOverlap="1">
                  <wp:simplePos x="0" y="0"/>
                  <wp:positionH relativeFrom="column">
                    <wp:posOffset>0</wp:posOffset>
                  </wp:positionH>
                  <wp:positionV relativeFrom="paragraph">
                    <wp:posOffset>0</wp:posOffset>
                  </wp:positionV>
                  <wp:extent cx="304800" cy="299720"/>
                  <wp:effectExtent l="0" t="0" r="0" b="0"/>
                  <wp:wrapNone/>
                  <wp:docPr id="1048" name="AutoShape_1860_SpCnt_410"/>
                  <wp:cNvGraphicFramePr/>
                  <a:graphic xmlns:a="http://schemas.openxmlformats.org/drawingml/2006/main">
                    <a:graphicData uri="http://schemas.openxmlformats.org/drawingml/2006/picture">
                      <pic:pic xmlns:pic="http://schemas.openxmlformats.org/drawingml/2006/picture">
                        <pic:nvPicPr>
                          <pic:cNvPr id="1048" name="AutoShape_1860_SpCnt_410"/>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20032" behindDoc="0" locked="0" layoutInCell="1" allowOverlap="1">
                  <wp:simplePos x="0" y="0"/>
                  <wp:positionH relativeFrom="column">
                    <wp:posOffset>0</wp:posOffset>
                  </wp:positionH>
                  <wp:positionV relativeFrom="paragraph">
                    <wp:posOffset>0</wp:posOffset>
                  </wp:positionV>
                  <wp:extent cx="304800" cy="299720"/>
                  <wp:effectExtent l="0" t="0" r="0" b="0"/>
                  <wp:wrapNone/>
                  <wp:docPr id="1046" name="AutoShape_1860_SpCnt_411"/>
                  <wp:cNvGraphicFramePr/>
                  <a:graphic xmlns:a="http://schemas.openxmlformats.org/drawingml/2006/main">
                    <a:graphicData uri="http://schemas.openxmlformats.org/drawingml/2006/picture">
                      <pic:pic xmlns:pic="http://schemas.openxmlformats.org/drawingml/2006/picture">
                        <pic:nvPicPr>
                          <pic:cNvPr id="1046" name="AutoShape_1860_SpCnt_411"/>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21056" behindDoc="0" locked="0" layoutInCell="1" allowOverlap="1">
                  <wp:simplePos x="0" y="0"/>
                  <wp:positionH relativeFrom="column">
                    <wp:posOffset>0</wp:posOffset>
                  </wp:positionH>
                  <wp:positionV relativeFrom="paragraph">
                    <wp:posOffset>0</wp:posOffset>
                  </wp:positionV>
                  <wp:extent cx="304800" cy="299720"/>
                  <wp:effectExtent l="0" t="0" r="0" b="0"/>
                  <wp:wrapNone/>
                  <wp:docPr id="1049" name="AutoShape_1860_SpCnt_412"/>
                  <wp:cNvGraphicFramePr/>
                  <a:graphic xmlns:a="http://schemas.openxmlformats.org/drawingml/2006/main">
                    <a:graphicData uri="http://schemas.openxmlformats.org/drawingml/2006/picture">
                      <pic:pic xmlns:pic="http://schemas.openxmlformats.org/drawingml/2006/picture">
                        <pic:nvPicPr>
                          <pic:cNvPr id="1049" name="AutoShape_1860_SpCnt_412"/>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22080"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53" name="AutoShape_1860_SpCnt_413"/>
                  <wp:cNvGraphicFramePr/>
                  <a:graphic xmlns:a="http://schemas.openxmlformats.org/drawingml/2006/main">
                    <a:graphicData uri="http://schemas.openxmlformats.org/drawingml/2006/picture">
                      <pic:pic xmlns:pic="http://schemas.openxmlformats.org/drawingml/2006/picture">
                        <pic:nvPicPr>
                          <pic:cNvPr id="1053" name="AutoShape_1860_SpCnt_413"/>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23104" behindDoc="0" locked="0" layoutInCell="1" allowOverlap="1">
                  <wp:simplePos x="0" y="0"/>
                  <wp:positionH relativeFrom="column">
                    <wp:posOffset>0</wp:posOffset>
                  </wp:positionH>
                  <wp:positionV relativeFrom="paragraph">
                    <wp:posOffset>0</wp:posOffset>
                  </wp:positionV>
                  <wp:extent cx="304800" cy="299720"/>
                  <wp:effectExtent l="0" t="0" r="0" b="0"/>
                  <wp:wrapNone/>
                  <wp:docPr id="1050" name="AutoShape_1860_SpCnt_414"/>
                  <wp:cNvGraphicFramePr/>
                  <a:graphic xmlns:a="http://schemas.openxmlformats.org/drawingml/2006/main">
                    <a:graphicData uri="http://schemas.openxmlformats.org/drawingml/2006/picture">
                      <pic:pic xmlns:pic="http://schemas.openxmlformats.org/drawingml/2006/picture">
                        <pic:nvPicPr>
                          <pic:cNvPr id="1050" name="AutoShape_1860_SpCnt_414"/>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24128"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54" name="AutoShape_1860_SpCnt_415"/>
                  <wp:cNvGraphicFramePr/>
                  <a:graphic xmlns:a="http://schemas.openxmlformats.org/drawingml/2006/main">
                    <a:graphicData uri="http://schemas.openxmlformats.org/drawingml/2006/picture">
                      <pic:pic xmlns:pic="http://schemas.openxmlformats.org/drawingml/2006/picture">
                        <pic:nvPicPr>
                          <pic:cNvPr id="1054" name="AutoShape_1860_SpCnt_415"/>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25152" behindDoc="0" locked="0" layoutInCell="1" allowOverlap="1">
                  <wp:simplePos x="0" y="0"/>
                  <wp:positionH relativeFrom="column">
                    <wp:posOffset>0</wp:posOffset>
                  </wp:positionH>
                  <wp:positionV relativeFrom="paragraph">
                    <wp:posOffset>0</wp:posOffset>
                  </wp:positionV>
                  <wp:extent cx="304800" cy="299720"/>
                  <wp:effectExtent l="0" t="0" r="0" b="0"/>
                  <wp:wrapNone/>
                  <wp:docPr id="1057" name="AutoShape_1860_SpCnt_416"/>
                  <wp:cNvGraphicFramePr/>
                  <a:graphic xmlns:a="http://schemas.openxmlformats.org/drawingml/2006/main">
                    <a:graphicData uri="http://schemas.openxmlformats.org/drawingml/2006/picture">
                      <pic:pic xmlns:pic="http://schemas.openxmlformats.org/drawingml/2006/picture">
                        <pic:nvPicPr>
                          <pic:cNvPr id="1057" name="AutoShape_1860_SpCnt_416"/>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26176" behindDoc="0" locked="0" layoutInCell="1" allowOverlap="1">
                  <wp:simplePos x="0" y="0"/>
                  <wp:positionH relativeFrom="column">
                    <wp:posOffset>0</wp:posOffset>
                  </wp:positionH>
                  <wp:positionV relativeFrom="paragraph">
                    <wp:posOffset>0</wp:posOffset>
                  </wp:positionV>
                  <wp:extent cx="304800" cy="299720"/>
                  <wp:effectExtent l="0" t="0" r="0" b="0"/>
                  <wp:wrapNone/>
                  <wp:docPr id="1052" name="AutoShape_1860_SpCnt_417"/>
                  <wp:cNvGraphicFramePr/>
                  <a:graphic xmlns:a="http://schemas.openxmlformats.org/drawingml/2006/main">
                    <a:graphicData uri="http://schemas.openxmlformats.org/drawingml/2006/picture">
                      <pic:pic xmlns:pic="http://schemas.openxmlformats.org/drawingml/2006/picture">
                        <pic:nvPicPr>
                          <pic:cNvPr id="1052" name="AutoShape_1860_SpCnt_417"/>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27200" behindDoc="0" locked="0" layoutInCell="1" allowOverlap="1">
                  <wp:simplePos x="0" y="0"/>
                  <wp:positionH relativeFrom="column">
                    <wp:posOffset>0</wp:posOffset>
                  </wp:positionH>
                  <wp:positionV relativeFrom="paragraph">
                    <wp:posOffset>0</wp:posOffset>
                  </wp:positionV>
                  <wp:extent cx="304800" cy="299720"/>
                  <wp:effectExtent l="0" t="0" r="0" b="0"/>
                  <wp:wrapNone/>
                  <wp:docPr id="1013" name="AutoShape_1860_SpCnt_418"/>
                  <wp:cNvGraphicFramePr/>
                  <a:graphic xmlns:a="http://schemas.openxmlformats.org/drawingml/2006/main">
                    <a:graphicData uri="http://schemas.openxmlformats.org/drawingml/2006/picture">
                      <pic:pic xmlns:pic="http://schemas.openxmlformats.org/drawingml/2006/picture">
                        <pic:nvPicPr>
                          <pic:cNvPr id="1013" name="AutoShape_1860_SpCnt_418"/>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28224"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55" name="AutoShape_1860_SpCnt_419"/>
                  <wp:cNvGraphicFramePr/>
                  <a:graphic xmlns:a="http://schemas.openxmlformats.org/drawingml/2006/main">
                    <a:graphicData uri="http://schemas.openxmlformats.org/drawingml/2006/picture">
                      <pic:pic xmlns:pic="http://schemas.openxmlformats.org/drawingml/2006/picture">
                        <pic:nvPicPr>
                          <pic:cNvPr id="1055" name="AutoShape_1860_SpCnt_419"/>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29248" behindDoc="0" locked="0" layoutInCell="1" allowOverlap="1">
                  <wp:simplePos x="0" y="0"/>
                  <wp:positionH relativeFrom="column">
                    <wp:posOffset>0</wp:posOffset>
                  </wp:positionH>
                  <wp:positionV relativeFrom="paragraph">
                    <wp:posOffset>0</wp:posOffset>
                  </wp:positionV>
                  <wp:extent cx="304800" cy="299720"/>
                  <wp:effectExtent l="0" t="0" r="0" b="0"/>
                  <wp:wrapNone/>
                  <wp:docPr id="1058" name="AutoShape_1860_SpCnt_420"/>
                  <wp:cNvGraphicFramePr/>
                  <a:graphic xmlns:a="http://schemas.openxmlformats.org/drawingml/2006/main">
                    <a:graphicData uri="http://schemas.openxmlformats.org/drawingml/2006/picture">
                      <pic:pic xmlns:pic="http://schemas.openxmlformats.org/drawingml/2006/picture">
                        <pic:nvPicPr>
                          <pic:cNvPr id="1058" name="AutoShape_1860_SpCnt_420"/>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30272"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60" name="AutoShape_1860_SpCnt_421"/>
                  <wp:cNvGraphicFramePr/>
                  <a:graphic xmlns:a="http://schemas.openxmlformats.org/drawingml/2006/main">
                    <a:graphicData uri="http://schemas.openxmlformats.org/drawingml/2006/picture">
                      <pic:pic xmlns:pic="http://schemas.openxmlformats.org/drawingml/2006/picture">
                        <pic:nvPicPr>
                          <pic:cNvPr id="1060" name="AutoShape_1860_SpCnt_421"/>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31296"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61" name="AutoShape_1860_SpCnt_422"/>
                  <wp:cNvGraphicFramePr/>
                  <a:graphic xmlns:a="http://schemas.openxmlformats.org/drawingml/2006/main">
                    <a:graphicData uri="http://schemas.openxmlformats.org/drawingml/2006/picture">
                      <pic:pic xmlns:pic="http://schemas.openxmlformats.org/drawingml/2006/picture">
                        <pic:nvPicPr>
                          <pic:cNvPr id="1061" name="AutoShape_1860_SpCnt_422"/>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32320"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56" name="AutoShape_1860_SpCnt_423"/>
                  <wp:cNvGraphicFramePr/>
                  <a:graphic xmlns:a="http://schemas.openxmlformats.org/drawingml/2006/main">
                    <a:graphicData uri="http://schemas.openxmlformats.org/drawingml/2006/picture">
                      <pic:pic xmlns:pic="http://schemas.openxmlformats.org/drawingml/2006/picture">
                        <pic:nvPicPr>
                          <pic:cNvPr id="1056" name="AutoShape_1860_SpCnt_423"/>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33344" behindDoc="0" locked="0" layoutInCell="1" allowOverlap="1">
                  <wp:simplePos x="0" y="0"/>
                  <wp:positionH relativeFrom="column">
                    <wp:posOffset>0</wp:posOffset>
                  </wp:positionH>
                  <wp:positionV relativeFrom="paragraph">
                    <wp:posOffset>0</wp:posOffset>
                  </wp:positionV>
                  <wp:extent cx="304800" cy="299720"/>
                  <wp:effectExtent l="0" t="0" r="0" b="0"/>
                  <wp:wrapNone/>
                  <wp:docPr id="958" name="AutoShape_1860_SpCnt_424"/>
                  <wp:cNvGraphicFramePr/>
                  <a:graphic xmlns:a="http://schemas.openxmlformats.org/drawingml/2006/main">
                    <a:graphicData uri="http://schemas.openxmlformats.org/drawingml/2006/picture">
                      <pic:pic xmlns:pic="http://schemas.openxmlformats.org/drawingml/2006/picture">
                        <pic:nvPicPr>
                          <pic:cNvPr id="958" name="AutoShape_1860_SpCnt_424"/>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34368" behindDoc="0" locked="0" layoutInCell="1" allowOverlap="1">
                  <wp:simplePos x="0" y="0"/>
                  <wp:positionH relativeFrom="column">
                    <wp:posOffset>0</wp:posOffset>
                  </wp:positionH>
                  <wp:positionV relativeFrom="paragraph">
                    <wp:posOffset>0</wp:posOffset>
                  </wp:positionV>
                  <wp:extent cx="304800" cy="305435"/>
                  <wp:effectExtent l="0" t="0" r="0" b="0"/>
                  <wp:wrapNone/>
                  <wp:docPr id="939" name="AutoShape_1860_SpCnt_425"/>
                  <wp:cNvGraphicFramePr/>
                  <a:graphic xmlns:a="http://schemas.openxmlformats.org/drawingml/2006/main">
                    <a:graphicData uri="http://schemas.openxmlformats.org/drawingml/2006/picture">
                      <pic:pic xmlns:pic="http://schemas.openxmlformats.org/drawingml/2006/picture">
                        <pic:nvPicPr>
                          <pic:cNvPr id="939" name="AutoShape_1860_SpCnt_425"/>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35392"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20" name="AutoShape_1860_SpCnt_426"/>
                  <wp:cNvGraphicFramePr/>
                  <a:graphic xmlns:a="http://schemas.openxmlformats.org/drawingml/2006/main">
                    <a:graphicData uri="http://schemas.openxmlformats.org/drawingml/2006/picture">
                      <pic:pic xmlns:pic="http://schemas.openxmlformats.org/drawingml/2006/picture">
                        <pic:nvPicPr>
                          <pic:cNvPr id="1020" name="AutoShape_1860_SpCnt_426"/>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36416" behindDoc="0" locked="0" layoutInCell="1" allowOverlap="1">
                  <wp:simplePos x="0" y="0"/>
                  <wp:positionH relativeFrom="column">
                    <wp:posOffset>0</wp:posOffset>
                  </wp:positionH>
                  <wp:positionV relativeFrom="paragraph">
                    <wp:posOffset>0</wp:posOffset>
                  </wp:positionV>
                  <wp:extent cx="304800" cy="305435"/>
                  <wp:effectExtent l="0" t="0" r="0" b="0"/>
                  <wp:wrapNone/>
                  <wp:docPr id="967" name="AutoShape_1860_SpCnt_427"/>
                  <wp:cNvGraphicFramePr/>
                  <a:graphic xmlns:a="http://schemas.openxmlformats.org/drawingml/2006/main">
                    <a:graphicData uri="http://schemas.openxmlformats.org/drawingml/2006/picture">
                      <pic:pic xmlns:pic="http://schemas.openxmlformats.org/drawingml/2006/picture">
                        <pic:nvPicPr>
                          <pic:cNvPr id="967" name="AutoShape_1860_SpCnt_427"/>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37440" behindDoc="0" locked="0" layoutInCell="1" allowOverlap="1">
                  <wp:simplePos x="0" y="0"/>
                  <wp:positionH relativeFrom="column">
                    <wp:posOffset>0</wp:posOffset>
                  </wp:positionH>
                  <wp:positionV relativeFrom="paragraph">
                    <wp:posOffset>0</wp:posOffset>
                  </wp:positionV>
                  <wp:extent cx="304800" cy="305435"/>
                  <wp:effectExtent l="0" t="0" r="0" b="0"/>
                  <wp:wrapNone/>
                  <wp:docPr id="935" name="AutoShape_1860_SpCnt_428"/>
                  <wp:cNvGraphicFramePr/>
                  <a:graphic xmlns:a="http://schemas.openxmlformats.org/drawingml/2006/main">
                    <a:graphicData uri="http://schemas.openxmlformats.org/drawingml/2006/picture">
                      <pic:pic xmlns:pic="http://schemas.openxmlformats.org/drawingml/2006/picture">
                        <pic:nvPicPr>
                          <pic:cNvPr id="935" name="AutoShape_1860_SpCnt_428"/>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38464" behindDoc="0" locked="0" layoutInCell="1" allowOverlap="1">
                  <wp:simplePos x="0" y="0"/>
                  <wp:positionH relativeFrom="column">
                    <wp:posOffset>0</wp:posOffset>
                  </wp:positionH>
                  <wp:positionV relativeFrom="paragraph">
                    <wp:posOffset>0</wp:posOffset>
                  </wp:positionV>
                  <wp:extent cx="304800" cy="305435"/>
                  <wp:effectExtent l="0" t="0" r="0" b="0"/>
                  <wp:wrapNone/>
                  <wp:docPr id="946" name="AutoShape_1860_SpCnt_429"/>
                  <wp:cNvGraphicFramePr/>
                  <a:graphic xmlns:a="http://schemas.openxmlformats.org/drawingml/2006/main">
                    <a:graphicData uri="http://schemas.openxmlformats.org/drawingml/2006/picture">
                      <pic:pic xmlns:pic="http://schemas.openxmlformats.org/drawingml/2006/picture">
                        <pic:nvPicPr>
                          <pic:cNvPr id="946" name="AutoShape_1860_SpCnt_429"/>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39488" behindDoc="0" locked="0" layoutInCell="1" allowOverlap="1">
                  <wp:simplePos x="0" y="0"/>
                  <wp:positionH relativeFrom="column">
                    <wp:posOffset>0</wp:posOffset>
                  </wp:positionH>
                  <wp:positionV relativeFrom="paragraph">
                    <wp:posOffset>0</wp:posOffset>
                  </wp:positionV>
                  <wp:extent cx="304800" cy="305435"/>
                  <wp:effectExtent l="0" t="0" r="0" b="0"/>
                  <wp:wrapNone/>
                  <wp:docPr id="968" name="AutoShape_1860_SpCnt_430"/>
                  <wp:cNvGraphicFramePr/>
                  <a:graphic xmlns:a="http://schemas.openxmlformats.org/drawingml/2006/main">
                    <a:graphicData uri="http://schemas.openxmlformats.org/drawingml/2006/picture">
                      <pic:pic xmlns:pic="http://schemas.openxmlformats.org/drawingml/2006/picture">
                        <pic:nvPicPr>
                          <pic:cNvPr id="968" name="AutoShape_1860_SpCnt_430"/>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40512" behindDoc="0" locked="0" layoutInCell="1" allowOverlap="1">
                  <wp:simplePos x="0" y="0"/>
                  <wp:positionH relativeFrom="column">
                    <wp:posOffset>0</wp:posOffset>
                  </wp:positionH>
                  <wp:positionV relativeFrom="paragraph">
                    <wp:posOffset>0</wp:posOffset>
                  </wp:positionV>
                  <wp:extent cx="304800" cy="305435"/>
                  <wp:effectExtent l="0" t="0" r="0" b="0"/>
                  <wp:wrapNone/>
                  <wp:docPr id="940" name="AutoShape_1860_SpCnt_431"/>
                  <wp:cNvGraphicFramePr/>
                  <a:graphic xmlns:a="http://schemas.openxmlformats.org/drawingml/2006/main">
                    <a:graphicData uri="http://schemas.openxmlformats.org/drawingml/2006/picture">
                      <pic:pic xmlns:pic="http://schemas.openxmlformats.org/drawingml/2006/picture">
                        <pic:nvPicPr>
                          <pic:cNvPr id="940" name="AutoShape_1860_SpCnt_431"/>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41536" behindDoc="0" locked="0" layoutInCell="1" allowOverlap="1">
                  <wp:simplePos x="0" y="0"/>
                  <wp:positionH relativeFrom="column">
                    <wp:posOffset>0</wp:posOffset>
                  </wp:positionH>
                  <wp:positionV relativeFrom="paragraph">
                    <wp:posOffset>0</wp:posOffset>
                  </wp:positionV>
                  <wp:extent cx="304800" cy="305435"/>
                  <wp:effectExtent l="0" t="0" r="0" b="0"/>
                  <wp:wrapNone/>
                  <wp:docPr id="941" name="AutoShape_1860_SpCnt_432"/>
                  <wp:cNvGraphicFramePr/>
                  <a:graphic xmlns:a="http://schemas.openxmlformats.org/drawingml/2006/main">
                    <a:graphicData uri="http://schemas.openxmlformats.org/drawingml/2006/picture">
                      <pic:pic xmlns:pic="http://schemas.openxmlformats.org/drawingml/2006/picture">
                        <pic:nvPicPr>
                          <pic:cNvPr id="941" name="AutoShape_1860_SpCnt_432"/>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42560" behindDoc="0" locked="0" layoutInCell="1" allowOverlap="1">
                  <wp:simplePos x="0" y="0"/>
                  <wp:positionH relativeFrom="column">
                    <wp:posOffset>0</wp:posOffset>
                  </wp:positionH>
                  <wp:positionV relativeFrom="paragraph">
                    <wp:posOffset>0</wp:posOffset>
                  </wp:positionV>
                  <wp:extent cx="304800" cy="305435"/>
                  <wp:effectExtent l="0" t="0" r="0" b="0"/>
                  <wp:wrapNone/>
                  <wp:docPr id="934" name="AutoShape_1860_SpCnt_433"/>
                  <wp:cNvGraphicFramePr/>
                  <a:graphic xmlns:a="http://schemas.openxmlformats.org/drawingml/2006/main">
                    <a:graphicData uri="http://schemas.openxmlformats.org/drawingml/2006/picture">
                      <pic:pic xmlns:pic="http://schemas.openxmlformats.org/drawingml/2006/picture">
                        <pic:nvPicPr>
                          <pic:cNvPr id="934" name="AutoShape_1860_SpCnt_433"/>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43584" behindDoc="0" locked="0" layoutInCell="1" allowOverlap="1">
                  <wp:simplePos x="0" y="0"/>
                  <wp:positionH relativeFrom="column">
                    <wp:posOffset>0</wp:posOffset>
                  </wp:positionH>
                  <wp:positionV relativeFrom="paragraph">
                    <wp:posOffset>0</wp:posOffset>
                  </wp:positionV>
                  <wp:extent cx="304800" cy="305435"/>
                  <wp:effectExtent l="0" t="0" r="0" b="0"/>
                  <wp:wrapNone/>
                  <wp:docPr id="943" name="AutoShape_1860_SpCnt_434"/>
                  <wp:cNvGraphicFramePr/>
                  <a:graphic xmlns:a="http://schemas.openxmlformats.org/drawingml/2006/main">
                    <a:graphicData uri="http://schemas.openxmlformats.org/drawingml/2006/picture">
                      <pic:pic xmlns:pic="http://schemas.openxmlformats.org/drawingml/2006/picture">
                        <pic:nvPicPr>
                          <pic:cNvPr id="943" name="AutoShape_1860_SpCnt_434"/>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44608" behindDoc="0" locked="0" layoutInCell="1" allowOverlap="1">
                  <wp:simplePos x="0" y="0"/>
                  <wp:positionH relativeFrom="column">
                    <wp:posOffset>0</wp:posOffset>
                  </wp:positionH>
                  <wp:positionV relativeFrom="paragraph">
                    <wp:posOffset>0</wp:posOffset>
                  </wp:positionV>
                  <wp:extent cx="304800" cy="305435"/>
                  <wp:effectExtent l="0" t="0" r="0" b="0"/>
                  <wp:wrapNone/>
                  <wp:docPr id="936" name="AutoShape_1860_SpCnt_435"/>
                  <wp:cNvGraphicFramePr/>
                  <a:graphic xmlns:a="http://schemas.openxmlformats.org/drawingml/2006/main">
                    <a:graphicData uri="http://schemas.openxmlformats.org/drawingml/2006/picture">
                      <pic:pic xmlns:pic="http://schemas.openxmlformats.org/drawingml/2006/picture">
                        <pic:nvPicPr>
                          <pic:cNvPr id="936" name="AutoShape_1860_SpCnt_435"/>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45632" behindDoc="0" locked="0" layoutInCell="1" allowOverlap="1">
                  <wp:simplePos x="0" y="0"/>
                  <wp:positionH relativeFrom="column">
                    <wp:posOffset>0</wp:posOffset>
                  </wp:positionH>
                  <wp:positionV relativeFrom="paragraph">
                    <wp:posOffset>0</wp:posOffset>
                  </wp:positionV>
                  <wp:extent cx="304800" cy="305435"/>
                  <wp:effectExtent l="0" t="0" r="0" b="0"/>
                  <wp:wrapNone/>
                  <wp:docPr id="951" name="AutoShape_1860_SpCnt_436"/>
                  <wp:cNvGraphicFramePr/>
                  <a:graphic xmlns:a="http://schemas.openxmlformats.org/drawingml/2006/main">
                    <a:graphicData uri="http://schemas.openxmlformats.org/drawingml/2006/picture">
                      <pic:pic xmlns:pic="http://schemas.openxmlformats.org/drawingml/2006/picture">
                        <pic:nvPicPr>
                          <pic:cNvPr id="951" name="AutoShape_1860_SpCnt_436"/>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46656" behindDoc="0" locked="0" layoutInCell="1" allowOverlap="1">
                  <wp:simplePos x="0" y="0"/>
                  <wp:positionH relativeFrom="column">
                    <wp:posOffset>0</wp:posOffset>
                  </wp:positionH>
                  <wp:positionV relativeFrom="paragraph">
                    <wp:posOffset>0</wp:posOffset>
                  </wp:positionV>
                  <wp:extent cx="304800" cy="305435"/>
                  <wp:effectExtent l="0" t="0" r="0" b="0"/>
                  <wp:wrapNone/>
                  <wp:docPr id="950" name="AutoShape_1860_SpCnt_437"/>
                  <wp:cNvGraphicFramePr/>
                  <a:graphic xmlns:a="http://schemas.openxmlformats.org/drawingml/2006/main">
                    <a:graphicData uri="http://schemas.openxmlformats.org/drawingml/2006/picture">
                      <pic:pic xmlns:pic="http://schemas.openxmlformats.org/drawingml/2006/picture">
                        <pic:nvPicPr>
                          <pic:cNvPr id="950" name="AutoShape_1860_SpCnt_437"/>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47680" behindDoc="0" locked="0" layoutInCell="1" allowOverlap="1">
                  <wp:simplePos x="0" y="0"/>
                  <wp:positionH relativeFrom="column">
                    <wp:posOffset>0</wp:posOffset>
                  </wp:positionH>
                  <wp:positionV relativeFrom="paragraph">
                    <wp:posOffset>0</wp:posOffset>
                  </wp:positionV>
                  <wp:extent cx="304800" cy="299720"/>
                  <wp:effectExtent l="0" t="0" r="0" b="0"/>
                  <wp:wrapNone/>
                  <wp:docPr id="949" name="AutoShape_1860_SpCnt_438"/>
                  <wp:cNvGraphicFramePr/>
                  <a:graphic xmlns:a="http://schemas.openxmlformats.org/drawingml/2006/main">
                    <a:graphicData uri="http://schemas.openxmlformats.org/drawingml/2006/picture">
                      <pic:pic xmlns:pic="http://schemas.openxmlformats.org/drawingml/2006/picture">
                        <pic:nvPicPr>
                          <pic:cNvPr id="949" name="AutoShape_1860_SpCnt_438"/>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48704" behindDoc="0" locked="0" layoutInCell="1" allowOverlap="1">
                  <wp:simplePos x="0" y="0"/>
                  <wp:positionH relativeFrom="column">
                    <wp:posOffset>0</wp:posOffset>
                  </wp:positionH>
                  <wp:positionV relativeFrom="paragraph">
                    <wp:posOffset>0</wp:posOffset>
                  </wp:positionV>
                  <wp:extent cx="304800" cy="299720"/>
                  <wp:effectExtent l="0" t="0" r="0" b="0"/>
                  <wp:wrapNone/>
                  <wp:docPr id="1033" name="AutoShape_1860_SpCnt_439"/>
                  <wp:cNvGraphicFramePr/>
                  <a:graphic xmlns:a="http://schemas.openxmlformats.org/drawingml/2006/main">
                    <a:graphicData uri="http://schemas.openxmlformats.org/drawingml/2006/picture">
                      <pic:pic xmlns:pic="http://schemas.openxmlformats.org/drawingml/2006/picture">
                        <pic:nvPicPr>
                          <pic:cNvPr id="1033" name="AutoShape_1860_SpCnt_439"/>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49728" behindDoc="0" locked="0" layoutInCell="1" allowOverlap="1">
                  <wp:simplePos x="0" y="0"/>
                  <wp:positionH relativeFrom="column">
                    <wp:posOffset>0</wp:posOffset>
                  </wp:positionH>
                  <wp:positionV relativeFrom="paragraph">
                    <wp:posOffset>0</wp:posOffset>
                  </wp:positionV>
                  <wp:extent cx="304800" cy="299720"/>
                  <wp:effectExtent l="0" t="0" r="0" b="0"/>
                  <wp:wrapNone/>
                  <wp:docPr id="955" name="AutoShape_1860_SpCnt_440"/>
                  <wp:cNvGraphicFramePr/>
                  <a:graphic xmlns:a="http://schemas.openxmlformats.org/drawingml/2006/main">
                    <a:graphicData uri="http://schemas.openxmlformats.org/drawingml/2006/picture">
                      <pic:pic xmlns:pic="http://schemas.openxmlformats.org/drawingml/2006/picture">
                        <pic:nvPicPr>
                          <pic:cNvPr id="955" name="AutoShape_1860_SpCnt_440"/>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50752" behindDoc="0" locked="0" layoutInCell="1" allowOverlap="1">
                  <wp:simplePos x="0" y="0"/>
                  <wp:positionH relativeFrom="column">
                    <wp:posOffset>0</wp:posOffset>
                  </wp:positionH>
                  <wp:positionV relativeFrom="paragraph">
                    <wp:posOffset>0</wp:posOffset>
                  </wp:positionV>
                  <wp:extent cx="304800" cy="305435"/>
                  <wp:effectExtent l="0" t="0" r="0" b="0"/>
                  <wp:wrapNone/>
                  <wp:docPr id="992" name="AutoShape_1860_SpCnt_441"/>
                  <wp:cNvGraphicFramePr/>
                  <a:graphic xmlns:a="http://schemas.openxmlformats.org/drawingml/2006/main">
                    <a:graphicData uri="http://schemas.openxmlformats.org/drawingml/2006/picture">
                      <pic:pic xmlns:pic="http://schemas.openxmlformats.org/drawingml/2006/picture">
                        <pic:nvPicPr>
                          <pic:cNvPr id="992" name="AutoShape_1860_SpCnt_441"/>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51776"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35" name="AutoShape_1860_SpCnt_442"/>
                  <wp:cNvGraphicFramePr/>
                  <a:graphic xmlns:a="http://schemas.openxmlformats.org/drawingml/2006/main">
                    <a:graphicData uri="http://schemas.openxmlformats.org/drawingml/2006/picture">
                      <pic:pic xmlns:pic="http://schemas.openxmlformats.org/drawingml/2006/picture">
                        <pic:nvPicPr>
                          <pic:cNvPr id="1035" name="AutoShape_1860_SpCnt_442"/>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52800" behindDoc="0" locked="0" layoutInCell="1" allowOverlap="1">
                  <wp:simplePos x="0" y="0"/>
                  <wp:positionH relativeFrom="column">
                    <wp:posOffset>0</wp:posOffset>
                  </wp:positionH>
                  <wp:positionV relativeFrom="paragraph">
                    <wp:posOffset>0</wp:posOffset>
                  </wp:positionV>
                  <wp:extent cx="304800" cy="305435"/>
                  <wp:effectExtent l="0" t="0" r="0" b="0"/>
                  <wp:wrapNone/>
                  <wp:docPr id="942" name="AutoShape_1860_SpCnt_443"/>
                  <wp:cNvGraphicFramePr/>
                  <a:graphic xmlns:a="http://schemas.openxmlformats.org/drawingml/2006/main">
                    <a:graphicData uri="http://schemas.openxmlformats.org/drawingml/2006/picture">
                      <pic:pic xmlns:pic="http://schemas.openxmlformats.org/drawingml/2006/picture">
                        <pic:nvPicPr>
                          <pic:cNvPr id="942" name="AutoShape_1860_SpCnt_443"/>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53824"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34" name="AutoShape_1860_SpCnt_444"/>
                  <wp:cNvGraphicFramePr/>
                  <a:graphic xmlns:a="http://schemas.openxmlformats.org/drawingml/2006/main">
                    <a:graphicData uri="http://schemas.openxmlformats.org/drawingml/2006/picture">
                      <pic:pic xmlns:pic="http://schemas.openxmlformats.org/drawingml/2006/picture">
                        <pic:nvPicPr>
                          <pic:cNvPr id="1034" name="AutoShape_1860_SpCnt_444"/>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54848" behindDoc="0" locked="0" layoutInCell="1" allowOverlap="1">
                  <wp:simplePos x="0" y="0"/>
                  <wp:positionH relativeFrom="column">
                    <wp:posOffset>0</wp:posOffset>
                  </wp:positionH>
                  <wp:positionV relativeFrom="paragraph">
                    <wp:posOffset>0</wp:posOffset>
                  </wp:positionV>
                  <wp:extent cx="304800" cy="299720"/>
                  <wp:effectExtent l="0" t="0" r="0" b="0"/>
                  <wp:wrapNone/>
                  <wp:docPr id="954" name="AutoShape_1860_SpCnt_445"/>
                  <wp:cNvGraphicFramePr/>
                  <a:graphic xmlns:a="http://schemas.openxmlformats.org/drawingml/2006/main">
                    <a:graphicData uri="http://schemas.openxmlformats.org/drawingml/2006/picture">
                      <pic:pic xmlns:pic="http://schemas.openxmlformats.org/drawingml/2006/picture">
                        <pic:nvPicPr>
                          <pic:cNvPr id="954" name="AutoShape_1860_SpCnt_445"/>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55872" behindDoc="0" locked="0" layoutInCell="1" allowOverlap="1">
                  <wp:simplePos x="0" y="0"/>
                  <wp:positionH relativeFrom="column">
                    <wp:posOffset>0</wp:posOffset>
                  </wp:positionH>
                  <wp:positionV relativeFrom="paragraph">
                    <wp:posOffset>0</wp:posOffset>
                  </wp:positionV>
                  <wp:extent cx="304800" cy="305435"/>
                  <wp:effectExtent l="0" t="0" r="0" b="0"/>
                  <wp:wrapNone/>
                  <wp:docPr id="966" name="AutoShape_1860_SpCnt_446"/>
                  <wp:cNvGraphicFramePr/>
                  <a:graphic xmlns:a="http://schemas.openxmlformats.org/drawingml/2006/main">
                    <a:graphicData uri="http://schemas.openxmlformats.org/drawingml/2006/picture">
                      <pic:pic xmlns:pic="http://schemas.openxmlformats.org/drawingml/2006/picture">
                        <pic:nvPicPr>
                          <pic:cNvPr id="966" name="AutoShape_1860_SpCnt_446"/>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56896" behindDoc="0" locked="0" layoutInCell="1" allowOverlap="1">
                  <wp:simplePos x="0" y="0"/>
                  <wp:positionH relativeFrom="column">
                    <wp:posOffset>0</wp:posOffset>
                  </wp:positionH>
                  <wp:positionV relativeFrom="paragraph">
                    <wp:posOffset>0</wp:posOffset>
                  </wp:positionV>
                  <wp:extent cx="304800" cy="299720"/>
                  <wp:effectExtent l="0" t="0" r="0" b="0"/>
                  <wp:wrapNone/>
                  <wp:docPr id="957" name="AutoShape_1860_SpCnt_447"/>
                  <wp:cNvGraphicFramePr/>
                  <a:graphic xmlns:a="http://schemas.openxmlformats.org/drawingml/2006/main">
                    <a:graphicData uri="http://schemas.openxmlformats.org/drawingml/2006/picture">
                      <pic:pic xmlns:pic="http://schemas.openxmlformats.org/drawingml/2006/picture">
                        <pic:nvPicPr>
                          <pic:cNvPr id="957" name="AutoShape_1860_SpCnt_447"/>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57920" behindDoc="0" locked="0" layoutInCell="1" allowOverlap="1">
                  <wp:simplePos x="0" y="0"/>
                  <wp:positionH relativeFrom="column">
                    <wp:posOffset>0</wp:posOffset>
                  </wp:positionH>
                  <wp:positionV relativeFrom="paragraph">
                    <wp:posOffset>0</wp:posOffset>
                  </wp:positionV>
                  <wp:extent cx="304800" cy="299720"/>
                  <wp:effectExtent l="0" t="0" r="0" b="0"/>
                  <wp:wrapNone/>
                  <wp:docPr id="965" name="AutoShape_1860_SpCnt_448"/>
                  <wp:cNvGraphicFramePr/>
                  <a:graphic xmlns:a="http://schemas.openxmlformats.org/drawingml/2006/main">
                    <a:graphicData uri="http://schemas.openxmlformats.org/drawingml/2006/picture">
                      <pic:pic xmlns:pic="http://schemas.openxmlformats.org/drawingml/2006/picture">
                        <pic:nvPicPr>
                          <pic:cNvPr id="965" name="AutoShape_1860_SpCnt_448"/>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58944" behindDoc="0" locked="0" layoutInCell="1" allowOverlap="1">
                  <wp:simplePos x="0" y="0"/>
                  <wp:positionH relativeFrom="column">
                    <wp:posOffset>0</wp:posOffset>
                  </wp:positionH>
                  <wp:positionV relativeFrom="paragraph">
                    <wp:posOffset>0</wp:posOffset>
                  </wp:positionV>
                  <wp:extent cx="304800" cy="299720"/>
                  <wp:effectExtent l="0" t="0" r="0" b="0"/>
                  <wp:wrapNone/>
                  <wp:docPr id="1027" name="AutoShape_1860_SpCnt_449"/>
                  <wp:cNvGraphicFramePr/>
                  <a:graphic xmlns:a="http://schemas.openxmlformats.org/drawingml/2006/main">
                    <a:graphicData uri="http://schemas.openxmlformats.org/drawingml/2006/picture">
                      <pic:pic xmlns:pic="http://schemas.openxmlformats.org/drawingml/2006/picture">
                        <pic:nvPicPr>
                          <pic:cNvPr id="1027" name="AutoShape_1860_SpCnt_449"/>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59968"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28" name="AutoShape_1860_SpCnt_450"/>
                  <wp:cNvGraphicFramePr/>
                  <a:graphic xmlns:a="http://schemas.openxmlformats.org/drawingml/2006/main">
                    <a:graphicData uri="http://schemas.openxmlformats.org/drawingml/2006/picture">
                      <pic:pic xmlns:pic="http://schemas.openxmlformats.org/drawingml/2006/picture">
                        <pic:nvPicPr>
                          <pic:cNvPr id="1028" name="AutoShape_1860_SpCnt_450"/>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60992" behindDoc="0" locked="0" layoutInCell="1" allowOverlap="1">
                  <wp:simplePos x="0" y="0"/>
                  <wp:positionH relativeFrom="column">
                    <wp:posOffset>0</wp:posOffset>
                  </wp:positionH>
                  <wp:positionV relativeFrom="paragraph">
                    <wp:posOffset>0</wp:posOffset>
                  </wp:positionV>
                  <wp:extent cx="304800" cy="305435"/>
                  <wp:effectExtent l="0" t="0" r="0" b="0"/>
                  <wp:wrapNone/>
                  <wp:docPr id="969" name="AutoShape_1860_SpCnt_451"/>
                  <wp:cNvGraphicFramePr/>
                  <a:graphic xmlns:a="http://schemas.openxmlformats.org/drawingml/2006/main">
                    <a:graphicData uri="http://schemas.openxmlformats.org/drawingml/2006/picture">
                      <pic:pic xmlns:pic="http://schemas.openxmlformats.org/drawingml/2006/picture">
                        <pic:nvPicPr>
                          <pic:cNvPr id="969" name="AutoShape_1860_SpCnt_451"/>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62016"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30" name="AutoShape_1860_SpCnt_452"/>
                  <wp:cNvGraphicFramePr/>
                  <a:graphic xmlns:a="http://schemas.openxmlformats.org/drawingml/2006/main">
                    <a:graphicData uri="http://schemas.openxmlformats.org/drawingml/2006/picture">
                      <pic:pic xmlns:pic="http://schemas.openxmlformats.org/drawingml/2006/picture">
                        <pic:nvPicPr>
                          <pic:cNvPr id="1030" name="AutoShape_1860_SpCnt_452"/>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63040" behindDoc="0" locked="0" layoutInCell="1" allowOverlap="1">
                  <wp:simplePos x="0" y="0"/>
                  <wp:positionH relativeFrom="column">
                    <wp:posOffset>0</wp:posOffset>
                  </wp:positionH>
                  <wp:positionV relativeFrom="paragraph">
                    <wp:posOffset>0</wp:posOffset>
                  </wp:positionV>
                  <wp:extent cx="304800" cy="299720"/>
                  <wp:effectExtent l="0" t="0" r="0" b="0"/>
                  <wp:wrapNone/>
                  <wp:docPr id="933" name="AutoShape_1860_SpCnt_453"/>
                  <wp:cNvGraphicFramePr/>
                  <a:graphic xmlns:a="http://schemas.openxmlformats.org/drawingml/2006/main">
                    <a:graphicData uri="http://schemas.openxmlformats.org/drawingml/2006/picture">
                      <pic:pic xmlns:pic="http://schemas.openxmlformats.org/drawingml/2006/picture">
                        <pic:nvPicPr>
                          <pic:cNvPr id="933" name="AutoShape_1860_SpCnt_453"/>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64064" behindDoc="0" locked="0" layoutInCell="1" allowOverlap="1">
                  <wp:simplePos x="0" y="0"/>
                  <wp:positionH relativeFrom="column">
                    <wp:posOffset>0</wp:posOffset>
                  </wp:positionH>
                  <wp:positionV relativeFrom="paragraph">
                    <wp:posOffset>0</wp:posOffset>
                  </wp:positionV>
                  <wp:extent cx="304800" cy="299720"/>
                  <wp:effectExtent l="0" t="0" r="0" b="0"/>
                  <wp:wrapNone/>
                  <wp:docPr id="997" name="AutoShape_1860_SpCnt_454"/>
                  <wp:cNvGraphicFramePr/>
                  <a:graphic xmlns:a="http://schemas.openxmlformats.org/drawingml/2006/main">
                    <a:graphicData uri="http://schemas.openxmlformats.org/drawingml/2006/picture">
                      <pic:pic xmlns:pic="http://schemas.openxmlformats.org/drawingml/2006/picture">
                        <pic:nvPicPr>
                          <pic:cNvPr id="997" name="AutoShape_1860_SpCnt_454"/>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65088" behindDoc="0" locked="0" layoutInCell="1" allowOverlap="1">
                  <wp:simplePos x="0" y="0"/>
                  <wp:positionH relativeFrom="column">
                    <wp:posOffset>0</wp:posOffset>
                  </wp:positionH>
                  <wp:positionV relativeFrom="paragraph">
                    <wp:posOffset>0</wp:posOffset>
                  </wp:positionV>
                  <wp:extent cx="304800" cy="305435"/>
                  <wp:effectExtent l="0" t="0" r="0" b="0"/>
                  <wp:wrapNone/>
                  <wp:docPr id="999" name="AutoShape_1860_SpCnt_455"/>
                  <wp:cNvGraphicFramePr/>
                  <a:graphic xmlns:a="http://schemas.openxmlformats.org/drawingml/2006/main">
                    <a:graphicData uri="http://schemas.openxmlformats.org/drawingml/2006/picture">
                      <pic:pic xmlns:pic="http://schemas.openxmlformats.org/drawingml/2006/picture">
                        <pic:nvPicPr>
                          <pic:cNvPr id="999" name="AutoShape_1860_SpCnt_455"/>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66112" behindDoc="0" locked="0" layoutInCell="1" allowOverlap="1">
                  <wp:simplePos x="0" y="0"/>
                  <wp:positionH relativeFrom="column">
                    <wp:posOffset>0</wp:posOffset>
                  </wp:positionH>
                  <wp:positionV relativeFrom="paragraph">
                    <wp:posOffset>0</wp:posOffset>
                  </wp:positionV>
                  <wp:extent cx="304800" cy="305435"/>
                  <wp:effectExtent l="0" t="0" r="0" b="0"/>
                  <wp:wrapNone/>
                  <wp:docPr id="995" name="AutoShape_1860_SpCnt_456"/>
                  <wp:cNvGraphicFramePr/>
                  <a:graphic xmlns:a="http://schemas.openxmlformats.org/drawingml/2006/main">
                    <a:graphicData uri="http://schemas.openxmlformats.org/drawingml/2006/picture">
                      <pic:pic xmlns:pic="http://schemas.openxmlformats.org/drawingml/2006/picture">
                        <pic:nvPicPr>
                          <pic:cNvPr id="995" name="AutoShape_1860_SpCnt_456"/>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67136" behindDoc="0" locked="0" layoutInCell="1" allowOverlap="1">
                  <wp:simplePos x="0" y="0"/>
                  <wp:positionH relativeFrom="column">
                    <wp:posOffset>0</wp:posOffset>
                  </wp:positionH>
                  <wp:positionV relativeFrom="paragraph">
                    <wp:posOffset>0</wp:posOffset>
                  </wp:positionV>
                  <wp:extent cx="304800" cy="305435"/>
                  <wp:effectExtent l="0" t="0" r="0" b="0"/>
                  <wp:wrapNone/>
                  <wp:docPr id="931" name="AutoShape_1860_SpCnt_457"/>
                  <wp:cNvGraphicFramePr/>
                  <a:graphic xmlns:a="http://schemas.openxmlformats.org/drawingml/2006/main">
                    <a:graphicData uri="http://schemas.openxmlformats.org/drawingml/2006/picture">
                      <pic:pic xmlns:pic="http://schemas.openxmlformats.org/drawingml/2006/picture">
                        <pic:nvPicPr>
                          <pic:cNvPr id="931" name="AutoShape_1860_SpCnt_457"/>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68160" behindDoc="0" locked="0" layoutInCell="1" allowOverlap="1">
                  <wp:simplePos x="0" y="0"/>
                  <wp:positionH relativeFrom="column">
                    <wp:posOffset>0</wp:posOffset>
                  </wp:positionH>
                  <wp:positionV relativeFrom="paragraph">
                    <wp:posOffset>0</wp:posOffset>
                  </wp:positionV>
                  <wp:extent cx="304800" cy="305435"/>
                  <wp:effectExtent l="0" t="0" r="0" b="0"/>
                  <wp:wrapNone/>
                  <wp:docPr id="998" name="AutoShape_1860_SpCnt_458"/>
                  <wp:cNvGraphicFramePr/>
                  <a:graphic xmlns:a="http://schemas.openxmlformats.org/drawingml/2006/main">
                    <a:graphicData uri="http://schemas.openxmlformats.org/drawingml/2006/picture">
                      <pic:pic xmlns:pic="http://schemas.openxmlformats.org/drawingml/2006/picture">
                        <pic:nvPicPr>
                          <pic:cNvPr id="998" name="AutoShape_1860_SpCnt_458"/>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69184" behindDoc="0" locked="0" layoutInCell="1" allowOverlap="1">
                  <wp:simplePos x="0" y="0"/>
                  <wp:positionH relativeFrom="column">
                    <wp:posOffset>0</wp:posOffset>
                  </wp:positionH>
                  <wp:positionV relativeFrom="paragraph">
                    <wp:posOffset>0</wp:posOffset>
                  </wp:positionV>
                  <wp:extent cx="304800" cy="305435"/>
                  <wp:effectExtent l="0" t="0" r="0" b="0"/>
                  <wp:wrapNone/>
                  <wp:docPr id="927" name="AutoShape_1860_SpCnt_459"/>
                  <wp:cNvGraphicFramePr/>
                  <a:graphic xmlns:a="http://schemas.openxmlformats.org/drawingml/2006/main">
                    <a:graphicData uri="http://schemas.openxmlformats.org/drawingml/2006/picture">
                      <pic:pic xmlns:pic="http://schemas.openxmlformats.org/drawingml/2006/picture">
                        <pic:nvPicPr>
                          <pic:cNvPr id="927" name="AutoShape_1860_SpCnt_459"/>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70208" behindDoc="0" locked="0" layoutInCell="1" allowOverlap="1">
                  <wp:simplePos x="0" y="0"/>
                  <wp:positionH relativeFrom="column">
                    <wp:posOffset>0</wp:posOffset>
                  </wp:positionH>
                  <wp:positionV relativeFrom="paragraph">
                    <wp:posOffset>0</wp:posOffset>
                  </wp:positionV>
                  <wp:extent cx="304800" cy="299720"/>
                  <wp:effectExtent l="0" t="0" r="0" b="0"/>
                  <wp:wrapNone/>
                  <wp:docPr id="996" name="AutoShape_1860_SpCnt_460"/>
                  <wp:cNvGraphicFramePr/>
                  <a:graphic xmlns:a="http://schemas.openxmlformats.org/drawingml/2006/main">
                    <a:graphicData uri="http://schemas.openxmlformats.org/drawingml/2006/picture">
                      <pic:pic xmlns:pic="http://schemas.openxmlformats.org/drawingml/2006/picture">
                        <pic:nvPicPr>
                          <pic:cNvPr id="996" name="AutoShape_1860_SpCnt_460"/>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71232" behindDoc="0" locked="0" layoutInCell="1" allowOverlap="1">
                  <wp:simplePos x="0" y="0"/>
                  <wp:positionH relativeFrom="column">
                    <wp:posOffset>0</wp:posOffset>
                  </wp:positionH>
                  <wp:positionV relativeFrom="paragraph">
                    <wp:posOffset>0</wp:posOffset>
                  </wp:positionV>
                  <wp:extent cx="304800" cy="305435"/>
                  <wp:effectExtent l="0" t="0" r="0" b="0"/>
                  <wp:wrapNone/>
                  <wp:docPr id="929" name="AutoShape_1860_SpCnt_461"/>
                  <wp:cNvGraphicFramePr/>
                  <a:graphic xmlns:a="http://schemas.openxmlformats.org/drawingml/2006/main">
                    <a:graphicData uri="http://schemas.openxmlformats.org/drawingml/2006/picture">
                      <pic:pic xmlns:pic="http://schemas.openxmlformats.org/drawingml/2006/picture">
                        <pic:nvPicPr>
                          <pic:cNvPr id="929" name="AutoShape_1860_SpCnt_461"/>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72256" behindDoc="0" locked="0" layoutInCell="1" allowOverlap="1">
                  <wp:simplePos x="0" y="0"/>
                  <wp:positionH relativeFrom="column">
                    <wp:posOffset>0</wp:posOffset>
                  </wp:positionH>
                  <wp:positionV relativeFrom="paragraph">
                    <wp:posOffset>0</wp:posOffset>
                  </wp:positionV>
                  <wp:extent cx="304800" cy="305435"/>
                  <wp:effectExtent l="0" t="0" r="0" b="0"/>
                  <wp:wrapNone/>
                  <wp:docPr id="971" name="AutoShape_1860_SpCnt_462"/>
                  <wp:cNvGraphicFramePr/>
                  <a:graphic xmlns:a="http://schemas.openxmlformats.org/drawingml/2006/main">
                    <a:graphicData uri="http://schemas.openxmlformats.org/drawingml/2006/picture">
                      <pic:pic xmlns:pic="http://schemas.openxmlformats.org/drawingml/2006/picture">
                        <pic:nvPicPr>
                          <pic:cNvPr id="971" name="AutoShape_1860_SpCnt_462"/>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73280" behindDoc="0" locked="0" layoutInCell="1" allowOverlap="1">
                  <wp:simplePos x="0" y="0"/>
                  <wp:positionH relativeFrom="column">
                    <wp:posOffset>0</wp:posOffset>
                  </wp:positionH>
                  <wp:positionV relativeFrom="paragraph">
                    <wp:posOffset>0</wp:posOffset>
                  </wp:positionV>
                  <wp:extent cx="304800" cy="299720"/>
                  <wp:effectExtent l="0" t="0" r="0" b="0"/>
                  <wp:wrapNone/>
                  <wp:docPr id="984" name="AutoShape_1860_SpCnt_463"/>
                  <wp:cNvGraphicFramePr/>
                  <a:graphic xmlns:a="http://schemas.openxmlformats.org/drawingml/2006/main">
                    <a:graphicData uri="http://schemas.openxmlformats.org/drawingml/2006/picture">
                      <pic:pic xmlns:pic="http://schemas.openxmlformats.org/drawingml/2006/picture">
                        <pic:nvPicPr>
                          <pic:cNvPr id="984" name="AutoShape_1860_SpCnt_463"/>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74304" behindDoc="0" locked="0" layoutInCell="1" allowOverlap="1">
                  <wp:simplePos x="0" y="0"/>
                  <wp:positionH relativeFrom="column">
                    <wp:posOffset>0</wp:posOffset>
                  </wp:positionH>
                  <wp:positionV relativeFrom="paragraph">
                    <wp:posOffset>0</wp:posOffset>
                  </wp:positionV>
                  <wp:extent cx="304800" cy="299720"/>
                  <wp:effectExtent l="0" t="0" r="0" b="0"/>
                  <wp:wrapNone/>
                  <wp:docPr id="1074" name="AutoShape_1860_SpCnt_464"/>
                  <wp:cNvGraphicFramePr/>
                  <a:graphic xmlns:a="http://schemas.openxmlformats.org/drawingml/2006/main">
                    <a:graphicData uri="http://schemas.openxmlformats.org/drawingml/2006/picture">
                      <pic:pic xmlns:pic="http://schemas.openxmlformats.org/drawingml/2006/picture">
                        <pic:nvPicPr>
                          <pic:cNvPr id="1074" name="AutoShape_1860_SpCnt_464"/>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75328" behindDoc="0" locked="0" layoutInCell="1" allowOverlap="1">
                  <wp:simplePos x="0" y="0"/>
                  <wp:positionH relativeFrom="column">
                    <wp:posOffset>0</wp:posOffset>
                  </wp:positionH>
                  <wp:positionV relativeFrom="paragraph">
                    <wp:posOffset>0</wp:posOffset>
                  </wp:positionV>
                  <wp:extent cx="304800" cy="305435"/>
                  <wp:effectExtent l="0" t="0" r="0" b="0"/>
                  <wp:wrapNone/>
                  <wp:docPr id="973" name="AutoShape_1860_SpCnt_465"/>
                  <wp:cNvGraphicFramePr/>
                  <a:graphic xmlns:a="http://schemas.openxmlformats.org/drawingml/2006/main">
                    <a:graphicData uri="http://schemas.openxmlformats.org/drawingml/2006/picture">
                      <pic:pic xmlns:pic="http://schemas.openxmlformats.org/drawingml/2006/picture">
                        <pic:nvPicPr>
                          <pic:cNvPr id="973" name="AutoShape_1860_SpCnt_465"/>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76352" behindDoc="0" locked="0" layoutInCell="1" allowOverlap="1">
                  <wp:simplePos x="0" y="0"/>
                  <wp:positionH relativeFrom="column">
                    <wp:posOffset>0</wp:posOffset>
                  </wp:positionH>
                  <wp:positionV relativeFrom="paragraph">
                    <wp:posOffset>0</wp:posOffset>
                  </wp:positionV>
                  <wp:extent cx="304800" cy="299720"/>
                  <wp:effectExtent l="0" t="0" r="0" b="0"/>
                  <wp:wrapNone/>
                  <wp:docPr id="961" name="AutoShape_1860_SpCnt_466"/>
                  <wp:cNvGraphicFramePr/>
                  <a:graphic xmlns:a="http://schemas.openxmlformats.org/drawingml/2006/main">
                    <a:graphicData uri="http://schemas.openxmlformats.org/drawingml/2006/picture">
                      <pic:pic xmlns:pic="http://schemas.openxmlformats.org/drawingml/2006/picture">
                        <pic:nvPicPr>
                          <pic:cNvPr id="961" name="AutoShape_1860_SpCnt_466"/>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77376" behindDoc="0" locked="0" layoutInCell="1" allowOverlap="1">
                  <wp:simplePos x="0" y="0"/>
                  <wp:positionH relativeFrom="column">
                    <wp:posOffset>0</wp:posOffset>
                  </wp:positionH>
                  <wp:positionV relativeFrom="paragraph">
                    <wp:posOffset>0</wp:posOffset>
                  </wp:positionV>
                  <wp:extent cx="304800" cy="305435"/>
                  <wp:effectExtent l="0" t="0" r="0" b="0"/>
                  <wp:wrapNone/>
                  <wp:docPr id="928" name="AutoShape_1860_SpCnt_467"/>
                  <wp:cNvGraphicFramePr/>
                  <a:graphic xmlns:a="http://schemas.openxmlformats.org/drawingml/2006/main">
                    <a:graphicData uri="http://schemas.openxmlformats.org/drawingml/2006/picture">
                      <pic:pic xmlns:pic="http://schemas.openxmlformats.org/drawingml/2006/picture">
                        <pic:nvPicPr>
                          <pic:cNvPr id="928" name="AutoShape_1860_SpCnt_467"/>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78400" behindDoc="0" locked="0" layoutInCell="1" allowOverlap="1">
                  <wp:simplePos x="0" y="0"/>
                  <wp:positionH relativeFrom="column">
                    <wp:posOffset>0</wp:posOffset>
                  </wp:positionH>
                  <wp:positionV relativeFrom="paragraph">
                    <wp:posOffset>0</wp:posOffset>
                  </wp:positionV>
                  <wp:extent cx="304800" cy="305435"/>
                  <wp:effectExtent l="0" t="0" r="0" b="0"/>
                  <wp:wrapNone/>
                  <wp:docPr id="964" name="AutoShape_1860_SpCnt_468"/>
                  <wp:cNvGraphicFramePr/>
                  <a:graphic xmlns:a="http://schemas.openxmlformats.org/drawingml/2006/main">
                    <a:graphicData uri="http://schemas.openxmlformats.org/drawingml/2006/picture">
                      <pic:pic xmlns:pic="http://schemas.openxmlformats.org/drawingml/2006/picture">
                        <pic:nvPicPr>
                          <pic:cNvPr id="964" name="AutoShape_1860_SpCnt_468"/>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79424" behindDoc="0" locked="0" layoutInCell="1" allowOverlap="1">
                  <wp:simplePos x="0" y="0"/>
                  <wp:positionH relativeFrom="column">
                    <wp:posOffset>0</wp:posOffset>
                  </wp:positionH>
                  <wp:positionV relativeFrom="paragraph">
                    <wp:posOffset>0</wp:posOffset>
                  </wp:positionV>
                  <wp:extent cx="304800" cy="305435"/>
                  <wp:effectExtent l="0" t="0" r="0" b="0"/>
                  <wp:wrapNone/>
                  <wp:docPr id="947" name="AutoShape_1860_SpCnt_469"/>
                  <wp:cNvGraphicFramePr/>
                  <a:graphic xmlns:a="http://schemas.openxmlformats.org/drawingml/2006/main">
                    <a:graphicData uri="http://schemas.openxmlformats.org/drawingml/2006/picture">
                      <pic:pic xmlns:pic="http://schemas.openxmlformats.org/drawingml/2006/picture">
                        <pic:nvPicPr>
                          <pic:cNvPr id="947" name="AutoShape_1860_SpCnt_469"/>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80448" behindDoc="0" locked="0" layoutInCell="1" allowOverlap="1">
                  <wp:simplePos x="0" y="0"/>
                  <wp:positionH relativeFrom="column">
                    <wp:posOffset>0</wp:posOffset>
                  </wp:positionH>
                  <wp:positionV relativeFrom="paragraph">
                    <wp:posOffset>0</wp:posOffset>
                  </wp:positionV>
                  <wp:extent cx="304800" cy="299720"/>
                  <wp:effectExtent l="0" t="0" r="0" b="0"/>
                  <wp:wrapNone/>
                  <wp:docPr id="945" name="AutoShape_1860_SpCnt_470"/>
                  <wp:cNvGraphicFramePr/>
                  <a:graphic xmlns:a="http://schemas.openxmlformats.org/drawingml/2006/main">
                    <a:graphicData uri="http://schemas.openxmlformats.org/drawingml/2006/picture">
                      <pic:pic xmlns:pic="http://schemas.openxmlformats.org/drawingml/2006/picture">
                        <pic:nvPicPr>
                          <pic:cNvPr id="945" name="AutoShape_1860_SpCnt_470"/>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81472" behindDoc="0" locked="0" layoutInCell="1" allowOverlap="1">
                  <wp:simplePos x="0" y="0"/>
                  <wp:positionH relativeFrom="column">
                    <wp:posOffset>0</wp:posOffset>
                  </wp:positionH>
                  <wp:positionV relativeFrom="paragraph">
                    <wp:posOffset>0</wp:posOffset>
                  </wp:positionV>
                  <wp:extent cx="304800" cy="305435"/>
                  <wp:effectExtent l="0" t="0" r="0" b="0"/>
                  <wp:wrapNone/>
                  <wp:docPr id="944" name="AutoShape_1860_SpCnt_471"/>
                  <wp:cNvGraphicFramePr/>
                  <a:graphic xmlns:a="http://schemas.openxmlformats.org/drawingml/2006/main">
                    <a:graphicData uri="http://schemas.openxmlformats.org/drawingml/2006/picture">
                      <pic:pic xmlns:pic="http://schemas.openxmlformats.org/drawingml/2006/picture">
                        <pic:nvPicPr>
                          <pic:cNvPr id="944" name="AutoShape_1860_SpCnt_471"/>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82496" behindDoc="0" locked="0" layoutInCell="1" allowOverlap="1">
                  <wp:simplePos x="0" y="0"/>
                  <wp:positionH relativeFrom="column">
                    <wp:posOffset>0</wp:posOffset>
                  </wp:positionH>
                  <wp:positionV relativeFrom="paragraph">
                    <wp:posOffset>0</wp:posOffset>
                  </wp:positionV>
                  <wp:extent cx="304800" cy="305435"/>
                  <wp:effectExtent l="0" t="0" r="0" b="0"/>
                  <wp:wrapNone/>
                  <wp:docPr id="948" name="AutoShape_1860_SpCnt_472"/>
                  <wp:cNvGraphicFramePr/>
                  <a:graphic xmlns:a="http://schemas.openxmlformats.org/drawingml/2006/main">
                    <a:graphicData uri="http://schemas.openxmlformats.org/drawingml/2006/picture">
                      <pic:pic xmlns:pic="http://schemas.openxmlformats.org/drawingml/2006/picture">
                        <pic:nvPicPr>
                          <pic:cNvPr id="948" name="AutoShape_1860_SpCnt_472"/>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83520"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09" name="AutoShape_1860_SpCnt_473"/>
                  <wp:cNvGraphicFramePr/>
                  <a:graphic xmlns:a="http://schemas.openxmlformats.org/drawingml/2006/main">
                    <a:graphicData uri="http://schemas.openxmlformats.org/drawingml/2006/picture">
                      <pic:pic xmlns:pic="http://schemas.openxmlformats.org/drawingml/2006/picture">
                        <pic:nvPicPr>
                          <pic:cNvPr id="1009" name="AutoShape_1860_SpCnt_473"/>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84544" behindDoc="0" locked="0" layoutInCell="1" allowOverlap="1">
                  <wp:simplePos x="0" y="0"/>
                  <wp:positionH relativeFrom="column">
                    <wp:posOffset>0</wp:posOffset>
                  </wp:positionH>
                  <wp:positionV relativeFrom="paragraph">
                    <wp:posOffset>0</wp:posOffset>
                  </wp:positionV>
                  <wp:extent cx="304800" cy="305435"/>
                  <wp:effectExtent l="0" t="0" r="0" b="0"/>
                  <wp:wrapNone/>
                  <wp:docPr id="981" name="AutoShape_1860_SpCnt_474"/>
                  <wp:cNvGraphicFramePr/>
                  <a:graphic xmlns:a="http://schemas.openxmlformats.org/drawingml/2006/main">
                    <a:graphicData uri="http://schemas.openxmlformats.org/drawingml/2006/picture">
                      <pic:pic xmlns:pic="http://schemas.openxmlformats.org/drawingml/2006/picture">
                        <pic:nvPicPr>
                          <pic:cNvPr id="981" name="AutoShape_1860_SpCnt_474"/>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85568" behindDoc="0" locked="0" layoutInCell="1" allowOverlap="1">
                  <wp:simplePos x="0" y="0"/>
                  <wp:positionH relativeFrom="column">
                    <wp:posOffset>0</wp:posOffset>
                  </wp:positionH>
                  <wp:positionV relativeFrom="paragraph">
                    <wp:posOffset>0</wp:posOffset>
                  </wp:positionV>
                  <wp:extent cx="304800" cy="299720"/>
                  <wp:effectExtent l="0" t="0" r="0" b="0"/>
                  <wp:wrapNone/>
                  <wp:docPr id="1008" name="AutoShape_1860_SpCnt_475"/>
                  <wp:cNvGraphicFramePr/>
                  <a:graphic xmlns:a="http://schemas.openxmlformats.org/drawingml/2006/main">
                    <a:graphicData uri="http://schemas.openxmlformats.org/drawingml/2006/picture">
                      <pic:pic xmlns:pic="http://schemas.openxmlformats.org/drawingml/2006/picture">
                        <pic:nvPicPr>
                          <pic:cNvPr id="1008" name="AutoShape_1860_SpCnt_475"/>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86592" behindDoc="0" locked="0" layoutInCell="1" allowOverlap="1">
                  <wp:simplePos x="0" y="0"/>
                  <wp:positionH relativeFrom="column">
                    <wp:posOffset>0</wp:posOffset>
                  </wp:positionH>
                  <wp:positionV relativeFrom="paragraph">
                    <wp:posOffset>0</wp:posOffset>
                  </wp:positionV>
                  <wp:extent cx="304800" cy="305435"/>
                  <wp:effectExtent l="0" t="0" r="0" b="0"/>
                  <wp:wrapNone/>
                  <wp:docPr id="963" name="AutoShape_1860_SpCnt_476"/>
                  <wp:cNvGraphicFramePr/>
                  <a:graphic xmlns:a="http://schemas.openxmlformats.org/drawingml/2006/main">
                    <a:graphicData uri="http://schemas.openxmlformats.org/drawingml/2006/picture">
                      <pic:pic xmlns:pic="http://schemas.openxmlformats.org/drawingml/2006/picture">
                        <pic:nvPicPr>
                          <pic:cNvPr id="963" name="AutoShape_1860_SpCnt_476"/>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87616" behindDoc="0" locked="0" layoutInCell="1" allowOverlap="1">
                  <wp:simplePos x="0" y="0"/>
                  <wp:positionH relativeFrom="column">
                    <wp:posOffset>0</wp:posOffset>
                  </wp:positionH>
                  <wp:positionV relativeFrom="paragraph">
                    <wp:posOffset>0</wp:posOffset>
                  </wp:positionV>
                  <wp:extent cx="304800" cy="305435"/>
                  <wp:effectExtent l="0" t="0" r="0" b="0"/>
                  <wp:wrapNone/>
                  <wp:docPr id="962" name="AutoShape_1860_SpCnt_477"/>
                  <wp:cNvGraphicFramePr/>
                  <a:graphic xmlns:a="http://schemas.openxmlformats.org/drawingml/2006/main">
                    <a:graphicData uri="http://schemas.openxmlformats.org/drawingml/2006/picture">
                      <pic:pic xmlns:pic="http://schemas.openxmlformats.org/drawingml/2006/picture">
                        <pic:nvPicPr>
                          <pic:cNvPr id="962" name="AutoShape_1860_SpCnt_477"/>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88640" behindDoc="0" locked="0" layoutInCell="1" allowOverlap="1">
                  <wp:simplePos x="0" y="0"/>
                  <wp:positionH relativeFrom="column">
                    <wp:posOffset>0</wp:posOffset>
                  </wp:positionH>
                  <wp:positionV relativeFrom="paragraph">
                    <wp:posOffset>0</wp:posOffset>
                  </wp:positionV>
                  <wp:extent cx="304800" cy="305435"/>
                  <wp:effectExtent l="0" t="0" r="0" b="0"/>
                  <wp:wrapNone/>
                  <wp:docPr id="930" name="AutoShape_1860_SpCnt_478"/>
                  <wp:cNvGraphicFramePr/>
                  <a:graphic xmlns:a="http://schemas.openxmlformats.org/drawingml/2006/main">
                    <a:graphicData uri="http://schemas.openxmlformats.org/drawingml/2006/picture">
                      <pic:pic xmlns:pic="http://schemas.openxmlformats.org/drawingml/2006/picture">
                        <pic:nvPicPr>
                          <pic:cNvPr id="930" name="AutoShape_1860_SpCnt_478"/>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89664" behindDoc="0" locked="0" layoutInCell="1" allowOverlap="1">
                  <wp:simplePos x="0" y="0"/>
                  <wp:positionH relativeFrom="column">
                    <wp:posOffset>0</wp:posOffset>
                  </wp:positionH>
                  <wp:positionV relativeFrom="paragraph">
                    <wp:posOffset>0</wp:posOffset>
                  </wp:positionV>
                  <wp:extent cx="304800" cy="305435"/>
                  <wp:effectExtent l="0" t="0" r="0" b="0"/>
                  <wp:wrapNone/>
                  <wp:docPr id="980" name="AutoShape_1860_SpCnt_479"/>
                  <wp:cNvGraphicFramePr/>
                  <a:graphic xmlns:a="http://schemas.openxmlformats.org/drawingml/2006/main">
                    <a:graphicData uri="http://schemas.openxmlformats.org/drawingml/2006/picture">
                      <pic:pic xmlns:pic="http://schemas.openxmlformats.org/drawingml/2006/picture">
                        <pic:nvPicPr>
                          <pic:cNvPr id="980" name="AutoShape_1860_SpCnt_479"/>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90688" behindDoc="0" locked="0" layoutInCell="1" allowOverlap="1">
                  <wp:simplePos x="0" y="0"/>
                  <wp:positionH relativeFrom="column">
                    <wp:posOffset>0</wp:posOffset>
                  </wp:positionH>
                  <wp:positionV relativeFrom="paragraph">
                    <wp:posOffset>0</wp:posOffset>
                  </wp:positionV>
                  <wp:extent cx="304800" cy="305435"/>
                  <wp:effectExtent l="0" t="0" r="0" b="0"/>
                  <wp:wrapNone/>
                  <wp:docPr id="982" name="AutoShape_1860_SpCnt_480"/>
                  <wp:cNvGraphicFramePr/>
                  <a:graphic xmlns:a="http://schemas.openxmlformats.org/drawingml/2006/main">
                    <a:graphicData uri="http://schemas.openxmlformats.org/drawingml/2006/picture">
                      <pic:pic xmlns:pic="http://schemas.openxmlformats.org/drawingml/2006/picture">
                        <pic:nvPicPr>
                          <pic:cNvPr id="982" name="AutoShape_1860_SpCnt_480"/>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91712" behindDoc="0" locked="0" layoutInCell="1" allowOverlap="1">
                  <wp:simplePos x="0" y="0"/>
                  <wp:positionH relativeFrom="column">
                    <wp:posOffset>0</wp:posOffset>
                  </wp:positionH>
                  <wp:positionV relativeFrom="paragraph">
                    <wp:posOffset>0</wp:posOffset>
                  </wp:positionV>
                  <wp:extent cx="304800" cy="305435"/>
                  <wp:effectExtent l="0" t="0" r="0" b="0"/>
                  <wp:wrapNone/>
                  <wp:docPr id="983" name="AutoShape_1860_SpCnt_481"/>
                  <wp:cNvGraphicFramePr/>
                  <a:graphic xmlns:a="http://schemas.openxmlformats.org/drawingml/2006/main">
                    <a:graphicData uri="http://schemas.openxmlformats.org/drawingml/2006/picture">
                      <pic:pic xmlns:pic="http://schemas.openxmlformats.org/drawingml/2006/picture">
                        <pic:nvPicPr>
                          <pic:cNvPr id="983" name="AutoShape_1860_SpCnt_481"/>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92736" behindDoc="0" locked="0" layoutInCell="1" allowOverlap="1">
                  <wp:simplePos x="0" y="0"/>
                  <wp:positionH relativeFrom="column">
                    <wp:posOffset>0</wp:posOffset>
                  </wp:positionH>
                  <wp:positionV relativeFrom="paragraph">
                    <wp:posOffset>0</wp:posOffset>
                  </wp:positionV>
                  <wp:extent cx="304800" cy="299720"/>
                  <wp:effectExtent l="0" t="0" r="0" b="0"/>
                  <wp:wrapNone/>
                  <wp:docPr id="1007" name="AutoShape_1860_SpCnt_482"/>
                  <wp:cNvGraphicFramePr/>
                  <a:graphic xmlns:a="http://schemas.openxmlformats.org/drawingml/2006/main">
                    <a:graphicData uri="http://schemas.openxmlformats.org/drawingml/2006/picture">
                      <pic:pic xmlns:pic="http://schemas.openxmlformats.org/drawingml/2006/picture">
                        <pic:nvPicPr>
                          <pic:cNvPr id="1007" name="AutoShape_1860_SpCnt_482"/>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93760"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06" name="AutoShape_1860_SpCnt_483"/>
                  <wp:cNvGraphicFramePr/>
                  <a:graphic xmlns:a="http://schemas.openxmlformats.org/drawingml/2006/main">
                    <a:graphicData uri="http://schemas.openxmlformats.org/drawingml/2006/picture">
                      <pic:pic xmlns:pic="http://schemas.openxmlformats.org/drawingml/2006/picture">
                        <pic:nvPicPr>
                          <pic:cNvPr id="1006" name="AutoShape_1860_SpCnt_483"/>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94784"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05" name="AutoShape_1860_SpCnt_484"/>
                  <wp:cNvGraphicFramePr/>
                  <a:graphic xmlns:a="http://schemas.openxmlformats.org/drawingml/2006/main">
                    <a:graphicData uri="http://schemas.openxmlformats.org/drawingml/2006/picture">
                      <pic:pic xmlns:pic="http://schemas.openxmlformats.org/drawingml/2006/picture">
                        <pic:nvPicPr>
                          <pic:cNvPr id="1005" name="AutoShape_1860_SpCnt_484"/>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95808" behindDoc="0" locked="0" layoutInCell="1" allowOverlap="1">
                  <wp:simplePos x="0" y="0"/>
                  <wp:positionH relativeFrom="column">
                    <wp:posOffset>0</wp:posOffset>
                  </wp:positionH>
                  <wp:positionV relativeFrom="paragraph">
                    <wp:posOffset>0</wp:posOffset>
                  </wp:positionV>
                  <wp:extent cx="304800" cy="305435"/>
                  <wp:effectExtent l="0" t="0" r="0" b="0"/>
                  <wp:wrapNone/>
                  <wp:docPr id="956" name="AutoShape_1860_SpCnt_485"/>
                  <wp:cNvGraphicFramePr/>
                  <a:graphic xmlns:a="http://schemas.openxmlformats.org/drawingml/2006/main">
                    <a:graphicData uri="http://schemas.openxmlformats.org/drawingml/2006/picture">
                      <pic:pic xmlns:pic="http://schemas.openxmlformats.org/drawingml/2006/picture">
                        <pic:nvPicPr>
                          <pic:cNvPr id="956" name="AutoShape_1860_SpCnt_485"/>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96832" behindDoc="0" locked="0" layoutInCell="1" allowOverlap="1">
                  <wp:simplePos x="0" y="0"/>
                  <wp:positionH relativeFrom="column">
                    <wp:posOffset>0</wp:posOffset>
                  </wp:positionH>
                  <wp:positionV relativeFrom="paragraph">
                    <wp:posOffset>0</wp:posOffset>
                  </wp:positionV>
                  <wp:extent cx="304800" cy="299720"/>
                  <wp:effectExtent l="0" t="0" r="0" b="0"/>
                  <wp:wrapNone/>
                  <wp:docPr id="1065" name="AutoShape_1860_SpCnt_486"/>
                  <wp:cNvGraphicFramePr/>
                  <a:graphic xmlns:a="http://schemas.openxmlformats.org/drawingml/2006/main">
                    <a:graphicData uri="http://schemas.openxmlformats.org/drawingml/2006/picture">
                      <pic:pic xmlns:pic="http://schemas.openxmlformats.org/drawingml/2006/picture">
                        <pic:nvPicPr>
                          <pic:cNvPr id="1065" name="AutoShape_1860_SpCnt_486"/>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97856"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32" name="AutoShape_1860_SpCnt_487"/>
                  <wp:cNvGraphicFramePr/>
                  <a:graphic xmlns:a="http://schemas.openxmlformats.org/drawingml/2006/main">
                    <a:graphicData uri="http://schemas.openxmlformats.org/drawingml/2006/picture">
                      <pic:pic xmlns:pic="http://schemas.openxmlformats.org/drawingml/2006/picture">
                        <pic:nvPicPr>
                          <pic:cNvPr id="1032" name="AutoShape_1860_SpCnt_487"/>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98880"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04" name="AutoShape_1860_SpCnt_488"/>
                  <wp:cNvGraphicFramePr/>
                  <a:graphic xmlns:a="http://schemas.openxmlformats.org/drawingml/2006/main">
                    <a:graphicData uri="http://schemas.openxmlformats.org/drawingml/2006/picture">
                      <pic:pic xmlns:pic="http://schemas.openxmlformats.org/drawingml/2006/picture">
                        <pic:nvPicPr>
                          <pic:cNvPr id="1004" name="AutoShape_1860_SpCnt_488"/>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899904" behindDoc="0" locked="0" layoutInCell="1" allowOverlap="1">
                  <wp:simplePos x="0" y="0"/>
                  <wp:positionH relativeFrom="column">
                    <wp:posOffset>0</wp:posOffset>
                  </wp:positionH>
                  <wp:positionV relativeFrom="paragraph">
                    <wp:posOffset>0</wp:posOffset>
                  </wp:positionV>
                  <wp:extent cx="304800" cy="299720"/>
                  <wp:effectExtent l="0" t="0" r="0" b="0"/>
                  <wp:wrapNone/>
                  <wp:docPr id="1082" name="AutoShape_1860_SpCnt_489"/>
                  <wp:cNvGraphicFramePr/>
                  <a:graphic xmlns:a="http://schemas.openxmlformats.org/drawingml/2006/main">
                    <a:graphicData uri="http://schemas.openxmlformats.org/drawingml/2006/picture">
                      <pic:pic xmlns:pic="http://schemas.openxmlformats.org/drawingml/2006/picture">
                        <pic:nvPicPr>
                          <pic:cNvPr id="1082" name="AutoShape_1860_SpCnt_489"/>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00928" behindDoc="0" locked="0" layoutInCell="1" allowOverlap="1">
                  <wp:simplePos x="0" y="0"/>
                  <wp:positionH relativeFrom="column">
                    <wp:posOffset>0</wp:posOffset>
                  </wp:positionH>
                  <wp:positionV relativeFrom="paragraph">
                    <wp:posOffset>0</wp:posOffset>
                  </wp:positionV>
                  <wp:extent cx="304800" cy="299720"/>
                  <wp:effectExtent l="0" t="0" r="0" b="0"/>
                  <wp:wrapNone/>
                  <wp:docPr id="1003" name="AutoShape_1860_SpCnt_490"/>
                  <wp:cNvGraphicFramePr/>
                  <a:graphic xmlns:a="http://schemas.openxmlformats.org/drawingml/2006/main">
                    <a:graphicData uri="http://schemas.openxmlformats.org/drawingml/2006/picture">
                      <pic:pic xmlns:pic="http://schemas.openxmlformats.org/drawingml/2006/picture">
                        <pic:nvPicPr>
                          <pic:cNvPr id="1003" name="AutoShape_1860_SpCnt_490"/>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01952" behindDoc="0" locked="0" layoutInCell="1" allowOverlap="1">
                  <wp:simplePos x="0" y="0"/>
                  <wp:positionH relativeFrom="column">
                    <wp:posOffset>0</wp:posOffset>
                  </wp:positionH>
                  <wp:positionV relativeFrom="paragraph">
                    <wp:posOffset>0</wp:posOffset>
                  </wp:positionV>
                  <wp:extent cx="304800" cy="299720"/>
                  <wp:effectExtent l="0" t="0" r="0" b="0"/>
                  <wp:wrapNone/>
                  <wp:docPr id="994" name="AutoShape_1860_SpCnt_491"/>
                  <wp:cNvGraphicFramePr/>
                  <a:graphic xmlns:a="http://schemas.openxmlformats.org/drawingml/2006/main">
                    <a:graphicData uri="http://schemas.openxmlformats.org/drawingml/2006/picture">
                      <pic:pic xmlns:pic="http://schemas.openxmlformats.org/drawingml/2006/picture">
                        <pic:nvPicPr>
                          <pic:cNvPr id="994" name="AutoShape_1860_SpCnt_491"/>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02976" behindDoc="0" locked="0" layoutInCell="1" allowOverlap="1">
                  <wp:simplePos x="0" y="0"/>
                  <wp:positionH relativeFrom="column">
                    <wp:posOffset>0</wp:posOffset>
                  </wp:positionH>
                  <wp:positionV relativeFrom="paragraph">
                    <wp:posOffset>0</wp:posOffset>
                  </wp:positionV>
                  <wp:extent cx="304800" cy="305435"/>
                  <wp:effectExtent l="0" t="0" r="0" b="0"/>
                  <wp:wrapNone/>
                  <wp:docPr id="972" name="AutoShape_1860_SpCnt_492"/>
                  <wp:cNvGraphicFramePr/>
                  <a:graphic xmlns:a="http://schemas.openxmlformats.org/drawingml/2006/main">
                    <a:graphicData uri="http://schemas.openxmlformats.org/drawingml/2006/picture">
                      <pic:pic xmlns:pic="http://schemas.openxmlformats.org/drawingml/2006/picture">
                        <pic:nvPicPr>
                          <pic:cNvPr id="972" name="AutoShape_1860_SpCnt_492"/>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04000" behindDoc="0" locked="0" layoutInCell="1" allowOverlap="1">
                  <wp:simplePos x="0" y="0"/>
                  <wp:positionH relativeFrom="column">
                    <wp:posOffset>0</wp:posOffset>
                  </wp:positionH>
                  <wp:positionV relativeFrom="paragraph">
                    <wp:posOffset>0</wp:posOffset>
                  </wp:positionV>
                  <wp:extent cx="304800" cy="305435"/>
                  <wp:effectExtent l="0" t="0" r="0" b="0"/>
                  <wp:wrapNone/>
                  <wp:docPr id="993" name="AutoShape_1860_SpCnt_493"/>
                  <wp:cNvGraphicFramePr/>
                  <a:graphic xmlns:a="http://schemas.openxmlformats.org/drawingml/2006/main">
                    <a:graphicData uri="http://schemas.openxmlformats.org/drawingml/2006/picture">
                      <pic:pic xmlns:pic="http://schemas.openxmlformats.org/drawingml/2006/picture">
                        <pic:nvPicPr>
                          <pic:cNvPr id="993" name="AutoShape_1860_SpCnt_493"/>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05024"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63" name="AutoShape_1860_SpCnt_494"/>
                  <wp:cNvGraphicFramePr/>
                  <a:graphic xmlns:a="http://schemas.openxmlformats.org/drawingml/2006/main">
                    <a:graphicData uri="http://schemas.openxmlformats.org/drawingml/2006/picture">
                      <pic:pic xmlns:pic="http://schemas.openxmlformats.org/drawingml/2006/picture">
                        <pic:nvPicPr>
                          <pic:cNvPr id="1063" name="AutoShape_1860_SpCnt_494"/>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06048"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16" name="AutoShape_1860_SpCnt_495"/>
                  <wp:cNvGraphicFramePr/>
                  <a:graphic xmlns:a="http://schemas.openxmlformats.org/drawingml/2006/main">
                    <a:graphicData uri="http://schemas.openxmlformats.org/drawingml/2006/picture">
                      <pic:pic xmlns:pic="http://schemas.openxmlformats.org/drawingml/2006/picture">
                        <pic:nvPicPr>
                          <pic:cNvPr id="1016" name="AutoShape_1860_SpCnt_495"/>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07072" behindDoc="0" locked="0" layoutInCell="1" allowOverlap="1">
                  <wp:simplePos x="0" y="0"/>
                  <wp:positionH relativeFrom="column">
                    <wp:posOffset>0</wp:posOffset>
                  </wp:positionH>
                  <wp:positionV relativeFrom="paragraph">
                    <wp:posOffset>0</wp:posOffset>
                  </wp:positionV>
                  <wp:extent cx="304800" cy="299720"/>
                  <wp:effectExtent l="0" t="0" r="0" b="0"/>
                  <wp:wrapNone/>
                  <wp:docPr id="988" name="AutoShape_1860_SpCnt_496"/>
                  <wp:cNvGraphicFramePr/>
                  <a:graphic xmlns:a="http://schemas.openxmlformats.org/drawingml/2006/main">
                    <a:graphicData uri="http://schemas.openxmlformats.org/drawingml/2006/picture">
                      <pic:pic xmlns:pic="http://schemas.openxmlformats.org/drawingml/2006/picture">
                        <pic:nvPicPr>
                          <pic:cNvPr id="988" name="AutoShape_1860_SpCnt_496"/>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08096" behindDoc="0" locked="0" layoutInCell="1" allowOverlap="1">
                  <wp:simplePos x="0" y="0"/>
                  <wp:positionH relativeFrom="column">
                    <wp:posOffset>0</wp:posOffset>
                  </wp:positionH>
                  <wp:positionV relativeFrom="paragraph">
                    <wp:posOffset>0</wp:posOffset>
                  </wp:positionV>
                  <wp:extent cx="304800" cy="299720"/>
                  <wp:effectExtent l="0" t="0" r="0" b="0"/>
                  <wp:wrapNone/>
                  <wp:docPr id="990" name="AutoShape_1860_SpCnt_497"/>
                  <wp:cNvGraphicFramePr/>
                  <a:graphic xmlns:a="http://schemas.openxmlformats.org/drawingml/2006/main">
                    <a:graphicData uri="http://schemas.openxmlformats.org/drawingml/2006/picture">
                      <pic:pic xmlns:pic="http://schemas.openxmlformats.org/drawingml/2006/picture">
                        <pic:nvPicPr>
                          <pic:cNvPr id="990" name="AutoShape_1860_SpCnt_497"/>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09120" behindDoc="0" locked="0" layoutInCell="1" allowOverlap="1">
                  <wp:simplePos x="0" y="0"/>
                  <wp:positionH relativeFrom="column">
                    <wp:posOffset>0</wp:posOffset>
                  </wp:positionH>
                  <wp:positionV relativeFrom="paragraph">
                    <wp:posOffset>0</wp:posOffset>
                  </wp:positionV>
                  <wp:extent cx="304800" cy="299720"/>
                  <wp:effectExtent l="0" t="0" r="0" b="0"/>
                  <wp:wrapNone/>
                  <wp:docPr id="960" name="AutoShape_1860_SpCnt_498"/>
                  <wp:cNvGraphicFramePr/>
                  <a:graphic xmlns:a="http://schemas.openxmlformats.org/drawingml/2006/main">
                    <a:graphicData uri="http://schemas.openxmlformats.org/drawingml/2006/picture">
                      <pic:pic xmlns:pic="http://schemas.openxmlformats.org/drawingml/2006/picture">
                        <pic:nvPicPr>
                          <pic:cNvPr id="960" name="AutoShape_1860_SpCnt_498"/>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10144" behindDoc="0" locked="0" layoutInCell="1" allowOverlap="1">
                  <wp:simplePos x="0" y="0"/>
                  <wp:positionH relativeFrom="column">
                    <wp:posOffset>0</wp:posOffset>
                  </wp:positionH>
                  <wp:positionV relativeFrom="paragraph">
                    <wp:posOffset>0</wp:posOffset>
                  </wp:positionV>
                  <wp:extent cx="304800" cy="299720"/>
                  <wp:effectExtent l="0" t="0" r="0" b="0"/>
                  <wp:wrapNone/>
                  <wp:docPr id="1015" name="AutoShape_1860_SpCnt_499"/>
                  <wp:cNvGraphicFramePr/>
                  <a:graphic xmlns:a="http://schemas.openxmlformats.org/drawingml/2006/main">
                    <a:graphicData uri="http://schemas.openxmlformats.org/drawingml/2006/picture">
                      <pic:pic xmlns:pic="http://schemas.openxmlformats.org/drawingml/2006/picture">
                        <pic:nvPicPr>
                          <pic:cNvPr id="1015" name="AutoShape_1860_SpCnt_499"/>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11168" behindDoc="0" locked="0" layoutInCell="1" allowOverlap="1">
                  <wp:simplePos x="0" y="0"/>
                  <wp:positionH relativeFrom="column">
                    <wp:posOffset>0</wp:posOffset>
                  </wp:positionH>
                  <wp:positionV relativeFrom="paragraph">
                    <wp:posOffset>0</wp:posOffset>
                  </wp:positionV>
                  <wp:extent cx="304800" cy="299720"/>
                  <wp:effectExtent l="0" t="0" r="0" b="0"/>
                  <wp:wrapNone/>
                  <wp:docPr id="1064" name="AutoShape_1860_SpCnt_500"/>
                  <wp:cNvGraphicFramePr/>
                  <a:graphic xmlns:a="http://schemas.openxmlformats.org/drawingml/2006/main">
                    <a:graphicData uri="http://schemas.openxmlformats.org/drawingml/2006/picture">
                      <pic:pic xmlns:pic="http://schemas.openxmlformats.org/drawingml/2006/picture">
                        <pic:nvPicPr>
                          <pic:cNvPr id="1064" name="AutoShape_1860_SpCnt_500"/>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12192" behindDoc="0" locked="0" layoutInCell="1" allowOverlap="1">
                  <wp:simplePos x="0" y="0"/>
                  <wp:positionH relativeFrom="column">
                    <wp:posOffset>0</wp:posOffset>
                  </wp:positionH>
                  <wp:positionV relativeFrom="paragraph">
                    <wp:posOffset>0</wp:posOffset>
                  </wp:positionV>
                  <wp:extent cx="304800" cy="299720"/>
                  <wp:effectExtent l="0" t="0" r="0" b="0"/>
                  <wp:wrapNone/>
                  <wp:docPr id="991" name="AutoShape_1860_SpCnt_501"/>
                  <wp:cNvGraphicFramePr/>
                  <a:graphic xmlns:a="http://schemas.openxmlformats.org/drawingml/2006/main">
                    <a:graphicData uri="http://schemas.openxmlformats.org/drawingml/2006/picture">
                      <pic:pic xmlns:pic="http://schemas.openxmlformats.org/drawingml/2006/picture">
                        <pic:nvPicPr>
                          <pic:cNvPr id="991" name="AutoShape_1860_SpCnt_501"/>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13216" behindDoc="0" locked="0" layoutInCell="1" allowOverlap="1">
                  <wp:simplePos x="0" y="0"/>
                  <wp:positionH relativeFrom="column">
                    <wp:posOffset>0</wp:posOffset>
                  </wp:positionH>
                  <wp:positionV relativeFrom="paragraph">
                    <wp:posOffset>0</wp:posOffset>
                  </wp:positionV>
                  <wp:extent cx="304800" cy="299720"/>
                  <wp:effectExtent l="0" t="0" r="0" b="0"/>
                  <wp:wrapNone/>
                  <wp:docPr id="987" name="AutoShape_1860_SpCnt_502"/>
                  <wp:cNvGraphicFramePr/>
                  <a:graphic xmlns:a="http://schemas.openxmlformats.org/drawingml/2006/main">
                    <a:graphicData uri="http://schemas.openxmlformats.org/drawingml/2006/picture">
                      <pic:pic xmlns:pic="http://schemas.openxmlformats.org/drawingml/2006/picture">
                        <pic:nvPicPr>
                          <pic:cNvPr id="987" name="AutoShape_1860_SpCnt_502"/>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14240" behindDoc="0" locked="0" layoutInCell="1" allowOverlap="1">
                  <wp:simplePos x="0" y="0"/>
                  <wp:positionH relativeFrom="column">
                    <wp:posOffset>0</wp:posOffset>
                  </wp:positionH>
                  <wp:positionV relativeFrom="paragraph">
                    <wp:posOffset>0</wp:posOffset>
                  </wp:positionV>
                  <wp:extent cx="304800" cy="299720"/>
                  <wp:effectExtent l="0" t="0" r="0" b="0"/>
                  <wp:wrapNone/>
                  <wp:docPr id="989" name="AutoShape_1860_SpCnt_503"/>
                  <wp:cNvGraphicFramePr/>
                  <a:graphic xmlns:a="http://schemas.openxmlformats.org/drawingml/2006/main">
                    <a:graphicData uri="http://schemas.openxmlformats.org/drawingml/2006/picture">
                      <pic:pic xmlns:pic="http://schemas.openxmlformats.org/drawingml/2006/picture">
                        <pic:nvPicPr>
                          <pic:cNvPr id="989" name="AutoShape_1860_SpCnt_503"/>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15264" behindDoc="0" locked="0" layoutInCell="1" allowOverlap="1">
                  <wp:simplePos x="0" y="0"/>
                  <wp:positionH relativeFrom="column">
                    <wp:posOffset>0</wp:posOffset>
                  </wp:positionH>
                  <wp:positionV relativeFrom="paragraph">
                    <wp:posOffset>0</wp:posOffset>
                  </wp:positionV>
                  <wp:extent cx="304800" cy="305435"/>
                  <wp:effectExtent l="0" t="0" r="0" b="0"/>
                  <wp:wrapNone/>
                  <wp:docPr id="986" name="AutoShape_1860_SpCnt_504"/>
                  <wp:cNvGraphicFramePr/>
                  <a:graphic xmlns:a="http://schemas.openxmlformats.org/drawingml/2006/main">
                    <a:graphicData uri="http://schemas.openxmlformats.org/drawingml/2006/picture">
                      <pic:pic xmlns:pic="http://schemas.openxmlformats.org/drawingml/2006/picture">
                        <pic:nvPicPr>
                          <pic:cNvPr id="986" name="AutoShape_1860_SpCnt_504"/>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16288" behindDoc="0" locked="0" layoutInCell="1" allowOverlap="1">
                  <wp:simplePos x="0" y="0"/>
                  <wp:positionH relativeFrom="column">
                    <wp:posOffset>0</wp:posOffset>
                  </wp:positionH>
                  <wp:positionV relativeFrom="paragraph">
                    <wp:posOffset>0</wp:posOffset>
                  </wp:positionV>
                  <wp:extent cx="304800" cy="305435"/>
                  <wp:effectExtent l="0" t="0" r="0" b="0"/>
                  <wp:wrapNone/>
                  <wp:docPr id="979" name="AutoShape_1860_SpCnt_505"/>
                  <wp:cNvGraphicFramePr/>
                  <a:graphic xmlns:a="http://schemas.openxmlformats.org/drawingml/2006/main">
                    <a:graphicData uri="http://schemas.openxmlformats.org/drawingml/2006/picture">
                      <pic:pic xmlns:pic="http://schemas.openxmlformats.org/drawingml/2006/picture">
                        <pic:nvPicPr>
                          <pic:cNvPr id="979" name="AutoShape_1860_SpCnt_505"/>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17312" behindDoc="0" locked="0" layoutInCell="1" allowOverlap="1">
                  <wp:simplePos x="0" y="0"/>
                  <wp:positionH relativeFrom="column">
                    <wp:posOffset>0</wp:posOffset>
                  </wp:positionH>
                  <wp:positionV relativeFrom="paragraph">
                    <wp:posOffset>0</wp:posOffset>
                  </wp:positionV>
                  <wp:extent cx="304800" cy="305435"/>
                  <wp:effectExtent l="0" t="0" r="0" b="0"/>
                  <wp:wrapNone/>
                  <wp:docPr id="978" name="AutoShape_1860_SpCnt_506"/>
                  <wp:cNvGraphicFramePr/>
                  <a:graphic xmlns:a="http://schemas.openxmlformats.org/drawingml/2006/main">
                    <a:graphicData uri="http://schemas.openxmlformats.org/drawingml/2006/picture">
                      <pic:pic xmlns:pic="http://schemas.openxmlformats.org/drawingml/2006/picture">
                        <pic:nvPicPr>
                          <pic:cNvPr id="978" name="AutoShape_1860_SpCnt_506"/>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18336" behindDoc="0" locked="0" layoutInCell="1" allowOverlap="1">
                  <wp:simplePos x="0" y="0"/>
                  <wp:positionH relativeFrom="column">
                    <wp:posOffset>0</wp:posOffset>
                  </wp:positionH>
                  <wp:positionV relativeFrom="paragraph">
                    <wp:posOffset>0</wp:posOffset>
                  </wp:positionV>
                  <wp:extent cx="304800" cy="305435"/>
                  <wp:effectExtent l="0" t="0" r="0" b="0"/>
                  <wp:wrapNone/>
                  <wp:docPr id="977" name="AutoShape_1860_SpCnt_507"/>
                  <wp:cNvGraphicFramePr/>
                  <a:graphic xmlns:a="http://schemas.openxmlformats.org/drawingml/2006/main">
                    <a:graphicData uri="http://schemas.openxmlformats.org/drawingml/2006/picture">
                      <pic:pic xmlns:pic="http://schemas.openxmlformats.org/drawingml/2006/picture">
                        <pic:nvPicPr>
                          <pic:cNvPr id="977" name="AutoShape_1860_SpCnt_507"/>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19360" behindDoc="0" locked="0" layoutInCell="1" allowOverlap="1">
                  <wp:simplePos x="0" y="0"/>
                  <wp:positionH relativeFrom="column">
                    <wp:posOffset>0</wp:posOffset>
                  </wp:positionH>
                  <wp:positionV relativeFrom="paragraph">
                    <wp:posOffset>0</wp:posOffset>
                  </wp:positionV>
                  <wp:extent cx="304800" cy="305435"/>
                  <wp:effectExtent l="0" t="0" r="0" b="0"/>
                  <wp:wrapNone/>
                  <wp:docPr id="976" name="AutoShape_1860_SpCnt_508"/>
                  <wp:cNvGraphicFramePr/>
                  <a:graphic xmlns:a="http://schemas.openxmlformats.org/drawingml/2006/main">
                    <a:graphicData uri="http://schemas.openxmlformats.org/drawingml/2006/picture">
                      <pic:pic xmlns:pic="http://schemas.openxmlformats.org/drawingml/2006/picture">
                        <pic:nvPicPr>
                          <pic:cNvPr id="976" name="AutoShape_1860_SpCnt_508"/>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20384" behindDoc="0" locked="0" layoutInCell="1" allowOverlap="1">
                  <wp:simplePos x="0" y="0"/>
                  <wp:positionH relativeFrom="column">
                    <wp:posOffset>0</wp:posOffset>
                  </wp:positionH>
                  <wp:positionV relativeFrom="paragraph">
                    <wp:posOffset>0</wp:posOffset>
                  </wp:positionV>
                  <wp:extent cx="304800" cy="305435"/>
                  <wp:effectExtent l="0" t="0" r="0" b="0"/>
                  <wp:wrapNone/>
                  <wp:docPr id="975" name="AutoShape_1860_SpCnt_509"/>
                  <wp:cNvGraphicFramePr/>
                  <a:graphic xmlns:a="http://schemas.openxmlformats.org/drawingml/2006/main">
                    <a:graphicData uri="http://schemas.openxmlformats.org/drawingml/2006/picture">
                      <pic:pic xmlns:pic="http://schemas.openxmlformats.org/drawingml/2006/picture">
                        <pic:nvPicPr>
                          <pic:cNvPr id="975" name="AutoShape_1860_SpCnt_509"/>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21408" behindDoc="0" locked="0" layoutInCell="1" allowOverlap="1">
                  <wp:simplePos x="0" y="0"/>
                  <wp:positionH relativeFrom="column">
                    <wp:posOffset>0</wp:posOffset>
                  </wp:positionH>
                  <wp:positionV relativeFrom="paragraph">
                    <wp:posOffset>0</wp:posOffset>
                  </wp:positionV>
                  <wp:extent cx="304800" cy="305435"/>
                  <wp:effectExtent l="0" t="0" r="0" b="0"/>
                  <wp:wrapNone/>
                  <wp:docPr id="974" name="AutoShape_1860_SpCnt_510"/>
                  <wp:cNvGraphicFramePr/>
                  <a:graphic xmlns:a="http://schemas.openxmlformats.org/drawingml/2006/main">
                    <a:graphicData uri="http://schemas.openxmlformats.org/drawingml/2006/picture">
                      <pic:pic xmlns:pic="http://schemas.openxmlformats.org/drawingml/2006/picture">
                        <pic:nvPicPr>
                          <pic:cNvPr id="974" name="AutoShape_1860_SpCnt_510"/>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22432" behindDoc="0" locked="0" layoutInCell="1" allowOverlap="1">
                  <wp:simplePos x="0" y="0"/>
                  <wp:positionH relativeFrom="column">
                    <wp:posOffset>0</wp:posOffset>
                  </wp:positionH>
                  <wp:positionV relativeFrom="paragraph">
                    <wp:posOffset>0</wp:posOffset>
                  </wp:positionV>
                  <wp:extent cx="304800" cy="299720"/>
                  <wp:effectExtent l="0" t="0" r="0" b="0"/>
                  <wp:wrapNone/>
                  <wp:docPr id="959" name="AutoShape_1860_SpCnt_511"/>
                  <wp:cNvGraphicFramePr/>
                  <a:graphic xmlns:a="http://schemas.openxmlformats.org/drawingml/2006/main">
                    <a:graphicData uri="http://schemas.openxmlformats.org/drawingml/2006/picture">
                      <pic:pic xmlns:pic="http://schemas.openxmlformats.org/drawingml/2006/picture">
                        <pic:nvPicPr>
                          <pic:cNvPr id="959" name="AutoShape_1860_SpCnt_511"/>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23456" behindDoc="0" locked="0" layoutInCell="1" allowOverlap="1">
                  <wp:simplePos x="0" y="0"/>
                  <wp:positionH relativeFrom="column">
                    <wp:posOffset>0</wp:posOffset>
                  </wp:positionH>
                  <wp:positionV relativeFrom="paragraph">
                    <wp:posOffset>0</wp:posOffset>
                  </wp:positionV>
                  <wp:extent cx="304800" cy="305435"/>
                  <wp:effectExtent l="0" t="0" r="0" b="0"/>
                  <wp:wrapNone/>
                  <wp:docPr id="938" name="AutoShape_1860_SpCnt_512"/>
                  <wp:cNvGraphicFramePr/>
                  <a:graphic xmlns:a="http://schemas.openxmlformats.org/drawingml/2006/main">
                    <a:graphicData uri="http://schemas.openxmlformats.org/drawingml/2006/picture">
                      <pic:pic xmlns:pic="http://schemas.openxmlformats.org/drawingml/2006/picture">
                        <pic:nvPicPr>
                          <pic:cNvPr id="938" name="AutoShape_1860_SpCnt_512"/>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24480" behindDoc="0" locked="0" layoutInCell="1" allowOverlap="1">
                  <wp:simplePos x="0" y="0"/>
                  <wp:positionH relativeFrom="column">
                    <wp:posOffset>0</wp:posOffset>
                  </wp:positionH>
                  <wp:positionV relativeFrom="paragraph">
                    <wp:posOffset>0</wp:posOffset>
                  </wp:positionV>
                  <wp:extent cx="304800" cy="305435"/>
                  <wp:effectExtent l="0" t="0" r="0" b="0"/>
                  <wp:wrapNone/>
                  <wp:docPr id="970" name="AutoShape_1860_SpCnt_513"/>
                  <wp:cNvGraphicFramePr/>
                  <a:graphic xmlns:a="http://schemas.openxmlformats.org/drawingml/2006/main">
                    <a:graphicData uri="http://schemas.openxmlformats.org/drawingml/2006/picture">
                      <pic:pic xmlns:pic="http://schemas.openxmlformats.org/drawingml/2006/picture">
                        <pic:nvPicPr>
                          <pic:cNvPr id="970" name="AutoShape_1860_SpCnt_513"/>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25504" behindDoc="0" locked="0" layoutInCell="1" allowOverlap="1">
                  <wp:simplePos x="0" y="0"/>
                  <wp:positionH relativeFrom="column">
                    <wp:posOffset>0</wp:posOffset>
                  </wp:positionH>
                  <wp:positionV relativeFrom="paragraph">
                    <wp:posOffset>0</wp:posOffset>
                  </wp:positionV>
                  <wp:extent cx="304800" cy="305435"/>
                  <wp:effectExtent l="0" t="0" r="0" b="0"/>
                  <wp:wrapNone/>
                  <wp:docPr id="985" name="AutoShape_1860_SpCnt_514"/>
                  <wp:cNvGraphicFramePr/>
                  <a:graphic xmlns:a="http://schemas.openxmlformats.org/drawingml/2006/main">
                    <a:graphicData uri="http://schemas.openxmlformats.org/drawingml/2006/picture">
                      <pic:pic xmlns:pic="http://schemas.openxmlformats.org/drawingml/2006/picture">
                        <pic:nvPicPr>
                          <pic:cNvPr id="985" name="AutoShape_1860_SpCnt_514"/>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26528" behindDoc="0" locked="0" layoutInCell="1" allowOverlap="1">
                  <wp:simplePos x="0" y="0"/>
                  <wp:positionH relativeFrom="column">
                    <wp:posOffset>0</wp:posOffset>
                  </wp:positionH>
                  <wp:positionV relativeFrom="paragraph">
                    <wp:posOffset>0</wp:posOffset>
                  </wp:positionV>
                  <wp:extent cx="304800" cy="305435"/>
                  <wp:effectExtent l="0" t="0" r="0" b="0"/>
                  <wp:wrapNone/>
                  <wp:docPr id="1022" name="AutoShape_1860_SpCnt_515"/>
                  <wp:cNvGraphicFramePr/>
                  <a:graphic xmlns:a="http://schemas.openxmlformats.org/drawingml/2006/main">
                    <a:graphicData uri="http://schemas.openxmlformats.org/drawingml/2006/picture">
                      <pic:pic xmlns:pic="http://schemas.openxmlformats.org/drawingml/2006/picture">
                        <pic:nvPicPr>
                          <pic:cNvPr id="1022" name="AutoShape_1860_SpCnt_515"/>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27552" behindDoc="0" locked="0" layoutInCell="1" allowOverlap="1">
                  <wp:simplePos x="0" y="0"/>
                  <wp:positionH relativeFrom="column">
                    <wp:posOffset>0</wp:posOffset>
                  </wp:positionH>
                  <wp:positionV relativeFrom="paragraph">
                    <wp:posOffset>0</wp:posOffset>
                  </wp:positionV>
                  <wp:extent cx="304800" cy="305435"/>
                  <wp:effectExtent l="0" t="0" r="0" b="0"/>
                  <wp:wrapNone/>
                  <wp:docPr id="932" name="AutoShape_1860_SpCnt_516"/>
                  <wp:cNvGraphicFramePr/>
                  <a:graphic xmlns:a="http://schemas.openxmlformats.org/drawingml/2006/main">
                    <a:graphicData uri="http://schemas.openxmlformats.org/drawingml/2006/picture">
                      <pic:pic xmlns:pic="http://schemas.openxmlformats.org/drawingml/2006/picture">
                        <pic:nvPicPr>
                          <pic:cNvPr id="932" name="AutoShape_1860_SpCnt_516"/>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28576" behindDoc="0" locked="0" layoutInCell="1" allowOverlap="1">
                  <wp:simplePos x="0" y="0"/>
                  <wp:positionH relativeFrom="column">
                    <wp:posOffset>0</wp:posOffset>
                  </wp:positionH>
                  <wp:positionV relativeFrom="paragraph">
                    <wp:posOffset>0</wp:posOffset>
                  </wp:positionV>
                  <wp:extent cx="304800" cy="299720"/>
                  <wp:effectExtent l="0" t="0" r="0" b="0"/>
                  <wp:wrapNone/>
                  <wp:docPr id="1002" name="AutoShape_1860_SpCnt_517"/>
                  <wp:cNvGraphicFramePr/>
                  <a:graphic xmlns:a="http://schemas.openxmlformats.org/drawingml/2006/main">
                    <a:graphicData uri="http://schemas.openxmlformats.org/drawingml/2006/picture">
                      <pic:pic xmlns:pic="http://schemas.openxmlformats.org/drawingml/2006/picture">
                        <pic:nvPicPr>
                          <pic:cNvPr id="1002" name="AutoShape_1860_SpCnt_517"/>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29600" behindDoc="0" locked="0" layoutInCell="1" allowOverlap="1">
                  <wp:simplePos x="0" y="0"/>
                  <wp:positionH relativeFrom="column">
                    <wp:posOffset>0</wp:posOffset>
                  </wp:positionH>
                  <wp:positionV relativeFrom="paragraph">
                    <wp:posOffset>0</wp:posOffset>
                  </wp:positionV>
                  <wp:extent cx="304800" cy="299720"/>
                  <wp:effectExtent l="0" t="0" r="0" b="0"/>
                  <wp:wrapNone/>
                  <wp:docPr id="1000" name="AutoShape_1860_SpCnt_518"/>
                  <wp:cNvGraphicFramePr/>
                  <a:graphic xmlns:a="http://schemas.openxmlformats.org/drawingml/2006/main">
                    <a:graphicData uri="http://schemas.openxmlformats.org/drawingml/2006/picture">
                      <pic:pic xmlns:pic="http://schemas.openxmlformats.org/drawingml/2006/picture">
                        <pic:nvPicPr>
                          <pic:cNvPr id="1000" name="AutoShape_1860_SpCnt_518"/>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30624" behindDoc="0" locked="0" layoutInCell="1" allowOverlap="1">
                  <wp:simplePos x="0" y="0"/>
                  <wp:positionH relativeFrom="column">
                    <wp:posOffset>0</wp:posOffset>
                  </wp:positionH>
                  <wp:positionV relativeFrom="paragraph">
                    <wp:posOffset>0</wp:posOffset>
                  </wp:positionV>
                  <wp:extent cx="304800" cy="299720"/>
                  <wp:effectExtent l="0" t="0" r="0" b="0"/>
                  <wp:wrapNone/>
                  <wp:docPr id="603" name="AutoShape_1860_SpCnt_519"/>
                  <wp:cNvGraphicFramePr/>
                  <a:graphic xmlns:a="http://schemas.openxmlformats.org/drawingml/2006/main">
                    <a:graphicData uri="http://schemas.openxmlformats.org/drawingml/2006/picture">
                      <pic:pic xmlns:pic="http://schemas.openxmlformats.org/drawingml/2006/picture">
                        <pic:nvPicPr>
                          <pic:cNvPr id="603" name="AutoShape_1860_SpCnt_519"/>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31648" behindDoc="0" locked="0" layoutInCell="1" allowOverlap="1">
                  <wp:simplePos x="0" y="0"/>
                  <wp:positionH relativeFrom="column">
                    <wp:posOffset>0</wp:posOffset>
                  </wp:positionH>
                  <wp:positionV relativeFrom="paragraph">
                    <wp:posOffset>0</wp:posOffset>
                  </wp:positionV>
                  <wp:extent cx="304800" cy="299720"/>
                  <wp:effectExtent l="0" t="0" r="0" b="0"/>
                  <wp:wrapNone/>
                  <wp:docPr id="627" name="AutoShape_1860_SpCnt_520"/>
                  <wp:cNvGraphicFramePr/>
                  <a:graphic xmlns:a="http://schemas.openxmlformats.org/drawingml/2006/main">
                    <a:graphicData uri="http://schemas.openxmlformats.org/drawingml/2006/picture">
                      <pic:pic xmlns:pic="http://schemas.openxmlformats.org/drawingml/2006/picture">
                        <pic:nvPicPr>
                          <pic:cNvPr id="627" name="AutoShape_1860_SpCnt_520"/>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32672" behindDoc="0" locked="0" layoutInCell="1" allowOverlap="1">
                  <wp:simplePos x="0" y="0"/>
                  <wp:positionH relativeFrom="column">
                    <wp:posOffset>0</wp:posOffset>
                  </wp:positionH>
                  <wp:positionV relativeFrom="paragraph">
                    <wp:posOffset>0</wp:posOffset>
                  </wp:positionV>
                  <wp:extent cx="304800" cy="299720"/>
                  <wp:effectExtent l="0" t="0" r="0" b="0"/>
                  <wp:wrapNone/>
                  <wp:docPr id="621" name="AutoShape_1860_SpCnt_521"/>
                  <wp:cNvGraphicFramePr/>
                  <a:graphic xmlns:a="http://schemas.openxmlformats.org/drawingml/2006/main">
                    <a:graphicData uri="http://schemas.openxmlformats.org/drawingml/2006/picture">
                      <pic:pic xmlns:pic="http://schemas.openxmlformats.org/drawingml/2006/picture">
                        <pic:nvPicPr>
                          <pic:cNvPr id="621" name="AutoShape_1860_SpCnt_521"/>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33696" behindDoc="0" locked="0" layoutInCell="1" allowOverlap="1">
                  <wp:simplePos x="0" y="0"/>
                  <wp:positionH relativeFrom="column">
                    <wp:posOffset>0</wp:posOffset>
                  </wp:positionH>
                  <wp:positionV relativeFrom="paragraph">
                    <wp:posOffset>0</wp:posOffset>
                  </wp:positionV>
                  <wp:extent cx="304800" cy="305435"/>
                  <wp:effectExtent l="0" t="0" r="0" b="0"/>
                  <wp:wrapNone/>
                  <wp:docPr id="632" name="AutoShape_1860_SpCnt_522"/>
                  <wp:cNvGraphicFramePr/>
                  <a:graphic xmlns:a="http://schemas.openxmlformats.org/drawingml/2006/main">
                    <a:graphicData uri="http://schemas.openxmlformats.org/drawingml/2006/picture">
                      <pic:pic xmlns:pic="http://schemas.openxmlformats.org/drawingml/2006/picture">
                        <pic:nvPicPr>
                          <pic:cNvPr id="632" name="AutoShape_1860_SpCnt_522"/>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34720" behindDoc="0" locked="0" layoutInCell="1" allowOverlap="1">
                  <wp:simplePos x="0" y="0"/>
                  <wp:positionH relativeFrom="column">
                    <wp:posOffset>0</wp:posOffset>
                  </wp:positionH>
                  <wp:positionV relativeFrom="paragraph">
                    <wp:posOffset>0</wp:posOffset>
                  </wp:positionV>
                  <wp:extent cx="304800" cy="305435"/>
                  <wp:effectExtent l="0" t="0" r="0" b="0"/>
                  <wp:wrapNone/>
                  <wp:docPr id="631" name="AutoShape_1860_SpCnt_523"/>
                  <wp:cNvGraphicFramePr/>
                  <a:graphic xmlns:a="http://schemas.openxmlformats.org/drawingml/2006/main">
                    <a:graphicData uri="http://schemas.openxmlformats.org/drawingml/2006/picture">
                      <pic:pic xmlns:pic="http://schemas.openxmlformats.org/drawingml/2006/picture">
                        <pic:nvPicPr>
                          <pic:cNvPr id="631" name="AutoShape_1860_SpCnt_523"/>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35744" behindDoc="0" locked="0" layoutInCell="1" allowOverlap="1">
                  <wp:simplePos x="0" y="0"/>
                  <wp:positionH relativeFrom="column">
                    <wp:posOffset>0</wp:posOffset>
                  </wp:positionH>
                  <wp:positionV relativeFrom="paragraph">
                    <wp:posOffset>0</wp:posOffset>
                  </wp:positionV>
                  <wp:extent cx="304800" cy="299720"/>
                  <wp:effectExtent l="0" t="0" r="0" b="0"/>
                  <wp:wrapNone/>
                  <wp:docPr id="620" name="AutoShape_1860_SpCnt_524"/>
                  <wp:cNvGraphicFramePr/>
                  <a:graphic xmlns:a="http://schemas.openxmlformats.org/drawingml/2006/main">
                    <a:graphicData uri="http://schemas.openxmlformats.org/drawingml/2006/picture">
                      <pic:pic xmlns:pic="http://schemas.openxmlformats.org/drawingml/2006/picture">
                        <pic:nvPicPr>
                          <pic:cNvPr id="620" name="AutoShape_1860_SpCnt_524"/>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36768" behindDoc="0" locked="0" layoutInCell="1" allowOverlap="1">
                  <wp:simplePos x="0" y="0"/>
                  <wp:positionH relativeFrom="column">
                    <wp:posOffset>0</wp:posOffset>
                  </wp:positionH>
                  <wp:positionV relativeFrom="paragraph">
                    <wp:posOffset>0</wp:posOffset>
                  </wp:positionV>
                  <wp:extent cx="304800" cy="299720"/>
                  <wp:effectExtent l="0" t="0" r="0" b="0"/>
                  <wp:wrapNone/>
                  <wp:docPr id="622" name="AutoShape_1860_SpCnt_525"/>
                  <wp:cNvGraphicFramePr/>
                  <a:graphic xmlns:a="http://schemas.openxmlformats.org/drawingml/2006/main">
                    <a:graphicData uri="http://schemas.openxmlformats.org/drawingml/2006/picture">
                      <pic:pic xmlns:pic="http://schemas.openxmlformats.org/drawingml/2006/picture">
                        <pic:nvPicPr>
                          <pic:cNvPr id="622" name="AutoShape_1860_SpCnt_525"/>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37792" behindDoc="0" locked="0" layoutInCell="1" allowOverlap="1">
                  <wp:simplePos x="0" y="0"/>
                  <wp:positionH relativeFrom="column">
                    <wp:posOffset>0</wp:posOffset>
                  </wp:positionH>
                  <wp:positionV relativeFrom="paragraph">
                    <wp:posOffset>0</wp:posOffset>
                  </wp:positionV>
                  <wp:extent cx="304800" cy="305435"/>
                  <wp:effectExtent l="0" t="0" r="0" b="0"/>
                  <wp:wrapNone/>
                  <wp:docPr id="623" name="AutoShape_1860_SpCnt_526"/>
                  <wp:cNvGraphicFramePr/>
                  <a:graphic xmlns:a="http://schemas.openxmlformats.org/drawingml/2006/main">
                    <a:graphicData uri="http://schemas.openxmlformats.org/drawingml/2006/picture">
                      <pic:pic xmlns:pic="http://schemas.openxmlformats.org/drawingml/2006/picture">
                        <pic:nvPicPr>
                          <pic:cNvPr id="623" name="AutoShape_1860_SpCnt_526"/>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38816" behindDoc="0" locked="0" layoutInCell="1" allowOverlap="1">
                  <wp:simplePos x="0" y="0"/>
                  <wp:positionH relativeFrom="column">
                    <wp:posOffset>0</wp:posOffset>
                  </wp:positionH>
                  <wp:positionV relativeFrom="paragraph">
                    <wp:posOffset>0</wp:posOffset>
                  </wp:positionV>
                  <wp:extent cx="304800" cy="299720"/>
                  <wp:effectExtent l="0" t="0" r="0" b="0"/>
                  <wp:wrapNone/>
                  <wp:docPr id="619" name="AutoShape_1860_SpCnt_527"/>
                  <wp:cNvGraphicFramePr/>
                  <a:graphic xmlns:a="http://schemas.openxmlformats.org/drawingml/2006/main">
                    <a:graphicData uri="http://schemas.openxmlformats.org/drawingml/2006/picture">
                      <pic:pic xmlns:pic="http://schemas.openxmlformats.org/drawingml/2006/picture">
                        <pic:nvPicPr>
                          <pic:cNvPr id="619" name="AutoShape_1860_SpCnt_527"/>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39840" behindDoc="0" locked="0" layoutInCell="1" allowOverlap="1">
                  <wp:simplePos x="0" y="0"/>
                  <wp:positionH relativeFrom="column">
                    <wp:posOffset>0</wp:posOffset>
                  </wp:positionH>
                  <wp:positionV relativeFrom="paragraph">
                    <wp:posOffset>0</wp:posOffset>
                  </wp:positionV>
                  <wp:extent cx="304800" cy="305435"/>
                  <wp:effectExtent l="0" t="0" r="0" b="0"/>
                  <wp:wrapNone/>
                  <wp:docPr id="624" name="AutoShape_1860_SpCnt_528"/>
                  <wp:cNvGraphicFramePr/>
                  <a:graphic xmlns:a="http://schemas.openxmlformats.org/drawingml/2006/main">
                    <a:graphicData uri="http://schemas.openxmlformats.org/drawingml/2006/picture">
                      <pic:pic xmlns:pic="http://schemas.openxmlformats.org/drawingml/2006/picture">
                        <pic:nvPicPr>
                          <pic:cNvPr id="624" name="AutoShape_1860_SpCnt_528"/>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40864" behindDoc="0" locked="0" layoutInCell="1" allowOverlap="1">
                  <wp:simplePos x="0" y="0"/>
                  <wp:positionH relativeFrom="column">
                    <wp:posOffset>0</wp:posOffset>
                  </wp:positionH>
                  <wp:positionV relativeFrom="paragraph">
                    <wp:posOffset>0</wp:posOffset>
                  </wp:positionV>
                  <wp:extent cx="304800" cy="299720"/>
                  <wp:effectExtent l="0" t="0" r="0" b="0"/>
                  <wp:wrapNone/>
                  <wp:docPr id="625" name="AutoShape_1860_SpCnt_529"/>
                  <wp:cNvGraphicFramePr/>
                  <a:graphic xmlns:a="http://schemas.openxmlformats.org/drawingml/2006/main">
                    <a:graphicData uri="http://schemas.openxmlformats.org/drawingml/2006/picture">
                      <pic:pic xmlns:pic="http://schemas.openxmlformats.org/drawingml/2006/picture">
                        <pic:nvPicPr>
                          <pic:cNvPr id="625" name="AutoShape_1860_SpCnt_529"/>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41888" behindDoc="0" locked="0" layoutInCell="1" allowOverlap="1">
                  <wp:simplePos x="0" y="0"/>
                  <wp:positionH relativeFrom="column">
                    <wp:posOffset>0</wp:posOffset>
                  </wp:positionH>
                  <wp:positionV relativeFrom="paragraph">
                    <wp:posOffset>0</wp:posOffset>
                  </wp:positionV>
                  <wp:extent cx="304800" cy="305435"/>
                  <wp:effectExtent l="0" t="0" r="0" b="0"/>
                  <wp:wrapNone/>
                  <wp:docPr id="630" name="AutoShape_1860_SpCnt_530"/>
                  <wp:cNvGraphicFramePr/>
                  <a:graphic xmlns:a="http://schemas.openxmlformats.org/drawingml/2006/main">
                    <a:graphicData uri="http://schemas.openxmlformats.org/drawingml/2006/picture">
                      <pic:pic xmlns:pic="http://schemas.openxmlformats.org/drawingml/2006/picture">
                        <pic:nvPicPr>
                          <pic:cNvPr id="630" name="AutoShape_1860_SpCnt_530"/>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42912" behindDoc="0" locked="0" layoutInCell="1" allowOverlap="1">
                  <wp:simplePos x="0" y="0"/>
                  <wp:positionH relativeFrom="column">
                    <wp:posOffset>0</wp:posOffset>
                  </wp:positionH>
                  <wp:positionV relativeFrom="paragraph">
                    <wp:posOffset>0</wp:posOffset>
                  </wp:positionV>
                  <wp:extent cx="304800" cy="305435"/>
                  <wp:effectExtent l="0" t="0" r="0" b="0"/>
                  <wp:wrapNone/>
                  <wp:docPr id="626" name="AutoShape_1860_SpCnt_531"/>
                  <wp:cNvGraphicFramePr/>
                  <a:graphic xmlns:a="http://schemas.openxmlformats.org/drawingml/2006/main">
                    <a:graphicData uri="http://schemas.openxmlformats.org/drawingml/2006/picture">
                      <pic:pic xmlns:pic="http://schemas.openxmlformats.org/drawingml/2006/picture">
                        <pic:nvPicPr>
                          <pic:cNvPr id="626" name="AutoShape_1860_SpCnt_531"/>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43936" behindDoc="0" locked="0" layoutInCell="1" allowOverlap="1">
                  <wp:simplePos x="0" y="0"/>
                  <wp:positionH relativeFrom="column">
                    <wp:posOffset>0</wp:posOffset>
                  </wp:positionH>
                  <wp:positionV relativeFrom="paragraph">
                    <wp:posOffset>0</wp:posOffset>
                  </wp:positionV>
                  <wp:extent cx="304800" cy="305435"/>
                  <wp:effectExtent l="0" t="0" r="0" b="0"/>
                  <wp:wrapNone/>
                  <wp:docPr id="634" name="AutoShape_1860_SpCnt_532"/>
                  <wp:cNvGraphicFramePr/>
                  <a:graphic xmlns:a="http://schemas.openxmlformats.org/drawingml/2006/main">
                    <a:graphicData uri="http://schemas.openxmlformats.org/drawingml/2006/picture">
                      <pic:pic xmlns:pic="http://schemas.openxmlformats.org/drawingml/2006/picture">
                        <pic:nvPicPr>
                          <pic:cNvPr id="634" name="AutoShape_1860_SpCnt_532"/>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44960" behindDoc="0" locked="0" layoutInCell="1" allowOverlap="1">
                  <wp:simplePos x="0" y="0"/>
                  <wp:positionH relativeFrom="column">
                    <wp:posOffset>0</wp:posOffset>
                  </wp:positionH>
                  <wp:positionV relativeFrom="paragraph">
                    <wp:posOffset>0</wp:posOffset>
                  </wp:positionV>
                  <wp:extent cx="304800" cy="305435"/>
                  <wp:effectExtent l="0" t="0" r="0" b="0"/>
                  <wp:wrapNone/>
                  <wp:docPr id="614" name="AutoShape_1860_SpCnt_533"/>
                  <wp:cNvGraphicFramePr/>
                  <a:graphic xmlns:a="http://schemas.openxmlformats.org/drawingml/2006/main">
                    <a:graphicData uri="http://schemas.openxmlformats.org/drawingml/2006/picture">
                      <pic:pic xmlns:pic="http://schemas.openxmlformats.org/drawingml/2006/picture">
                        <pic:nvPicPr>
                          <pic:cNvPr id="614" name="AutoShape_1860_SpCnt_533"/>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45984" behindDoc="0" locked="0" layoutInCell="1" allowOverlap="1">
                  <wp:simplePos x="0" y="0"/>
                  <wp:positionH relativeFrom="column">
                    <wp:posOffset>0</wp:posOffset>
                  </wp:positionH>
                  <wp:positionV relativeFrom="paragraph">
                    <wp:posOffset>0</wp:posOffset>
                  </wp:positionV>
                  <wp:extent cx="304800" cy="305435"/>
                  <wp:effectExtent l="0" t="0" r="0" b="0"/>
                  <wp:wrapNone/>
                  <wp:docPr id="613" name="AutoShape_1860_SpCnt_534"/>
                  <wp:cNvGraphicFramePr/>
                  <a:graphic xmlns:a="http://schemas.openxmlformats.org/drawingml/2006/main">
                    <a:graphicData uri="http://schemas.openxmlformats.org/drawingml/2006/picture">
                      <pic:pic xmlns:pic="http://schemas.openxmlformats.org/drawingml/2006/picture">
                        <pic:nvPicPr>
                          <pic:cNvPr id="613" name="AutoShape_1860_SpCnt_534"/>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47008" behindDoc="0" locked="0" layoutInCell="1" allowOverlap="1">
                  <wp:simplePos x="0" y="0"/>
                  <wp:positionH relativeFrom="column">
                    <wp:posOffset>0</wp:posOffset>
                  </wp:positionH>
                  <wp:positionV relativeFrom="paragraph">
                    <wp:posOffset>0</wp:posOffset>
                  </wp:positionV>
                  <wp:extent cx="304800" cy="305435"/>
                  <wp:effectExtent l="0" t="0" r="0" b="0"/>
                  <wp:wrapNone/>
                  <wp:docPr id="616" name="AutoShape_1860_SpCnt_535"/>
                  <wp:cNvGraphicFramePr/>
                  <a:graphic xmlns:a="http://schemas.openxmlformats.org/drawingml/2006/main">
                    <a:graphicData uri="http://schemas.openxmlformats.org/drawingml/2006/picture">
                      <pic:pic xmlns:pic="http://schemas.openxmlformats.org/drawingml/2006/picture">
                        <pic:nvPicPr>
                          <pic:cNvPr id="616" name="AutoShape_1860_SpCnt_535"/>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48032" behindDoc="0" locked="0" layoutInCell="1" allowOverlap="1">
                  <wp:simplePos x="0" y="0"/>
                  <wp:positionH relativeFrom="column">
                    <wp:posOffset>0</wp:posOffset>
                  </wp:positionH>
                  <wp:positionV relativeFrom="paragraph">
                    <wp:posOffset>0</wp:posOffset>
                  </wp:positionV>
                  <wp:extent cx="304800" cy="299720"/>
                  <wp:effectExtent l="0" t="0" r="0" b="0"/>
                  <wp:wrapNone/>
                  <wp:docPr id="612" name="AutoShape_1860_SpCnt_536"/>
                  <wp:cNvGraphicFramePr/>
                  <a:graphic xmlns:a="http://schemas.openxmlformats.org/drawingml/2006/main">
                    <a:graphicData uri="http://schemas.openxmlformats.org/drawingml/2006/picture">
                      <pic:pic xmlns:pic="http://schemas.openxmlformats.org/drawingml/2006/picture">
                        <pic:nvPicPr>
                          <pic:cNvPr id="612" name="AutoShape_1860_SpCnt_536"/>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49056" behindDoc="0" locked="0" layoutInCell="1" allowOverlap="1">
                  <wp:simplePos x="0" y="0"/>
                  <wp:positionH relativeFrom="column">
                    <wp:posOffset>0</wp:posOffset>
                  </wp:positionH>
                  <wp:positionV relativeFrom="paragraph">
                    <wp:posOffset>0</wp:posOffset>
                  </wp:positionV>
                  <wp:extent cx="304800" cy="299720"/>
                  <wp:effectExtent l="0" t="0" r="0" b="0"/>
                  <wp:wrapNone/>
                  <wp:docPr id="638" name="AutoShape_1860_SpCnt_537"/>
                  <wp:cNvGraphicFramePr/>
                  <a:graphic xmlns:a="http://schemas.openxmlformats.org/drawingml/2006/main">
                    <a:graphicData uri="http://schemas.openxmlformats.org/drawingml/2006/picture">
                      <pic:pic xmlns:pic="http://schemas.openxmlformats.org/drawingml/2006/picture">
                        <pic:nvPicPr>
                          <pic:cNvPr id="638" name="AutoShape_1860_SpCnt_537"/>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50080" behindDoc="0" locked="0" layoutInCell="1" allowOverlap="1">
                  <wp:simplePos x="0" y="0"/>
                  <wp:positionH relativeFrom="column">
                    <wp:posOffset>0</wp:posOffset>
                  </wp:positionH>
                  <wp:positionV relativeFrom="paragraph">
                    <wp:posOffset>0</wp:posOffset>
                  </wp:positionV>
                  <wp:extent cx="304800" cy="305435"/>
                  <wp:effectExtent l="0" t="0" r="0" b="0"/>
                  <wp:wrapNone/>
                  <wp:docPr id="611" name="AutoShape_1860_SpCnt_538"/>
                  <wp:cNvGraphicFramePr/>
                  <a:graphic xmlns:a="http://schemas.openxmlformats.org/drawingml/2006/main">
                    <a:graphicData uri="http://schemas.openxmlformats.org/drawingml/2006/picture">
                      <pic:pic xmlns:pic="http://schemas.openxmlformats.org/drawingml/2006/picture">
                        <pic:nvPicPr>
                          <pic:cNvPr id="611" name="AutoShape_1860_SpCnt_538"/>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51104" behindDoc="0" locked="0" layoutInCell="1" allowOverlap="1">
                  <wp:simplePos x="0" y="0"/>
                  <wp:positionH relativeFrom="column">
                    <wp:posOffset>0</wp:posOffset>
                  </wp:positionH>
                  <wp:positionV relativeFrom="paragraph">
                    <wp:posOffset>0</wp:posOffset>
                  </wp:positionV>
                  <wp:extent cx="304800" cy="299720"/>
                  <wp:effectExtent l="0" t="0" r="0" b="0"/>
                  <wp:wrapNone/>
                  <wp:docPr id="633" name="AutoShape_1860_SpCnt_539"/>
                  <wp:cNvGraphicFramePr/>
                  <a:graphic xmlns:a="http://schemas.openxmlformats.org/drawingml/2006/main">
                    <a:graphicData uri="http://schemas.openxmlformats.org/drawingml/2006/picture">
                      <pic:pic xmlns:pic="http://schemas.openxmlformats.org/drawingml/2006/picture">
                        <pic:nvPicPr>
                          <pic:cNvPr id="633" name="AutoShape_1860_SpCnt_539"/>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52128" behindDoc="0" locked="0" layoutInCell="1" allowOverlap="1">
                  <wp:simplePos x="0" y="0"/>
                  <wp:positionH relativeFrom="column">
                    <wp:posOffset>0</wp:posOffset>
                  </wp:positionH>
                  <wp:positionV relativeFrom="paragraph">
                    <wp:posOffset>0</wp:posOffset>
                  </wp:positionV>
                  <wp:extent cx="304800" cy="299720"/>
                  <wp:effectExtent l="0" t="0" r="0" b="0"/>
                  <wp:wrapNone/>
                  <wp:docPr id="610" name="AutoShape_1860_SpCnt_540"/>
                  <wp:cNvGraphicFramePr/>
                  <a:graphic xmlns:a="http://schemas.openxmlformats.org/drawingml/2006/main">
                    <a:graphicData uri="http://schemas.openxmlformats.org/drawingml/2006/picture">
                      <pic:pic xmlns:pic="http://schemas.openxmlformats.org/drawingml/2006/picture">
                        <pic:nvPicPr>
                          <pic:cNvPr id="610" name="AutoShape_1860_SpCnt_540"/>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53152" behindDoc="0" locked="0" layoutInCell="1" allowOverlap="1">
                  <wp:simplePos x="0" y="0"/>
                  <wp:positionH relativeFrom="column">
                    <wp:posOffset>0</wp:posOffset>
                  </wp:positionH>
                  <wp:positionV relativeFrom="paragraph">
                    <wp:posOffset>0</wp:posOffset>
                  </wp:positionV>
                  <wp:extent cx="304800" cy="299720"/>
                  <wp:effectExtent l="0" t="0" r="0" b="0"/>
                  <wp:wrapNone/>
                  <wp:docPr id="609" name="AutoShape_1860_SpCnt_541"/>
                  <wp:cNvGraphicFramePr/>
                  <a:graphic xmlns:a="http://schemas.openxmlformats.org/drawingml/2006/main">
                    <a:graphicData uri="http://schemas.openxmlformats.org/drawingml/2006/picture">
                      <pic:pic xmlns:pic="http://schemas.openxmlformats.org/drawingml/2006/picture">
                        <pic:nvPicPr>
                          <pic:cNvPr id="609" name="AutoShape_1860_SpCnt_541"/>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54176" behindDoc="0" locked="0" layoutInCell="1" allowOverlap="1">
                  <wp:simplePos x="0" y="0"/>
                  <wp:positionH relativeFrom="column">
                    <wp:posOffset>0</wp:posOffset>
                  </wp:positionH>
                  <wp:positionV relativeFrom="paragraph">
                    <wp:posOffset>0</wp:posOffset>
                  </wp:positionV>
                  <wp:extent cx="304800" cy="305435"/>
                  <wp:effectExtent l="0" t="0" r="0" b="0"/>
                  <wp:wrapNone/>
                  <wp:docPr id="608" name="AutoShape_1860_SpCnt_542"/>
                  <wp:cNvGraphicFramePr/>
                  <a:graphic xmlns:a="http://schemas.openxmlformats.org/drawingml/2006/main">
                    <a:graphicData uri="http://schemas.openxmlformats.org/drawingml/2006/picture">
                      <pic:pic xmlns:pic="http://schemas.openxmlformats.org/drawingml/2006/picture">
                        <pic:nvPicPr>
                          <pic:cNvPr id="608" name="AutoShape_1860_SpCnt_542"/>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55200" behindDoc="0" locked="0" layoutInCell="1" allowOverlap="1">
                  <wp:simplePos x="0" y="0"/>
                  <wp:positionH relativeFrom="column">
                    <wp:posOffset>0</wp:posOffset>
                  </wp:positionH>
                  <wp:positionV relativeFrom="paragraph">
                    <wp:posOffset>0</wp:posOffset>
                  </wp:positionV>
                  <wp:extent cx="304800" cy="305435"/>
                  <wp:effectExtent l="0" t="0" r="0" b="0"/>
                  <wp:wrapNone/>
                  <wp:docPr id="607" name="AutoShape_1860_SpCnt_543"/>
                  <wp:cNvGraphicFramePr/>
                  <a:graphic xmlns:a="http://schemas.openxmlformats.org/drawingml/2006/main">
                    <a:graphicData uri="http://schemas.openxmlformats.org/drawingml/2006/picture">
                      <pic:pic xmlns:pic="http://schemas.openxmlformats.org/drawingml/2006/picture">
                        <pic:nvPicPr>
                          <pic:cNvPr id="607" name="AutoShape_1860_SpCnt_543"/>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56224" behindDoc="0" locked="0" layoutInCell="1" allowOverlap="1">
                  <wp:simplePos x="0" y="0"/>
                  <wp:positionH relativeFrom="column">
                    <wp:posOffset>0</wp:posOffset>
                  </wp:positionH>
                  <wp:positionV relativeFrom="paragraph">
                    <wp:posOffset>0</wp:posOffset>
                  </wp:positionV>
                  <wp:extent cx="304800" cy="305435"/>
                  <wp:effectExtent l="0" t="0" r="0" b="0"/>
                  <wp:wrapNone/>
                  <wp:docPr id="606" name="AutoShape_1860_SpCnt_544"/>
                  <wp:cNvGraphicFramePr/>
                  <a:graphic xmlns:a="http://schemas.openxmlformats.org/drawingml/2006/main">
                    <a:graphicData uri="http://schemas.openxmlformats.org/drawingml/2006/picture">
                      <pic:pic xmlns:pic="http://schemas.openxmlformats.org/drawingml/2006/picture">
                        <pic:nvPicPr>
                          <pic:cNvPr id="606" name="AutoShape_1860_SpCnt_544"/>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57248" behindDoc="0" locked="0" layoutInCell="1" allowOverlap="1">
                  <wp:simplePos x="0" y="0"/>
                  <wp:positionH relativeFrom="column">
                    <wp:posOffset>0</wp:posOffset>
                  </wp:positionH>
                  <wp:positionV relativeFrom="paragraph">
                    <wp:posOffset>0</wp:posOffset>
                  </wp:positionV>
                  <wp:extent cx="304800" cy="305435"/>
                  <wp:effectExtent l="0" t="0" r="0" b="0"/>
                  <wp:wrapNone/>
                  <wp:docPr id="605" name="AutoShape_1860_SpCnt_545"/>
                  <wp:cNvGraphicFramePr/>
                  <a:graphic xmlns:a="http://schemas.openxmlformats.org/drawingml/2006/main">
                    <a:graphicData uri="http://schemas.openxmlformats.org/drawingml/2006/picture">
                      <pic:pic xmlns:pic="http://schemas.openxmlformats.org/drawingml/2006/picture">
                        <pic:nvPicPr>
                          <pic:cNvPr id="605" name="AutoShape_1860_SpCnt_545"/>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58272" behindDoc="0" locked="0" layoutInCell="1" allowOverlap="1">
                  <wp:simplePos x="0" y="0"/>
                  <wp:positionH relativeFrom="column">
                    <wp:posOffset>0</wp:posOffset>
                  </wp:positionH>
                  <wp:positionV relativeFrom="paragraph">
                    <wp:posOffset>0</wp:posOffset>
                  </wp:positionV>
                  <wp:extent cx="304800" cy="299720"/>
                  <wp:effectExtent l="0" t="0" r="0" b="0"/>
                  <wp:wrapNone/>
                  <wp:docPr id="586" name="AutoShape_1860_SpCnt_546"/>
                  <wp:cNvGraphicFramePr/>
                  <a:graphic xmlns:a="http://schemas.openxmlformats.org/drawingml/2006/main">
                    <a:graphicData uri="http://schemas.openxmlformats.org/drawingml/2006/picture">
                      <pic:pic xmlns:pic="http://schemas.openxmlformats.org/drawingml/2006/picture">
                        <pic:nvPicPr>
                          <pic:cNvPr id="586" name="AutoShape_1860_SpCnt_546"/>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59296" behindDoc="0" locked="0" layoutInCell="1" allowOverlap="1">
                  <wp:simplePos x="0" y="0"/>
                  <wp:positionH relativeFrom="column">
                    <wp:posOffset>0</wp:posOffset>
                  </wp:positionH>
                  <wp:positionV relativeFrom="paragraph">
                    <wp:posOffset>0</wp:posOffset>
                  </wp:positionV>
                  <wp:extent cx="304800" cy="305435"/>
                  <wp:effectExtent l="0" t="0" r="0" b="0"/>
                  <wp:wrapNone/>
                  <wp:docPr id="604" name="AutoShape_1860_SpCnt_547"/>
                  <wp:cNvGraphicFramePr/>
                  <a:graphic xmlns:a="http://schemas.openxmlformats.org/drawingml/2006/main">
                    <a:graphicData uri="http://schemas.openxmlformats.org/drawingml/2006/picture">
                      <pic:pic xmlns:pic="http://schemas.openxmlformats.org/drawingml/2006/picture">
                        <pic:nvPicPr>
                          <pic:cNvPr id="604" name="AutoShape_1860_SpCnt_547"/>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60320" behindDoc="0" locked="0" layoutInCell="1" allowOverlap="1">
                  <wp:simplePos x="0" y="0"/>
                  <wp:positionH relativeFrom="column">
                    <wp:posOffset>0</wp:posOffset>
                  </wp:positionH>
                  <wp:positionV relativeFrom="paragraph">
                    <wp:posOffset>0</wp:posOffset>
                  </wp:positionV>
                  <wp:extent cx="304800" cy="305435"/>
                  <wp:effectExtent l="0" t="0" r="0" b="0"/>
                  <wp:wrapNone/>
                  <wp:docPr id="602" name="AutoShape_1860_SpCnt_548"/>
                  <wp:cNvGraphicFramePr/>
                  <a:graphic xmlns:a="http://schemas.openxmlformats.org/drawingml/2006/main">
                    <a:graphicData uri="http://schemas.openxmlformats.org/drawingml/2006/picture">
                      <pic:pic xmlns:pic="http://schemas.openxmlformats.org/drawingml/2006/picture">
                        <pic:nvPicPr>
                          <pic:cNvPr id="602" name="AutoShape_1860_SpCnt_548"/>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61344" behindDoc="0" locked="0" layoutInCell="1" allowOverlap="1">
                  <wp:simplePos x="0" y="0"/>
                  <wp:positionH relativeFrom="column">
                    <wp:posOffset>0</wp:posOffset>
                  </wp:positionH>
                  <wp:positionV relativeFrom="paragraph">
                    <wp:posOffset>0</wp:posOffset>
                  </wp:positionV>
                  <wp:extent cx="304800" cy="305435"/>
                  <wp:effectExtent l="0" t="0" r="0" b="0"/>
                  <wp:wrapNone/>
                  <wp:docPr id="600" name="AutoShape_1860_SpCnt_549"/>
                  <wp:cNvGraphicFramePr/>
                  <a:graphic xmlns:a="http://schemas.openxmlformats.org/drawingml/2006/main">
                    <a:graphicData uri="http://schemas.openxmlformats.org/drawingml/2006/picture">
                      <pic:pic xmlns:pic="http://schemas.openxmlformats.org/drawingml/2006/picture">
                        <pic:nvPicPr>
                          <pic:cNvPr id="600" name="AutoShape_1860_SpCnt_549"/>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62368" behindDoc="0" locked="0" layoutInCell="1" allowOverlap="1">
                  <wp:simplePos x="0" y="0"/>
                  <wp:positionH relativeFrom="column">
                    <wp:posOffset>0</wp:posOffset>
                  </wp:positionH>
                  <wp:positionV relativeFrom="paragraph">
                    <wp:posOffset>0</wp:posOffset>
                  </wp:positionV>
                  <wp:extent cx="304800" cy="305435"/>
                  <wp:effectExtent l="0" t="0" r="0" b="0"/>
                  <wp:wrapNone/>
                  <wp:docPr id="628" name="AutoShape_1860_SpCnt_550"/>
                  <wp:cNvGraphicFramePr/>
                  <a:graphic xmlns:a="http://schemas.openxmlformats.org/drawingml/2006/main">
                    <a:graphicData uri="http://schemas.openxmlformats.org/drawingml/2006/picture">
                      <pic:pic xmlns:pic="http://schemas.openxmlformats.org/drawingml/2006/picture">
                        <pic:nvPicPr>
                          <pic:cNvPr id="628" name="AutoShape_1860_SpCnt_550"/>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63392" behindDoc="0" locked="0" layoutInCell="1" allowOverlap="1">
                  <wp:simplePos x="0" y="0"/>
                  <wp:positionH relativeFrom="column">
                    <wp:posOffset>0</wp:posOffset>
                  </wp:positionH>
                  <wp:positionV relativeFrom="paragraph">
                    <wp:posOffset>0</wp:posOffset>
                  </wp:positionV>
                  <wp:extent cx="304800" cy="299720"/>
                  <wp:effectExtent l="0" t="0" r="0" b="0"/>
                  <wp:wrapNone/>
                  <wp:docPr id="599" name="AutoShape_1860_SpCnt_551"/>
                  <wp:cNvGraphicFramePr/>
                  <a:graphic xmlns:a="http://schemas.openxmlformats.org/drawingml/2006/main">
                    <a:graphicData uri="http://schemas.openxmlformats.org/drawingml/2006/picture">
                      <pic:pic xmlns:pic="http://schemas.openxmlformats.org/drawingml/2006/picture">
                        <pic:nvPicPr>
                          <pic:cNvPr id="599" name="AutoShape_1860_SpCnt_551"/>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64416" behindDoc="0" locked="0" layoutInCell="1" allowOverlap="1">
                  <wp:simplePos x="0" y="0"/>
                  <wp:positionH relativeFrom="column">
                    <wp:posOffset>0</wp:posOffset>
                  </wp:positionH>
                  <wp:positionV relativeFrom="paragraph">
                    <wp:posOffset>0</wp:posOffset>
                  </wp:positionV>
                  <wp:extent cx="304800" cy="299720"/>
                  <wp:effectExtent l="0" t="0" r="0" b="0"/>
                  <wp:wrapNone/>
                  <wp:docPr id="598" name="AutoShape_1860_SpCnt_552"/>
                  <wp:cNvGraphicFramePr/>
                  <a:graphic xmlns:a="http://schemas.openxmlformats.org/drawingml/2006/main">
                    <a:graphicData uri="http://schemas.openxmlformats.org/drawingml/2006/picture">
                      <pic:pic xmlns:pic="http://schemas.openxmlformats.org/drawingml/2006/picture">
                        <pic:nvPicPr>
                          <pic:cNvPr id="598" name="AutoShape_1860_SpCnt_552"/>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65440" behindDoc="0" locked="0" layoutInCell="1" allowOverlap="1">
                  <wp:simplePos x="0" y="0"/>
                  <wp:positionH relativeFrom="column">
                    <wp:posOffset>0</wp:posOffset>
                  </wp:positionH>
                  <wp:positionV relativeFrom="paragraph">
                    <wp:posOffset>0</wp:posOffset>
                  </wp:positionV>
                  <wp:extent cx="304800" cy="299720"/>
                  <wp:effectExtent l="0" t="0" r="0" b="0"/>
                  <wp:wrapNone/>
                  <wp:docPr id="639" name="AutoShape_1860_SpCnt_553"/>
                  <wp:cNvGraphicFramePr/>
                  <a:graphic xmlns:a="http://schemas.openxmlformats.org/drawingml/2006/main">
                    <a:graphicData uri="http://schemas.openxmlformats.org/drawingml/2006/picture">
                      <pic:pic xmlns:pic="http://schemas.openxmlformats.org/drawingml/2006/picture">
                        <pic:nvPicPr>
                          <pic:cNvPr id="639" name="AutoShape_1860_SpCnt_553"/>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66464" behindDoc="0" locked="0" layoutInCell="1" allowOverlap="1">
                  <wp:simplePos x="0" y="0"/>
                  <wp:positionH relativeFrom="column">
                    <wp:posOffset>0</wp:posOffset>
                  </wp:positionH>
                  <wp:positionV relativeFrom="paragraph">
                    <wp:posOffset>0</wp:posOffset>
                  </wp:positionV>
                  <wp:extent cx="304800" cy="299720"/>
                  <wp:effectExtent l="0" t="0" r="0" b="0"/>
                  <wp:wrapNone/>
                  <wp:docPr id="597" name="AutoShape_1860_SpCnt_554"/>
                  <wp:cNvGraphicFramePr/>
                  <a:graphic xmlns:a="http://schemas.openxmlformats.org/drawingml/2006/main">
                    <a:graphicData uri="http://schemas.openxmlformats.org/drawingml/2006/picture">
                      <pic:pic xmlns:pic="http://schemas.openxmlformats.org/drawingml/2006/picture">
                        <pic:nvPicPr>
                          <pic:cNvPr id="597" name="AutoShape_1860_SpCnt_554"/>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67488" behindDoc="0" locked="0" layoutInCell="1" allowOverlap="1">
                  <wp:simplePos x="0" y="0"/>
                  <wp:positionH relativeFrom="column">
                    <wp:posOffset>0</wp:posOffset>
                  </wp:positionH>
                  <wp:positionV relativeFrom="paragraph">
                    <wp:posOffset>0</wp:posOffset>
                  </wp:positionV>
                  <wp:extent cx="304800" cy="299720"/>
                  <wp:effectExtent l="0" t="0" r="0" b="0"/>
                  <wp:wrapNone/>
                  <wp:docPr id="596" name="AutoShape_1860_SpCnt_555"/>
                  <wp:cNvGraphicFramePr/>
                  <a:graphic xmlns:a="http://schemas.openxmlformats.org/drawingml/2006/main">
                    <a:graphicData uri="http://schemas.openxmlformats.org/drawingml/2006/picture">
                      <pic:pic xmlns:pic="http://schemas.openxmlformats.org/drawingml/2006/picture">
                        <pic:nvPicPr>
                          <pic:cNvPr id="596" name="AutoShape_1860_SpCnt_555"/>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68512" behindDoc="0" locked="0" layoutInCell="1" allowOverlap="1">
                  <wp:simplePos x="0" y="0"/>
                  <wp:positionH relativeFrom="column">
                    <wp:posOffset>0</wp:posOffset>
                  </wp:positionH>
                  <wp:positionV relativeFrom="paragraph">
                    <wp:posOffset>0</wp:posOffset>
                  </wp:positionV>
                  <wp:extent cx="304800" cy="305435"/>
                  <wp:effectExtent l="0" t="0" r="0" b="0"/>
                  <wp:wrapNone/>
                  <wp:docPr id="595" name="AutoShape_1860_SpCnt_556"/>
                  <wp:cNvGraphicFramePr/>
                  <a:graphic xmlns:a="http://schemas.openxmlformats.org/drawingml/2006/main">
                    <a:graphicData uri="http://schemas.openxmlformats.org/drawingml/2006/picture">
                      <pic:pic xmlns:pic="http://schemas.openxmlformats.org/drawingml/2006/picture">
                        <pic:nvPicPr>
                          <pic:cNvPr id="595" name="AutoShape_1860_SpCnt_556"/>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69536" behindDoc="0" locked="0" layoutInCell="1" allowOverlap="1">
                  <wp:simplePos x="0" y="0"/>
                  <wp:positionH relativeFrom="column">
                    <wp:posOffset>0</wp:posOffset>
                  </wp:positionH>
                  <wp:positionV relativeFrom="paragraph">
                    <wp:posOffset>0</wp:posOffset>
                  </wp:positionV>
                  <wp:extent cx="304800" cy="305435"/>
                  <wp:effectExtent l="0" t="0" r="0" b="0"/>
                  <wp:wrapNone/>
                  <wp:docPr id="637" name="AutoShape_1860_SpCnt_557"/>
                  <wp:cNvGraphicFramePr/>
                  <a:graphic xmlns:a="http://schemas.openxmlformats.org/drawingml/2006/main">
                    <a:graphicData uri="http://schemas.openxmlformats.org/drawingml/2006/picture">
                      <pic:pic xmlns:pic="http://schemas.openxmlformats.org/drawingml/2006/picture">
                        <pic:nvPicPr>
                          <pic:cNvPr id="637" name="AutoShape_1860_SpCnt_557"/>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70560" behindDoc="0" locked="0" layoutInCell="1" allowOverlap="1">
                  <wp:simplePos x="0" y="0"/>
                  <wp:positionH relativeFrom="column">
                    <wp:posOffset>0</wp:posOffset>
                  </wp:positionH>
                  <wp:positionV relativeFrom="paragraph">
                    <wp:posOffset>0</wp:posOffset>
                  </wp:positionV>
                  <wp:extent cx="304800" cy="305435"/>
                  <wp:effectExtent l="0" t="0" r="0" b="0"/>
                  <wp:wrapNone/>
                  <wp:docPr id="618" name="AutoShape_1860_SpCnt_558"/>
                  <wp:cNvGraphicFramePr/>
                  <a:graphic xmlns:a="http://schemas.openxmlformats.org/drawingml/2006/main">
                    <a:graphicData uri="http://schemas.openxmlformats.org/drawingml/2006/picture">
                      <pic:pic xmlns:pic="http://schemas.openxmlformats.org/drawingml/2006/picture">
                        <pic:nvPicPr>
                          <pic:cNvPr id="618" name="AutoShape_1860_SpCnt_558"/>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71584" behindDoc="0" locked="0" layoutInCell="1" allowOverlap="1">
                  <wp:simplePos x="0" y="0"/>
                  <wp:positionH relativeFrom="column">
                    <wp:posOffset>0</wp:posOffset>
                  </wp:positionH>
                  <wp:positionV relativeFrom="paragraph">
                    <wp:posOffset>0</wp:posOffset>
                  </wp:positionV>
                  <wp:extent cx="304800" cy="299720"/>
                  <wp:effectExtent l="0" t="0" r="0" b="0"/>
                  <wp:wrapNone/>
                  <wp:docPr id="593" name="AutoShape_1860_SpCnt_559"/>
                  <wp:cNvGraphicFramePr/>
                  <a:graphic xmlns:a="http://schemas.openxmlformats.org/drawingml/2006/main">
                    <a:graphicData uri="http://schemas.openxmlformats.org/drawingml/2006/picture">
                      <pic:pic xmlns:pic="http://schemas.openxmlformats.org/drawingml/2006/picture">
                        <pic:nvPicPr>
                          <pic:cNvPr id="593" name="AutoShape_1860_SpCnt_559"/>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72608" behindDoc="0" locked="0" layoutInCell="1" allowOverlap="1">
                  <wp:simplePos x="0" y="0"/>
                  <wp:positionH relativeFrom="column">
                    <wp:posOffset>0</wp:posOffset>
                  </wp:positionH>
                  <wp:positionV relativeFrom="paragraph">
                    <wp:posOffset>0</wp:posOffset>
                  </wp:positionV>
                  <wp:extent cx="304800" cy="305435"/>
                  <wp:effectExtent l="0" t="0" r="0" b="0"/>
                  <wp:wrapNone/>
                  <wp:docPr id="592" name="AutoShape_1860_SpCnt_560"/>
                  <wp:cNvGraphicFramePr/>
                  <a:graphic xmlns:a="http://schemas.openxmlformats.org/drawingml/2006/main">
                    <a:graphicData uri="http://schemas.openxmlformats.org/drawingml/2006/picture">
                      <pic:pic xmlns:pic="http://schemas.openxmlformats.org/drawingml/2006/picture">
                        <pic:nvPicPr>
                          <pic:cNvPr id="592" name="AutoShape_1860_SpCnt_560"/>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73632" behindDoc="0" locked="0" layoutInCell="1" allowOverlap="1">
                  <wp:simplePos x="0" y="0"/>
                  <wp:positionH relativeFrom="column">
                    <wp:posOffset>0</wp:posOffset>
                  </wp:positionH>
                  <wp:positionV relativeFrom="paragraph">
                    <wp:posOffset>0</wp:posOffset>
                  </wp:positionV>
                  <wp:extent cx="304800" cy="305435"/>
                  <wp:effectExtent l="0" t="0" r="0" b="0"/>
                  <wp:wrapNone/>
                  <wp:docPr id="636" name="AutoShape_1860_SpCnt_561"/>
                  <wp:cNvGraphicFramePr/>
                  <a:graphic xmlns:a="http://schemas.openxmlformats.org/drawingml/2006/main">
                    <a:graphicData uri="http://schemas.openxmlformats.org/drawingml/2006/picture">
                      <pic:pic xmlns:pic="http://schemas.openxmlformats.org/drawingml/2006/picture">
                        <pic:nvPicPr>
                          <pic:cNvPr id="636" name="AutoShape_1860_SpCnt_561"/>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74656" behindDoc="0" locked="0" layoutInCell="1" allowOverlap="1">
                  <wp:simplePos x="0" y="0"/>
                  <wp:positionH relativeFrom="column">
                    <wp:posOffset>0</wp:posOffset>
                  </wp:positionH>
                  <wp:positionV relativeFrom="paragraph">
                    <wp:posOffset>0</wp:posOffset>
                  </wp:positionV>
                  <wp:extent cx="304800" cy="305435"/>
                  <wp:effectExtent l="0" t="0" r="0" b="0"/>
                  <wp:wrapNone/>
                  <wp:docPr id="591" name="AutoShape_1860_SpCnt_562"/>
                  <wp:cNvGraphicFramePr/>
                  <a:graphic xmlns:a="http://schemas.openxmlformats.org/drawingml/2006/main">
                    <a:graphicData uri="http://schemas.openxmlformats.org/drawingml/2006/picture">
                      <pic:pic xmlns:pic="http://schemas.openxmlformats.org/drawingml/2006/picture">
                        <pic:nvPicPr>
                          <pic:cNvPr id="591" name="AutoShape_1860_SpCnt_562"/>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75680" behindDoc="0" locked="0" layoutInCell="1" allowOverlap="1">
                  <wp:simplePos x="0" y="0"/>
                  <wp:positionH relativeFrom="column">
                    <wp:posOffset>0</wp:posOffset>
                  </wp:positionH>
                  <wp:positionV relativeFrom="paragraph">
                    <wp:posOffset>0</wp:posOffset>
                  </wp:positionV>
                  <wp:extent cx="304800" cy="305435"/>
                  <wp:effectExtent l="0" t="0" r="0" b="0"/>
                  <wp:wrapNone/>
                  <wp:docPr id="590" name="AutoShape_1860_SpCnt_563"/>
                  <wp:cNvGraphicFramePr/>
                  <a:graphic xmlns:a="http://schemas.openxmlformats.org/drawingml/2006/main">
                    <a:graphicData uri="http://schemas.openxmlformats.org/drawingml/2006/picture">
                      <pic:pic xmlns:pic="http://schemas.openxmlformats.org/drawingml/2006/picture">
                        <pic:nvPicPr>
                          <pic:cNvPr id="590" name="AutoShape_1860_SpCnt_563"/>
                          <pic:cNvPicPr/>
                        </pic:nvPicPr>
                        <pic:blipFill>
                          <a:blip r:embed="rId25"/>
                          <a:stretch>
                            <a:fillRect/>
                          </a:stretch>
                        </pic:blipFill>
                        <pic:spPr>
                          <a:xfrm>
                            <a:off x="0" y="0"/>
                            <a:ext cx="304800" cy="30543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76704" behindDoc="0" locked="0" layoutInCell="1" allowOverlap="1">
                  <wp:simplePos x="0" y="0"/>
                  <wp:positionH relativeFrom="column">
                    <wp:posOffset>0</wp:posOffset>
                  </wp:positionH>
                  <wp:positionV relativeFrom="paragraph">
                    <wp:posOffset>0</wp:posOffset>
                  </wp:positionV>
                  <wp:extent cx="304800" cy="299720"/>
                  <wp:effectExtent l="0" t="0" r="0" b="0"/>
                  <wp:wrapNone/>
                  <wp:docPr id="589" name="AutoShape_1860_SpCnt_564"/>
                  <wp:cNvGraphicFramePr/>
                  <a:graphic xmlns:a="http://schemas.openxmlformats.org/drawingml/2006/main">
                    <a:graphicData uri="http://schemas.openxmlformats.org/drawingml/2006/picture">
                      <pic:pic xmlns:pic="http://schemas.openxmlformats.org/drawingml/2006/picture">
                        <pic:nvPicPr>
                          <pic:cNvPr id="589" name="AutoShape_1860_SpCnt_564"/>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77728" behindDoc="0" locked="0" layoutInCell="1" allowOverlap="1">
                  <wp:simplePos x="0" y="0"/>
                  <wp:positionH relativeFrom="column">
                    <wp:posOffset>0</wp:posOffset>
                  </wp:positionH>
                  <wp:positionV relativeFrom="paragraph">
                    <wp:posOffset>0</wp:posOffset>
                  </wp:positionV>
                  <wp:extent cx="304800" cy="299720"/>
                  <wp:effectExtent l="0" t="0" r="0" b="0"/>
                  <wp:wrapNone/>
                  <wp:docPr id="588" name="AutoShape_1860_SpCnt_565"/>
                  <wp:cNvGraphicFramePr/>
                  <a:graphic xmlns:a="http://schemas.openxmlformats.org/drawingml/2006/main">
                    <a:graphicData uri="http://schemas.openxmlformats.org/drawingml/2006/picture">
                      <pic:pic xmlns:pic="http://schemas.openxmlformats.org/drawingml/2006/picture">
                        <pic:nvPicPr>
                          <pic:cNvPr id="588" name="AutoShape_1860_SpCnt_565"/>
                          <pic:cNvPicPr/>
                        </pic:nvPicPr>
                        <pic:blipFill>
                          <a:blip r:embed="rId25"/>
                          <a:stretch>
                            <a:fillRect/>
                          </a:stretch>
                        </pic:blipFill>
                        <pic:spPr>
                          <a:xfrm>
                            <a:off x="0" y="0"/>
                            <a:ext cx="304800" cy="299720"/>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lang w:bidi="ar"/>
              </w:rPr>
              <w:t>台</w:t>
            </w:r>
          </w:p>
        </w:tc>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2</w:t>
            </w:r>
          </w:p>
        </w:tc>
      </w:tr>
      <w:tr>
        <w:tblPrEx>
          <w:tblCellMar>
            <w:top w:w="0" w:type="dxa"/>
            <w:left w:w="108" w:type="dxa"/>
            <w:bottom w:w="0" w:type="dxa"/>
            <w:right w:w="108" w:type="dxa"/>
          </w:tblCellMar>
        </w:tblPrEx>
        <w:trPr>
          <w:trHeight w:val="2839" w:hRule="atLeast"/>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29</w:t>
            </w:r>
          </w:p>
        </w:tc>
        <w:tc>
          <w:tcPr>
            <w:tcW w:w="16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数字共地隔离装置</w:t>
            </w:r>
          </w:p>
        </w:tc>
        <w:tc>
          <w:tcPr>
            <w:tcW w:w="4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LINE：电源输入  LOAD：电源输出  外壳接地</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共地隔离模块消除AUX共地交流声；</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AUX进口端子，连接简单；双声道；</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隔离器带接口保护电路，</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音频频率响应带宽50~~100KHz；</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金属外壳，有效抗干扰，提高效果；要求满足整个环境需求；验收前需提供整个环境检测相关数据报告；提供</w:t>
            </w:r>
            <w:r>
              <w:rPr>
                <w:rFonts w:hint="eastAsia" w:ascii="宋体" w:hAnsi="宋体" w:eastAsia="宋体" w:cs="宋体"/>
                <w:color w:val="000000"/>
                <w:kern w:val="0"/>
                <w:sz w:val="24"/>
                <w:szCs w:val="24"/>
                <w:highlight w:val="none"/>
                <w:lang w:eastAsia="zh-CN" w:bidi="ar"/>
              </w:rPr>
              <w:t>三年</w:t>
            </w:r>
            <w:r>
              <w:rPr>
                <w:rFonts w:hint="eastAsia" w:ascii="宋体" w:hAnsi="宋体" w:eastAsia="宋体" w:cs="宋体"/>
                <w:color w:val="000000"/>
                <w:kern w:val="0"/>
                <w:sz w:val="24"/>
                <w:szCs w:val="24"/>
                <w:highlight w:val="none"/>
                <w:lang w:bidi="ar"/>
              </w:rPr>
              <w:t>质保</w:t>
            </w:r>
            <w:r>
              <w:rPr>
                <w:rFonts w:hint="eastAsia" w:ascii="宋体" w:hAnsi="宋体" w:cs="宋体"/>
                <w:color w:val="000000"/>
                <w:kern w:val="0"/>
                <w:sz w:val="24"/>
                <w:szCs w:val="24"/>
                <w:highlight w:val="none"/>
                <w:lang w:eastAsia="zh-CN" w:bidi="ar"/>
              </w:rPr>
              <w:t>。</w:t>
            </w:r>
            <w:r>
              <w:rPr>
                <w:rFonts w:hint="eastAsia" w:ascii="宋体" w:hAnsi="宋体" w:eastAsia="宋体" w:cs="宋体"/>
                <w:color w:val="000000"/>
                <w:kern w:val="0"/>
                <w:sz w:val="24"/>
                <w:szCs w:val="24"/>
                <w:highlight w:val="none"/>
                <w:lang w:bidi="ar"/>
              </w:rPr>
              <w:t>注明保修期限，项目名称为本项目。</w:t>
            </w:r>
          </w:p>
        </w:tc>
        <w:tc>
          <w:tcPr>
            <w:tcW w:w="6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台</w:t>
            </w:r>
          </w:p>
        </w:tc>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w:t>
            </w:r>
          </w:p>
        </w:tc>
      </w:tr>
      <w:tr>
        <w:tblPrEx>
          <w:tblCellMar>
            <w:top w:w="0" w:type="dxa"/>
            <w:left w:w="108" w:type="dxa"/>
            <w:bottom w:w="0" w:type="dxa"/>
            <w:right w:w="108" w:type="dxa"/>
          </w:tblCellMar>
        </w:tblPrEx>
        <w:trPr>
          <w:trHeight w:val="2839" w:hRule="atLeast"/>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30</w:t>
            </w:r>
          </w:p>
        </w:tc>
        <w:tc>
          <w:tcPr>
            <w:tcW w:w="16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数字信号隔离装置</w:t>
            </w:r>
          </w:p>
        </w:tc>
        <w:tc>
          <w:tcPr>
            <w:tcW w:w="44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选用合金音频隔离牛，沉金电路设计。双路6.35和卡侬进出，输入采用卡侬和6.35两用插座。平衡和非平衡可以互相转换和分配，每路设有共地和不共地开关，屏蔽接机壳开关。</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技术参数：</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输入阻抗：600Ω（交流阻抗）</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输出阻抗：600Ω（交流阻抗）</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频率响应：20HZ—20K  要求满足整个环境需求；验收前需提供整个环境检测相关数据报告；提供</w:t>
            </w:r>
            <w:r>
              <w:rPr>
                <w:rFonts w:hint="eastAsia" w:ascii="宋体" w:hAnsi="宋体" w:eastAsia="宋体" w:cs="宋体"/>
                <w:color w:val="000000"/>
                <w:kern w:val="0"/>
                <w:sz w:val="24"/>
                <w:szCs w:val="24"/>
                <w:highlight w:val="none"/>
                <w:lang w:eastAsia="zh-CN" w:bidi="ar"/>
              </w:rPr>
              <w:t>三年</w:t>
            </w:r>
            <w:r>
              <w:rPr>
                <w:rFonts w:hint="eastAsia" w:ascii="宋体" w:hAnsi="宋体" w:eastAsia="宋体" w:cs="宋体"/>
                <w:color w:val="000000"/>
                <w:kern w:val="0"/>
                <w:sz w:val="24"/>
                <w:szCs w:val="24"/>
                <w:highlight w:val="none"/>
                <w:lang w:bidi="ar"/>
              </w:rPr>
              <w:t>质保，注明保修期限，项目名称为本项目。</w:t>
            </w:r>
          </w:p>
        </w:tc>
        <w:tc>
          <w:tcPr>
            <w:tcW w:w="66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台</w:t>
            </w: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w:t>
            </w:r>
          </w:p>
        </w:tc>
      </w:tr>
      <w:tr>
        <w:tblPrEx>
          <w:tblCellMar>
            <w:top w:w="0" w:type="dxa"/>
            <w:left w:w="108" w:type="dxa"/>
            <w:bottom w:w="0" w:type="dxa"/>
            <w:right w:w="108" w:type="dxa"/>
          </w:tblCellMar>
        </w:tblPrEx>
        <w:trPr>
          <w:trHeight w:val="1945" w:hRule="atLeast"/>
          <w:jc w:val="center"/>
        </w:trPr>
        <w:tc>
          <w:tcPr>
            <w:tcW w:w="8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31</w:t>
            </w:r>
          </w:p>
        </w:tc>
        <w:tc>
          <w:tcPr>
            <w:tcW w:w="169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电源时序器</w:t>
            </w:r>
          </w:p>
        </w:tc>
        <w:tc>
          <w:tcPr>
            <w:tcW w:w="4425"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2吋彩色液晶智能显示窗，实时显示当前电压、日期时间，通道开关状态；</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 xml:space="preserve"> 定时开关机功能，内置时钟芯片，可根据日期时间设定，无需人为操作，让设备管理更简单；</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 xml:space="preserve"> 8路通道输出，每路延时开启和关闭时间可自由设置（范围0~999S）；</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 xml:space="preserve"> 10组设备开关场景数据保存/调用，场景管理应用简单便捷；</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 xml:space="preserve"> 特设欠压、超压检测及报警功能，为您的设备提供了可靠的保障，总功率6000W，单路最大功率2000W；</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 xml:space="preserve"> 支持多台设备级联控制，级联状态可自动检测及设置；</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 xml:space="preserve"> 配置RS232接口，支持外部中央控制设备控制；</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 xml:space="preserve"> 可实现远程集中控制，每台设备自带设备编码ID检测和设置；</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 xml:space="preserve"> 支持面板Lock锁定功能，防止人为误操作。</w:t>
            </w:r>
          </w:p>
        </w:tc>
        <w:tc>
          <w:tcPr>
            <w:tcW w:w="6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台</w:t>
            </w:r>
          </w:p>
        </w:tc>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2</w:t>
            </w:r>
          </w:p>
        </w:tc>
      </w:tr>
      <w:tr>
        <w:tblPrEx>
          <w:tblCellMar>
            <w:top w:w="0" w:type="dxa"/>
            <w:left w:w="108" w:type="dxa"/>
            <w:bottom w:w="0" w:type="dxa"/>
            <w:right w:w="108" w:type="dxa"/>
          </w:tblCellMar>
        </w:tblPrEx>
        <w:trPr>
          <w:trHeight w:val="2767" w:hRule="atLeast"/>
          <w:jc w:val="center"/>
        </w:trPr>
        <w:tc>
          <w:tcPr>
            <w:tcW w:w="8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32</w:t>
            </w:r>
          </w:p>
        </w:tc>
        <w:tc>
          <w:tcPr>
            <w:tcW w:w="169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无线手持</w:t>
            </w:r>
          </w:p>
        </w:tc>
        <w:tc>
          <w:tcPr>
            <w:tcW w:w="44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抗干扰与稳定性：音频数字编码技术，强抗干扰，稳定性好</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高品质：卓越的制造工艺、先进的无线技术</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方便直观：导航旋钮、显示屏、电平显示，轻松便捷</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ID编码技术，每个频率对应话筒后有一个数字编码，每个频率的编码都不一样，频率接近不会受到干扰</w:t>
            </w:r>
            <w:r>
              <w:rPr>
                <w:rFonts w:hint="eastAsia" w:ascii="宋体" w:hAnsi="宋体" w:eastAsia="宋体" w:cs="宋体"/>
                <w:color w:val="000000"/>
                <w:kern w:val="0"/>
                <w:sz w:val="24"/>
                <w:szCs w:val="24"/>
                <w:highlight w:val="none"/>
                <w:lang w:eastAsia="zh-CN" w:bidi="ar"/>
              </w:rPr>
              <w:t>；</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接收距离可调</w:t>
            </w:r>
            <w:r>
              <w:rPr>
                <w:rFonts w:hint="eastAsia" w:ascii="宋体" w:hAnsi="宋体" w:eastAsia="宋体" w:cs="宋体"/>
                <w:color w:val="000000"/>
                <w:kern w:val="0"/>
                <w:sz w:val="24"/>
                <w:szCs w:val="24"/>
                <w:highlight w:val="none"/>
                <w:lang w:eastAsia="zh-CN" w:bidi="ar"/>
              </w:rPr>
              <w:t>；</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主机和话筒可同时显示话筒电池用量，</w:t>
            </w:r>
          </w:p>
          <w:p>
            <w:pPr>
              <w:widowControl/>
              <w:jc w:val="left"/>
              <w:textAlignment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kern w:val="0"/>
                <w:sz w:val="24"/>
                <w:szCs w:val="24"/>
                <w:highlight w:val="none"/>
                <w:lang w:bidi="ar"/>
              </w:rPr>
              <w:t>接收距离80米</w:t>
            </w:r>
            <w:r>
              <w:rPr>
                <w:rFonts w:hint="eastAsia" w:ascii="宋体" w:hAnsi="宋体" w:eastAsia="宋体" w:cs="宋体"/>
                <w:color w:val="000000"/>
                <w:kern w:val="0"/>
                <w:sz w:val="24"/>
                <w:szCs w:val="24"/>
                <w:highlight w:val="none"/>
                <w:lang w:eastAsia="zh-CN" w:bidi="ar"/>
              </w:rPr>
              <w:t>；</w:t>
            </w:r>
          </w:p>
        </w:tc>
        <w:tc>
          <w:tcPr>
            <w:tcW w:w="6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套</w:t>
            </w:r>
          </w:p>
        </w:tc>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2</w:t>
            </w:r>
          </w:p>
        </w:tc>
      </w:tr>
      <w:tr>
        <w:tblPrEx>
          <w:tblCellMar>
            <w:top w:w="0" w:type="dxa"/>
            <w:left w:w="108" w:type="dxa"/>
            <w:bottom w:w="0" w:type="dxa"/>
            <w:right w:w="108" w:type="dxa"/>
          </w:tblCellMar>
        </w:tblPrEx>
        <w:trPr>
          <w:trHeight w:val="414" w:hRule="atLeast"/>
          <w:jc w:val="center"/>
        </w:trPr>
        <w:tc>
          <w:tcPr>
            <w:tcW w:w="8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33</w:t>
            </w:r>
          </w:p>
        </w:tc>
        <w:tc>
          <w:tcPr>
            <w:tcW w:w="16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音箱托架</w:t>
            </w:r>
          </w:p>
        </w:tc>
        <w:tc>
          <w:tcPr>
            <w:tcW w:w="44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臂长250-350mm可调节，左右上下可调节角度，承重35公斤，一对自重4.1公斤</w:t>
            </w:r>
          </w:p>
        </w:tc>
        <w:tc>
          <w:tcPr>
            <w:tcW w:w="6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副</w:t>
            </w:r>
          </w:p>
        </w:tc>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4</w:t>
            </w:r>
          </w:p>
        </w:tc>
      </w:tr>
      <w:tr>
        <w:tblPrEx>
          <w:tblCellMar>
            <w:top w:w="0" w:type="dxa"/>
            <w:left w:w="108" w:type="dxa"/>
            <w:bottom w:w="0" w:type="dxa"/>
            <w:right w:w="108" w:type="dxa"/>
          </w:tblCellMar>
        </w:tblPrEx>
        <w:trPr>
          <w:trHeight w:val="2839" w:hRule="atLeast"/>
          <w:jc w:val="center"/>
        </w:trPr>
        <w:tc>
          <w:tcPr>
            <w:tcW w:w="8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34</w:t>
            </w:r>
          </w:p>
        </w:tc>
        <w:tc>
          <w:tcPr>
            <w:tcW w:w="169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机柜</w:t>
            </w:r>
          </w:p>
        </w:tc>
        <w:tc>
          <w:tcPr>
            <w:tcW w:w="44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600*600*1000</w:t>
            </w:r>
            <w:r>
              <w:rPr>
                <w:rFonts w:hint="default" w:ascii="宋体" w:hAnsi="宋体" w:cs="宋体"/>
                <w:color w:val="000000"/>
                <w:kern w:val="0"/>
                <w:sz w:val="24"/>
                <w:szCs w:val="24"/>
                <w:highlight w:val="none"/>
                <w:lang w:val="en-US" w:bidi="ar"/>
              </w:rPr>
              <w:t>MM</w:t>
            </w:r>
            <w:r>
              <w:rPr>
                <w:rFonts w:hint="eastAsia" w:ascii="宋体" w:hAnsi="宋体" w:eastAsia="宋体" w:cs="宋体"/>
                <w:color w:val="000000"/>
                <w:kern w:val="0"/>
                <w:sz w:val="24"/>
                <w:szCs w:val="24"/>
                <w:highlight w:val="none"/>
                <w:lang w:bidi="ar"/>
              </w:rPr>
              <w:t>，烟灰色钢化玻璃前门</w:t>
            </w:r>
            <w:r>
              <w:rPr>
                <w:rFonts w:hint="eastAsia" w:ascii="宋体" w:hAnsi="宋体" w:cs="宋体"/>
                <w:color w:val="000000"/>
                <w:kern w:val="0"/>
                <w:sz w:val="24"/>
                <w:szCs w:val="24"/>
                <w:highlight w:val="none"/>
                <w:lang w:val="en-US" w:eastAsia="zh-CN" w:bidi="ar"/>
              </w:rPr>
              <w:t>；</w:t>
            </w:r>
            <w:r>
              <w:rPr>
                <w:rFonts w:hint="eastAsia" w:ascii="宋体" w:hAnsi="宋体" w:eastAsia="宋体" w:cs="宋体"/>
                <w:color w:val="000000"/>
                <w:kern w:val="0"/>
                <w:sz w:val="24"/>
                <w:szCs w:val="24"/>
                <w:highlight w:val="none"/>
                <w:lang w:bidi="ar"/>
              </w:rPr>
              <w:t>可同时安装脚轮和支撑脚，结构坚固，最大静栽达800KG，移动承载550KG；可关闭的上部、下部多处走线通道，底部大走线孔尺寸可按需调整；可方便拆卸的左右侧门和前后门；全方位操作，多方位察看；可选配安装底座，达到固定机柜、底部过线、底部送冷风、防鼠的要求；高效坚固的并柜连接；齐全的可选配件；材料：全部选用优质冷轧钢板制作；厚度：方孔条2.0mm,其它1.2mm；表面处理：脱脂、酸洗、防锈磷化、纯水清洗、静电喷塑。</w:t>
            </w:r>
          </w:p>
        </w:tc>
        <w:tc>
          <w:tcPr>
            <w:tcW w:w="6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78752" behindDoc="0" locked="0" layoutInCell="1" allowOverlap="1">
                  <wp:simplePos x="0" y="0"/>
                  <wp:positionH relativeFrom="column">
                    <wp:posOffset>0</wp:posOffset>
                  </wp:positionH>
                  <wp:positionV relativeFrom="paragraph">
                    <wp:posOffset>0</wp:posOffset>
                  </wp:positionV>
                  <wp:extent cx="304800" cy="301625"/>
                  <wp:effectExtent l="0" t="0" r="0" b="0"/>
                  <wp:wrapNone/>
                  <wp:docPr id="587" name="AutoShape_1860_SpCnt_566"/>
                  <wp:cNvGraphicFramePr/>
                  <a:graphic xmlns:a="http://schemas.openxmlformats.org/drawingml/2006/main">
                    <a:graphicData uri="http://schemas.openxmlformats.org/drawingml/2006/picture">
                      <pic:pic xmlns:pic="http://schemas.openxmlformats.org/drawingml/2006/picture">
                        <pic:nvPicPr>
                          <pic:cNvPr id="587" name="AutoShape_1860_SpCnt_566"/>
                          <pic:cNvPicPr/>
                        </pic:nvPicPr>
                        <pic:blipFill>
                          <a:blip r:embed="rId25"/>
                          <a:stretch>
                            <a:fillRect/>
                          </a:stretch>
                        </pic:blipFill>
                        <pic:spPr>
                          <a:xfrm>
                            <a:off x="0" y="0"/>
                            <a:ext cx="304800" cy="30162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79776" behindDoc="0" locked="0" layoutInCell="1" allowOverlap="1">
                  <wp:simplePos x="0" y="0"/>
                  <wp:positionH relativeFrom="column">
                    <wp:posOffset>0</wp:posOffset>
                  </wp:positionH>
                  <wp:positionV relativeFrom="paragraph">
                    <wp:posOffset>0</wp:posOffset>
                  </wp:positionV>
                  <wp:extent cx="304800" cy="301625"/>
                  <wp:effectExtent l="0" t="0" r="0" b="0"/>
                  <wp:wrapNone/>
                  <wp:docPr id="617" name="AutoShape_1860_SpCnt_567"/>
                  <wp:cNvGraphicFramePr/>
                  <a:graphic xmlns:a="http://schemas.openxmlformats.org/drawingml/2006/main">
                    <a:graphicData uri="http://schemas.openxmlformats.org/drawingml/2006/picture">
                      <pic:pic xmlns:pic="http://schemas.openxmlformats.org/drawingml/2006/picture">
                        <pic:nvPicPr>
                          <pic:cNvPr id="617" name="AutoShape_1860_SpCnt_567"/>
                          <pic:cNvPicPr/>
                        </pic:nvPicPr>
                        <pic:blipFill>
                          <a:blip r:embed="rId25"/>
                          <a:stretch>
                            <a:fillRect/>
                          </a:stretch>
                        </pic:blipFill>
                        <pic:spPr>
                          <a:xfrm>
                            <a:off x="0" y="0"/>
                            <a:ext cx="304800" cy="30162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80800" behindDoc="0" locked="0" layoutInCell="1" allowOverlap="1">
                  <wp:simplePos x="0" y="0"/>
                  <wp:positionH relativeFrom="column">
                    <wp:posOffset>0</wp:posOffset>
                  </wp:positionH>
                  <wp:positionV relativeFrom="paragraph">
                    <wp:posOffset>0</wp:posOffset>
                  </wp:positionV>
                  <wp:extent cx="304800" cy="301625"/>
                  <wp:effectExtent l="0" t="0" r="0" b="0"/>
                  <wp:wrapNone/>
                  <wp:docPr id="585" name="AutoShape_1860_SpCnt_568"/>
                  <wp:cNvGraphicFramePr/>
                  <a:graphic xmlns:a="http://schemas.openxmlformats.org/drawingml/2006/main">
                    <a:graphicData uri="http://schemas.openxmlformats.org/drawingml/2006/picture">
                      <pic:pic xmlns:pic="http://schemas.openxmlformats.org/drawingml/2006/picture">
                        <pic:nvPicPr>
                          <pic:cNvPr id="585" name="AutoShape_1860_SpCnt_568"/>
                          <pic:cNvPicPr/>
                        </pic:nvPicPr>
                        <pic:blipFill>
                          <a:blip r:embed="rId25"/>
                          <a:stretch>
                            <a:fillRect/>
                          </a:stretch>
                        </pic:blipFill>
                        <pic:spPr>
                          <a:xfrm>
                            <a:off x="0" y="0"/>
                            <a:ext cx="304800" cy="30162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81824" behindDoc="0" locked="0" layoutInCell="1" allowOverlap="1">
                  <wp:simplePos x="0" y="0"/>
                  <wp:positionH relativeFrom="column">
                    <wp:posOffset>0</wp:posOffset>
                  </wp:positionH>
                  <wp:positionV relativeFrom="paragraph">
                    <wp:posOffset>0</wp:posOffset>
                  </wp:positionV>
                  <wp:extent cx="304800" cy="301625"/>
                  <wp:effectExtent l="0" t="0" r="0" b="0"/>
                  <wp:wrapNone/>
                  <wp:docPr id="584" name="AutoShape_1860_SpCnt_569"/>
                  <wp:cNvGraphicFramePr/>
                  <a:graphic xmlns:a="http://schemas.openxmlformats.org/drawingml/2006/main">
                    <a:graphicData uri="http://schemas.openxmlformats.org/drawingml/2006/picture">
                      <pic:pic xmlns:pic="http://schemas.openxmlformats.org/drawingml/2006/picture">
                        <pic:nvPicPr>
                          <pic:cNvPr id="584" name="AutoShape_1860_SpCnt_569"/>
                          <pic:cNvPicPr/>
                        </pic:nvPicPr>
                        <pic:blipFill>
                          <a:blip r:embed="rId25"/>
                          <a:stretch>
                            <a:fillRect/>
                          </a:stretch>
                        </pic:blipFill>
                        <pic:spPr>
                          <a:xfrm>
                            <a:off x="0" y="0"/>
                            <a:ext cx="304800" cy="30162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82848" behindDoc="0" locked="0" layoutInCell="1" allowOverlap="1">
                  <wp:simplePos x="0" y="0"/>
                  <wp:positionH relativeFrom="column">
                    <wp:posOffset>0</wp:posOffset>
                  </wp:positionH>
                  <wp:positionV relativeFrom="paragraph">
                    <wp:posOffset>0</wp:posOffset>
                  </wp:positionV>
                  <wp:extent cx="304800" cy="301625"/>
                  <wp:effectExtent l="0" t="0" r="0" b="0"/>
                  <wp:wrapNone/>
                  <wp:docPr id="615" name="AutoShape_1860_SpCnt_570"/>
                  <wp:cNvGraphicFramePr/>
                  <a:graphic xmlns:a="http://schemas.openxmlformats.org/drawingml/2006/main">
                    <a:graphicData uri="http://schemas.openxmlformats.org/drawingml/2006/picture">
                      <pic:pic xmlns:pic="http://schemas.openxmlformats.org/drawingml/2006/picture">
                        <pic:nvPicPr>
                          <pic:cNvPr id="615" name="AutoShape_1860_SpCnt_570"/>
                          <pic:cNvPicPr/>
                        </pic:nvPicPr>
                        <pic:blipFill>
                          <a:blip r:embed="rId25"/>
                          <a:stretch>
                            <a:fillRect/>
                          </a:stretch>
                        </pic:blipFill>
                        <pic:spPr>
                          <a:xfrm>
                            <a:off x="0" y="0"/>
                            <a:ext cx="304800" cy="30162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83872" behindDoc="0" locked="0" layoutInCell="1" allowOverlap="1">
                  <wp:simplePos x="0" y="0"/>
                  <wp:positionH relativeFrom="column">
                    <wp:posOffset>0</wp:posOffset>
                  </wp:positionH>
                  <wp:positionV relativeFrom="paragraph">
                    <wp:posOffset>0</wp:posOffset>
                  </wp:positionV>
                  <wp:extent cx="304800" cy="301625"/>
                  <wp:effectExtent l="0" t="0" r="0" b="0"/>
                  <wp:wrapNone/>
                  <wp:docPr id="583" name="AutoShape_1860_SpCnt_571"/>
                  <wp:cNvGraphicFramePr/>
                  <a:graphic xmlns:a="http://schemas.openxmlformats.org/drawingml/2006/main">
                    <a:graphicData uri="http://schemas.openxmlformats.org/drawingml/2006/picture">
                      <pic:pic xmlns:pic="http://schemas.openxmlformats.org/drawingml/2006/picture">
                        <pic:nvPicPr>
                          <pic:cNvPr id="583" name="AutoShape_1860_SpCnt_571"/>
                          <pic:cNvPicPr/>
                        </pic:nvPicPr>
                        <pic:blipFill>
                          <a:blip r:embed="rId25"/>
                          <a:stretch>
                            <a:fillRect/>
                          </a:stretch>
                        </pic:blipFill>
                        <pic:spPr>
                          <a:xfrm>
                            <a:off x="0" y="0"/>
                            <a:ext cx="304800" cy="30162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84896" behindDoc="0" locked="0" layoutInCell="1" allowOverlap="1">
                  <wp:simplePos x="0" y="0"/>
                  <wp:positionH relativeFrom="column">
                    <wp:posOffset>0</wp:posOffset>
                  </wp:positionH>
                  <wp:positionV relativeFrom="paragraph">
                    <wp:posOffset>0</wp:posOffset>
                  </wp:positionV>
                  <wp:extent cx="304800" cy="301625"/>
                  <wp:effectExtent l="0" t="0" r="0" b="0"/>
                  <wp:wrapNone/>
                  <wp:docPr id="582" name="AutoShape_1860_SpCnt_572"/>
                  <wp:cNvGraphicFramePr/>
                  <a:graphic xmlns:a="http://schemas.openxmlformats.org/drawingml/2006/main">
                    <a:graphicData uri="http://schemas.openxmlformats.org/drawingml/2006/picture">
                      <pic:pic xmlns:pic="http://schemas.openxmlformats.org/drawingml/2006/picture">
                        <pic:nvPicPr>
                          <pic:cNvPr id="582" name="AutoShape_1860_SpCnt_572"/>
                          <pic:cNvPicPr/>
                        </pic:nvPicPr>
                        <pic:blipFill>
                          <a:blip r:embed="rId25"/>
                          <a:stretch>
                            <a:fillRect/>
                          </a:stretch>
                        </pic:blipFill>
                        <pic:spPr>
                          <a:xfrm>
                            <a:off x="0" y="0"/>
                            <a:ext cx="304800" cy="30162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85920" behindDoc="0" locked="0" layoutInCell="1" allowOverlap="1">
                  <wp:simplePos x="0" y="0"/>
                  <wp:positionH relativeFrom="column">
                    <wp:posOffset>0</wp:posOffset>
                  </wp:positionH>
                  <wp:positionV relativeFrom="paragraph">
                    <wp:posOffset>0</wp:posOffset>
                  </wp:positionV>
                  <wp:extent cx="304800" cy="301625"/>
                  <wp:effectExtent l="0" t="0" r="0" b="0"/>
                  <wp:wrapNone/>
                  <wp:docPr id="635" name="AutoShape_1860_SpCnt_573"/>
                  <wp:cNvGraphicFramePr/>
                  <a:graphic xmlns:a="http://schemas.openxmlformats.org/drawingml/2006/main">
                    <a:graphicData uri="http://schemas.openxmlformats.org/drawingml/2006/picture">
                      <pic:pic xmlns:pic="http://schemas.openxmlformats.org/drawingml/2006/picture">
                        <pic:nvPicPr>
                          <pic:cNvPr id="635" name="AutoShape_1860_SpCnt_573"/>
                          <pic:cNvPicPr/>
                        </pic:nvPicPr>
                        <pic:blipFill>
                          <a:blip r:embed="rId25"/>
                          <a:stretch>
                            <a:fillRect/>
                          </a:stretch>
                        </pic:blipFill>
                        <pic:spPr>
                          <a:xfrm>
                            <a:off x="0" y="0"/>
                            <a:ext cx="304800" cy="30162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86944" behindDoc="0" locked="0" layoutInCell="1" allowOverlap="1">
                  <wp:simplePos x="0" y="0"/>
                  <wp:positionH relativeFrom="column">
                    <wp:posOffset>0</wp:posOffset>
                  </wp:positionH>
                  <wp:positionV relativeFrom="paragraph">
                    <wp:posOffset>0</wp:posOffset>
                  </wp:positionV>
                  <wp:extent cx="304800" cy="301625"/>
                  <wp:effectExtent l="0" t="0" r="0" b="0"/>
                  <wp:wrapNone/>
                  <wp:docPr id="629" name="AutoShape_1860_SpCnt_574"/>
                  <wp:cNvGraphicFramePr/>
                  <a:graphic xmlns:a="http://schemas.openxmlformats.org/drawingml/2006/main">
                    <a:graphicData uri="http://schemas.openxmlformats.org/drawingml/2006/picture">
                      <pic:pic xmlns:pic="http://schemas.openxmlformats.org/drawingml/2006/picture">
                        <pic:nvPicPr>
                          <pic:cNvPr id="629" name="AutoShape_1860_SpCnt_574"/>
                          <pic:cNvPicPr/>
                        </pic:nvPicPr>
                        <pic:blipFill>
                          <a:blip r:embed="rId25"/>
                          <a:stretch>
                            <a:fillRect/>
                          </a:stretch>
                        </pic:blipFill>
                        <pic:spPr>
                          <a:xfrm>
                            <a:off x="0" y="0"/>
                            <a:ext cx="304800" cy="30162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87968" behindDoc="0" locked="0" layoutInCell="1" allowOverlap="1">
                  <wp:simplePos x="0" y="0"/>
                  <wp:positionH relativeFrom="column">
                    <wp:posOffset>0</wp:posOffset>
                  </wp:positionH>
                  <wp:positionV relativeFrom="paragraph">
                    <wp:posOffset>0</wp:posOffset>
                  </wp:positionV>
                  <wp:extent cx="304800" cy="301625"/>
                  <wp:effectExtent l="0" t="0" r="0" b="0"/>
                  <wp:wrapNone/>
                  <wp:docPr id="581" name="AutoShape_1860_SpCnt_575"/>
                  <wp:cNvGraphicFramePr/>
                  <a:graphic xmlns:a="http://schemas.openxmlformats.org/drawingml/2006/main">
                    <a:graphicData uri="http://schemas.openxmlformats.org/drawingml/2006/picture">
                      <pic:pic xmlns:pic="http://schemas.openxmlformats.org/drawingml/2006/picture">
                        <pic:nvPicPr>
                          <pic:cNvPr id="581" name="AutoShape_1860_SpCnt_575"/>
                          <pic:cNvPicPr/>
                        </pic:nvPicPr>
                        <pic:blipFill>
                          <a:blip r:embed="rId25"/>
                          <a:stretch>
                            <a:fillRect/>
                          </a:stretch>
                        </pic:blipFill>
                        <pic:spPr>
                          <a:xfrm>
                            <a:off x="0" y="0"/>
                            <a:ext cx="304800" cy="30162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88992" behindDoc="0" locked="0" layoutInCell="1" allowOverlap="1">
                  <wp:simplePos x="0" y="0"/>
                  <wp:positionH relativeFrom="column">
                    <wp:posOffset>0</wp:posOffset>
                  </wp:positionH>
                  <wp:positionV relativeFrom="paragraph">
                    <wp:posOffset>0</wp:posOffset>
                  </wp:positionV>
                  <wp:extent cx="304800" cy="301625"/>
                  <wp:effectExtent l="0" t="0" r="0" b="0"/>
                  <wp:wrapNone/>
                  <wp:docPr id="594" name="AutoShape_1860_SpCnt_576"/>
                  <wp:cNvGraphicFramePr/>
                  <a:graphic xmlns:a="http://schemas.openxmlformats.org/drawingml/2006/main">
                    <a:graphicData uri="http://schemas.openxmlformats.org/drawingml/2006/picture">
                      <pic:pic xmlns:pic="http://schemas.openxmlformats.org/drawingml/2006/picture">
                        <pic:nvPicPr>
                          <pic:cNvPr id="594" name="AutoShape_1860_SpCnt_576"/>
                          <pic:cNvPicPr/>
                        </pic:nvPicPr>
                        <pic:blipFill>
                          <a:blip r:embed="rId25"/>
                          <a:stretch>
                            <a:fillRect/>
                          </a:stretch>
                        </pic:blipFill>
                        <pic:spPr>
                          <a:xfrm>
                            <a:off x="0" y="0"/>
                            <a:ext cx="304800" cy="30162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bdr w:val="single" w:color="000000" w:sz="4" w:space="0"/>
                <w:lang w:bidi="ar"/>
              </w:rPr>
              <w:drawing>
                <wp:anchor distT="0" distB="0" distL="114300" distR="114300" simplePos="0" relativeHeight="251990016" behindDoc="0" locked="0" layoutInCell="1" allowOverlap="1">
                  <wp:simplePos x="0" y="0"/>
                  <wp:positionH relativeFrom="column">
                    <wp:posOffset>0</wp:posOffset>
                  </wp:positionH>
                  <wp:positionV relativeFrom="paragraph">
                    <wp:posOffset>0</wp:posOffset>
                  </wp:positionV>
                  <wp:extent cx="304800" cy="301625"/>
                  <wp:effectExtent l="0" t="0" r="0" b="0"/>
                  <wp:wrapNone/>
                  <wp:docPr id="601" name="AutoShape_1860_SpCnt_577"/>
                  <wp:cNvGraphicFramePr/>
                  <a:graphic xmlns:a="http://schemas.openxmlformats.org/drawingml/2006/main">
                    <a:graphicData uri="http://schemas.openxmlformats.org/drawingml/2006/picture">
                      <pic:pic xmlns:pic="http://schemas.openxmlformats.org/drawingml/2006/picture">
                        <pic:nvPicPr>
                          <pic:cNvPr id="601" name="AutoShape_1860_SpCnt_577"/>
                          <pic:cNvPicPr/>
                        </pic:nvPicPr>
                        <pic:blipFill>
                          <a:blip r:embed="rId25"/>
                          <a:stretch>
                            <a:fillRect/>
                          </a:stretch>
                        </pic:blipFill>
                        <pic:spPr>
                          <a:xfrm>
                            <a:off x="0" y="0"/>
                            <a:ext cx="304800" cy="301625"/>
                          </a:xfrm>
                          <a:prstGeom prst="rect">
                            <a:avLst/>
                          </a:prstGeom>
                          <a:noFill/>
                          <a:ln>
                            <a:noFill/>
                          </a:ln>
                        </pic:spPr>
                      </pic:pic>
                    </a:graphicData>
                  </a:graphic>
                </wp:anchor>
              </w:drawing>
            </w:r>
            <w:r>
              <w:rPr>
                <w:rFonts w:hint="eastAsia" w:ascii="宋体" w:hAnsi="宋体" w:eastAsia="宋体" w:cs="宋体"/>
                <w:color w:val="000000"/>
                <w:kern w:val="0"/>
                <w:sz w:val="24"/>
                <w:szCs w:val="24"/>
                <w:highlight w:val="none"/>
                <w:lang w:bidi="ar"/>
              </w:rPr>
              <w:t>台</w:t>
            </w:r>
          </w:p>
        </w:tc>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2</w:t>
            </w:r>
          </w:p>
        </w:tc>
      </w:tr>
      <w:tr>
        <w:tblPrEx>
          <w:tblCellMar>
            <w:top w:w="0" w:type="dxa"/>
            <w:left w:w="108" w:type="dxa"/>
            <w:bottom w:w="0" w:type="dxa"/>
            <w:right w:w="108" w:type="dxa"/>
          </w:tblCellMar>
        </w:tblPrEx>
        <w:trPr>
          <w:trHeight w:val="2031" w:hRule="atLeast"/>
          <w:jc w:val="center"/>
        </w:trPr>
        <w:tc>
          <w:tcPr>
            <w:tcW w:w="8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35</w:t>
            </w:r>
          </w:p>
        </w:tc>
        <w:tc>
          <w:tcPr>
            <w:tcW w:w="169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网线</w:t>
            </w:r>
          </w:p>
        </w:tc>
        <w:tc>
          <w:tcPr>
            <w:tcW w:w="44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六类十字架，低烟无卤 ；100Ω，250MHz，23AWG 铜绞线；LSZH 须通过中国权威测试机构或国际第三方权威机构(如:ETL、DELTA、3P等等)测试认证满足YD/T， 926.3-2001指标要求,并出具该机构发出的认证证明。接点阻抗:≤20。施工时需提供权威机构出具的检测报告，验收时用户方有权通过第三方权威机构进行个点位检测，若检测使用线材未达标，用户方有权要求施工方从新施工直达标为止，施工前需按实际数量入库，使用时向用户方申请领取。</w:t>
            </w:r>
          </w:p>
        </w:tc>
        <w:tc>
          <w:tcPr>
            <w:tcW w:w="6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箱</w:t>
            </w:r>
          </w:p>
        </w:tc>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42</w:t>
            </w:r>
          </w:p>
        </w:tc>
      </w:tr>
      <w:tr>
        <w:tblPrEx>
          <w:tblCellMar>
            <w:top w:w="0" w:type="dxa"/>
            <w:left w:w="108" w:type="dxa"/>
            <w:bottom w:w="0" w:type="dxa"/>
            <w:right w:w="108" w:type="dxa"/>
          </w:tblCellMar>
        </w:tblPrEx>
        <w:trPr>
          <w:trHeight w:val="414" w:hRule="atLeast"/>
          <w:jc w:val="center"/>
        </w:trPr>
        <w:tc>
          <w:tcPr>
            <w:tcW w:w="8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36</w:t>
            </w:r>
          </w:p>
        </w:tc>
        <w:tc>
          <w:tcPr>
            <w:tcW w:w="169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电源线</w:t>
            </w:r>
          </w:p>
        </w:tc>
        <w:tc>
          <w:tcPr>
            <w:tcW w:w="44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RVV2*1.0，施工时需提供权威机构出具的检测报告，验收时用户方有权通过第三方权威机构进行个点位检测，若检测使用线材未达标，用户方有权要求施工方从新施工直达标为止，施工前需按实际数量入库，使用时向用户方申请领取。</w:t>
            </w:r>
          </w:p>
        </w:tc>
        <w:tc>
          <w:tcPr>
            <w:tcW w:w="6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米</w:t>
            </w:r>
          </w:p>
        </w:tc>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1400</w:t>
            </w:r>
          </w:p>
        </w:tc>
      </w:tr>
      <w:tr>
        <w:tblPrEx>
          <w:tblCellMar>
            <w:top w:w="0" w:type="dxa"/>
            <w:left w:w="108" w:type="dxa"/>
            <w:bottom w:w="0" w:type="dxa"/>
            <w:right w:w="108" w:type="dxa"/>
          </w:tblCellMar>
        </w:tblPrEx>
        <w:trPr>
          <w:trHeight w:val="5867" w:hRule="atLeast"/>
          <w:jc w:val="center"/>
        </w:trPr>
        <w:tc>
          <w:tcPr>
            <w:tcW w:w="8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37</w:t>
            </w:r>
          </w:p>
        </w:tc>
        <w:tc>
          <w:tcPr>
            <w:tcW w:w="169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管材</w:t>
            </w:r>
          </w:p>
        </w:tc>
        <w:tc>
          <w:tcPr>
            <w:tcW w:w="44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拉伸屈服强度</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≥40MPa</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维卡软化温度</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≥90℃</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扁平试验</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无破裂</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落锤冲击试验</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≤10%</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外观</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内外壁光滑、平整，不允许有气泡、裂口和明显的痕纹、凹陷、色泽不均及分解变色线</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规格尺寸</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外径壁厚</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符合GB/T5836.1</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同一截面壁厚偏差</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≤14%</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纵向回缩率</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≤5%</w:t>
            </w:r>
          </w:p>
        </w:tc>
        <w:tc>
          <w:tcPr>
            <w:tcW w:w="6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米</w:t>
            </w:r>
          </w:p>
        </w:tc>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2000</w:t>
            </w:r>
          </w:p>
        </w:tc>
      </w:tr>
      <w:tr>
        <w:tblPrEx>
          <w:tblCellMar>
            <w:top w:w="0" w:type="dxa"/>
            <w:left w:w="108" w:type="dxa"/>
            <w:bottom w:w="0" w:type="dxa"/>
            <w:right w:w="108" w:type="dxa"/>
          </w:tblCellMar>
        </w:tblPrEx>
        <w:trPr>
          <w:trHeight w:val="2040" w:hRule="atLeast"/>
          <w:jc w:val="center"/>
        </w:trPr>
        <w:tc>
          <w:tcPr>
            <w:tcW w:w="8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38</w:t>
            </w:r>
          </w:p>
        </w:tc>
        <w:tc>
          <w:tcPr>
            <w:tcW w:w="169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辅助配件</w:t>
            </w:r>
          </w:p>
        </w:tc>
        <w:tc>
          <w:tcPr>
            <w:tcW w:w="44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系统集成调试所需的所有线材、各类线管、接配件、带12孔LC耦合器插件，双口86型数据面板，六类模块，各类信息插座、电视、电话插座，各类接线盒，机架跳线理线器、各类大对数电缆，100对110配线架(含链接模块)、12口ODF配线架、各类跳线、打线工具、光纤跳线、理线架、理线器、各类配线架、网络架构辅线、网络架构辅件、法兰、水晶头、标签、溶接等，以上配件要求能够满足全校网络及所有安装设备点位接入所用所需的附件。</w:t>
            </w:r>
          </w:p>
        </w:tc>
        <w:tc>
          <w:tcPr>
            <w:tcW w:w="6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项</w:t>
            </w:r>
          </w:p>
        </w:tc>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w:t>
            </w:r>
          </w:p>
        </w:tc>
      </w:tr>
    </w:tbl>
    <w:p>
      <w:pPr>
        <w:widowControl/>
        <w:spacing w:line="360" w:lineRule="auto"/>
        <w:jc w:val="left"/>
        <w:rPr>
          <w:rFonts w:hint="eastAsia" w:ascii="宋体" w:hAnsi="宋体" w:eastAsia="宋体" w:cs="宋体"/>
          <w:b/>
          <w:sz w:val="24"/>
          <w:szCs w:val="24"/>
          <w:highlight w:val="none"/>
        </w:rPr>
      </w:pPr>
      <w:r>
        <w:rPr>
          <w:rFonts w:hint="eastAsia" w:ascii="宋体" w:hAnsi="宋体" w:eastAsia="宋体" w:cs="宋体"/>
          <w:b/>
          <w:sz w:val="24"/>
          <w:szCs w:val="24"/>
          <w:highlight w:val="none"/>
        </w:rPr>
        <w:t>特别说明：</w:t>
      </w:r>
    </w:p>
    <w:p>
      <w:pPr>
        <w:pStyle w:val="2"/>
        <w:numPr>
          <w:ilvl w:val="0"/>
          <w:numId w:val="0"/>
        </w:numPr>
        <w:spacing w:line="360" w:lineRule="auto"/>
        <w:rPr>
          <w:rFonts w:hint="eastAsia" w:ascii="宋体" w:hAnsi="宋体" w:eastAsia="宋体" w:cs="宋体"/>
          <w:b/>
          <w:sz w:val="24"/>
          <w:szCs w:val="24"/>
          <w:highlight w:val="none"/>
          <w:lang w:val="en-US" w:eastAsia="zh-CN"/>
        </w:rPr>
      </w:pPr>
      <w:r>
        <w:rPr>
          <w:rFonts w:hint="eastAsia" w:ascii="宋体" w:hAnsi="宋体" w:eastAsia="宋体" w:cs="宋体"/>
          <w:b/>
          <w:sz w:val="24"/>
          <w:szCs w:val="24"/>
          <w:highlight w:val="none"/>
          <w:lang w:val="en-US" w:eastAsia="zh-CN"/>
        </w:rPr>
        <w:t>● 相关线材等材料工程量以现场</w:t>
      </w:r>
      <w:r>
        <w:rPr>
          <w:rFonts w:hint="eastAsia" w:hAnsi="宋体" w:cs="宋体"/>
          <w:b/>
          <w:sz w:val="24"/>
          <w:szCs w:val="24"/>
          <w:highlight w:val="none"/>
          <w:lang w:val="en-US" w:eastAsia="zh-CN"/>
        </w:rPr>
        <w:t>使用量</w:t>
      </w:r>
      <w:r>
        <w:rPr>
          <w:rFonts w:hint="eastAsia" w:ascii="宋体" w:hAnsi="宋体" w:eastAsia="宋体" w:cs="宋体"/>
          <w:b/>
          <w:sz w:val="24"/>
          <w:szCs w:val="24"/>
          <w:highlight w:val="none"/>
          <w:lang w:val="en-US" w:eastAsia="zh-CN"/>
        </w:rPr>
        <w:t>为准。</w:t>
      </w:r>
    </w:p>
    <w:p>
      <w:pPr>
        <w:pStyle w:val="2"/>
        <w:numPr>
          <w:ilvl w:val="0"/>
          <w:numId w:val="0"/>
        </w:numPr>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lang w:val="en-US" w:eastAsia="zh-CN"/>
        </w:rPr>
        <w:t xml:space="preserve">● </w:t>
      </w:r>
      <w:r>
        <w:rPr>
          <w:rFonts w:hint="eastAsia" w:ascii="宋体" w:hAnsi="宋体" w:eastAsia="宋体" w:cs="宋体"/>
          <w:b/>
          <w:color w:val="000000"/>
          <w:sz w:val="24"/>
          <w:szCs w:val="24"/>
          <w:highlight w:val="none"/>
        </w:rPr>
        <w:t>上述表格为</w:t>
      </w:r>
      <w:r>
        <w:rPr>
          <w:rFonts w:hint="eastAsia" w:ascii="宋体" w:hAnsi="宋体" w:eastAsia="宋体" w:cs="宋体"/>
          <w:sz w:val="24"/>
          <w:szCs w:val="24"/>
          <w:highlight w:val="none"/>
        </w:rPr>
        <w:t>本项目的设备产品详细技术规格要求，投标人必须对技术要求有明确的响应，针对采购要求如实描述是否偏离。</w:t>
      </w:r>
      <w:r>
        <w:rPr>
          <w:rFonts w:hint="eastAsia" w:ascii="宋体" w:hAnsi="宋体" w:eastAsia="宋体" w:cs="宋体"/>
          <w:b/>
          <w:sz w:val="24"/>
          <w:szCs w:val="24"/>
          <w:highlight w:val="none"/>
        </w:rPr>
        <w:t>投标人可参考采购单位推荐的参数配置，也欢迎优于本项目技术需求且性能相当的产品参加。</w:t>
      </w:r>
    </w:p>
    <w:p>
      <w:pPr>
        <w:spacing w:line="360" w:lineRule="auto"/>
        <w:rPr>
          <w:rFonts w:hint="eastAsia" w:ascii="宋体" w:hAnsi="宋体" w:eastAsia="宋体" w:cs="宋体"/>
          <w:sz w:val="24"/>
          <w:szCs w:val="24"/>
          <w:highlight w:val="none"/>
        </w:rPr>
      </w:pPr>
      <w:r>
        <w:rPr>
          <w:rFonts w:hint="eastAsia" w:ascii="宋体" w:hAnsi="宋体" w:eastAsia="宋体" w:cs="宋体"/>
          <w:b/>
          <w:sz w:val="24"/>
          <w:szCs w:val="24"/>
          <w:highlight w:val="none"/>
          <w:lang w:val="en-US" w:eastAsia="zh-CN"/>
        </w:rPr>
        <w:t xml:space="preserve">● </w:t>
      </w:r>
      <w:r>
        <w:rPr>
          <w:rFonts w:hint="eastAsia" w:ascii="宋体" w:hAnsi="宋体" w:eastAsia="宋体" w:cs="宋体"/>
          <w:sz w:val="24"/>
          <w:szCs w:val="24"/>
          <w:highlight w:val="none"/>
        </w:rPr>
        <w:t>投标方在招标前可自行前往现场实地勘察，以便充分了解现状和甲方需求，便于对项目做出合理规划，并在投标时给出合理化建议和设计，便于后期实施、维护。</w:t>
      </w:r>
    </w:p>
    <w:p>
      <w:pPr>
        <w:spacing w:line="360" w:lineRule="auto"/>
        <w:rPr>
          <w:rFonts w:hint="eastAsia" w:ascii="宋体" w:hAnsi="宋体" w:eastAsia="宋体" w:cs="宋体"/>
          <w:sz w:val="24"/>
          <w:szCs w:val="24"/>
          <w:highlight w:val="none"/>
        </w:rPr>
      </w:pPr>
      <w:r>
        <w:rPr>
          <w:rFonts w:hint="eastAsia" w:ascii="宋体" w:hAnsi="宋体" w:eastAsia="宋体" w:cs="宋体"/>
          <w:b/>
          <w:sz w:val="24"/>
          <w:szCs w:val="24"/>
          <w:highlight w:val="none"/>
          <w:lang w:val="en-US" w:eastAsia="zh-CN"/>
        </w:rPr>
        <w:t xml:space="preserve">● </w:t>
      </w:r>
      <w:r>
        <w:rPr>
          <w:rFonts w:hint="eastAsia" w:ascii="宋体" w:hAnsi="宋体" w:eastAsia="宋体" w:cs="宋体"/>
          <w:sz w:val="24"/>
          <w:szCs w:val="24"/>
          <w:highlight w:val="none"/>
        </w:rPr>
        <w:t>中标人交货时应对提供的货物列出清单，在完全符合要求后，在交付清单上双方签字确认，如有产品达不到技术标准，采购人有权拒绝签字，直到符合技术要求，采购人才做交付验收，该清单作为验收必备技术文档。</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rPr>
        <w:t>5</w:t>
      </w:r>
      <w:r>
        <w:rPr>
          <w:rFonts w:hint="eastAsia" w:ascii="宋体" w:hAnsi="宋体" w:eastAsia="宋体" w:cs="宋体"/>
          <w:sz w:val="24"/>
          <w:szCs w:val="24"/>
          <w:highlight w:val="none"/>
        </w:rPr>
        <w:t>、售后服务：</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（1）软件及设备质保期必须验收合格后≥3年，设施设备质保期满后提供上门服务，仅收取材料费（所有费用包含在投标总价中）；</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（2）投标方在保修期内，应承诺提供7×24小时免备件费、免人工费、免服务费的服务，软硬件系统出现故障影响正常运行的，半小时内响应，2小时内到现场，4小时内解决问题</w:t>
      </w:r>
      <w:r>
        <w:rPr>
          <w:rFonts w:hint="eastAsia" w:ascii="宋体" w:hAnsi="宋体" w:eastAsia="宋体" w:cs="宋体"/>
          <w:kern w:val="0"/>
          <w:sz w:val="24"/>
          <w:szCs w:val="24"/>
          <w:highlight w:val="none"/>
          <w:lang w:val="zh-CN"/>
        </w:rPr>
        <w:t>。若12小时内不能解决问题的，必须提供备机或其他保障措施，以保证采购单位的正常使用。</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（3）投标人应具有完善的售后服务体系，建有零配件仓库。投标人应提供质保期后的服务计划或建议，明确收费事项及标准；</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（4）提供售后服务部门及维修网点的联系电话；</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（5）投标方的售后服务应以招标方能够获得系统良好的使用效果和技术支持为目的，投标方应随投标书提交一份售后服务和技术支持计划。</w:t>
      </w:r>
    </w:p>
    <w:p>
      <w:pPr>
        <w:pStyle w:val="3"/>
        <w:keepNext w:val="0"/>
        <w:keepLines/>
        <w:pageBreakBefore w:val="0"/>
        <w:widowControl w:val="0"/>
        <w:kinsoku/>
        <w:wordWrap/>
        <w:overflowPunct/>
        <w:topLinePunct w:val="0"/>
        <w:autoSpaceDE/>
        <w:autoSpaceDN/>
        <w:bidi w:val="0"/>
        <w:adjustRightInd w:val="0"/>
        <w:snapToGrid/>
        <w:spacing w:before="0" w:after="0" w:line="360" w:lineRule="auto"/>
        <w:ind w:left="431" w:hanging="431"/>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w:t>
      </w:r>
      <w:r>
        <w:rPr>
          <w:rFonts w:hint="eastAsia" w:ascii="宋体" w:hAnsi="宋体" w:eastAsia="宋体" w:cs="宋体"/>
          <w:color w:val="auto"/>
          <w:sz w:val="28"/>
          <w:szCs w:val="28"/>
          <w:highlight w:val="none"/>
        </w:rPr>
        <w:t>其它</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1、建设周期</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为保证</w:t>
      </w:r>
      <w:r>
        <w:rPr>
          <w:rFonts w:hint="eastAsia" w:ascii="宋体" w:hAnsi="宋体" w:eastAsia="宋体" w:cs="宋体"/>
          <w:bCs/>
          <w:sz w:val="24"/>
          <w:highlight w:val="none"/>
          <w:lang w:eastAsia="zh-CN"/>
        </w:rPr>
        <w:t>杭州市文溪中学校园网络及监控系统建设采购项目</w:t>
      </w:r>
      <w:r>
        <w:rPr>
          <w:rFonts w:hint="eastAsia" w:ascii="宋体" w:hAnsi="宋体" w:eastAsia="宋体" w:cs="宋体"/>
          <w:sz w:val="24"/>
          <w:szCs w:val="24"/>
          <w:highlight w:val="none"/>
        </w:rPr>
        <w:t>的顺利建设，本次设备采购、到货、安装、调试工作应在合同签订后30天内完成全部建设内容；正常试运行1个月，培训并交付使用，并制定相应的项目实施详细进度计划。</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2、培训</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中标人应对用户进行培训，并承担所有费用，使其能对设备进行日常的维护保养及能对一般故障进行维修，并向培训人员提供详细的技术维修及调试参数资料；中标人应对用户的操作人员进行技术操作培训并提供详细的操作手册，所有费用由中标人承担；  上述两种培训的培训方式、地点、人数、时间，投标商应在投标文件中详细说明。</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3、安装、调试与验收</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有责任检查安装现场是否符合产品安装条件，事先提出对安装的环境的要求。</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本项目涉及的设备由投标人负责测试、安装、调试和有关配置工作，投标人应提供详细的具有时效性的测试、安装、调试方案，经用户确认后，作为设备验收的标准，投标人应按上述方案完成测试、安装、调试和有关配置工作。</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投标人需保证设备均为制造商原产原装产品，保证所提供货物是全新的、未使用过的，并完全符合合同规定的质量、规格和性能的要求。货物到达用户指定的现场后，由投标人与用户共核对装箱单，共同开箱（若有争议，请质检机构检验确定），依照合同的货物清单清点，并进行签字确认。</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项目实验过程中，若牵涉到与第三方产品集成工作，投标人应与其他供应商通力合作，并提供必要的技术支持。</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投标人保证其提供的货物在正确安装、正常使用和保养条件下，在使用寿命期内具有满意的性能，投标人对由于产品设计、工艺或材料的缺陷而产生的故障负责与原制造厂商并协助解决。</w:t>
      </w:r>
    </w:p>
    <w:p>
      <w:pPr>
        <w:spacing w:line="360" w:lineRule="auto"/>
        <w:ind w:firstLine="480" w:firstLineChars="200"/>
        <w:rPr>
          <w:rFonts w:hint="eastAsia"/>
          <w:highlight w:val="none"/>
          <w:lang w:eastAsia="zh-CN"/>
        </w:rPr>
      </w:pPr>
      <w:r>
        <w:rPr>
          <w:rFonts w:hint="eastAsia" w:ascii="宋体" w:hAnsi="宋体" w:eastAsia="宋体" w:cs="宋体"/>
          <w:sz w:val="24"/>
          <w:szCs w:val="24"/>
          <w:highlight w:val="none"/>
        </w:rPr>
        <w:t>投标人承诺本次提供的所有设备满足标书要求，对标书中的变更修改内容以本合同的设备配置附件为准。投标人承诺所有的设备满足技术完整性要求。如有线缆、附件等遗漏，影响设备安装和运行，由投标人承担并负责解决。</w:t>
      </w:r>
    </w:p>
    <w:p>
      <w:pPr>
        <w:pStyle w:val="25"/>
        <w:rPr>
          <w:rFonts w:ascii="宋体" w:hAnsi="宋体" w:cs="宋体"/>
          <w:b/>
          <w:sz w:val="36"/>
          <w:szCs w:val="36"/>
          <w:highlight w:val="none"/>
        </w:rPr>
      </w:pPr>
    </w:p>
    <w:p>
      <w:pPr>
        <w:pStyle w:val="25"/>
        <w:rPr>
          <w:rFonts w:ascii="宋体" w:hAnsi="宋体" w:cs="宋体"/>
          <w:b/>
          <w:sz w:val="36"/>
          <w:szCs w:val="36"/>
          <w:highlight w:val="none"/>
        </w:rPr>
      </w:pPr>
    </w:p>
    <w:p>
      <w:pPr>
        <w:pStyle w:val="25"/>
        <w:rPr>
          <w:rFonts w:ascii="宋体" w:hAnsi="宋体" w:cs="宋体"/>
          <w:b/>
          <w:sz w:val="36"/>
          <w:szCs w:val="36"/>
          <w:highlight w:val="none"/>
        </w:rPr>
      </w:pPr>
    </w:p>
    <w:p>
      <w:pPr>
        <w:pStyle w:val="25"/>
        <w:rPr>
          <w:rFonts w:ascii="宋体" w:hAnsi="宋体" w:cs="宋体"/>
          <w:b/>
          <w:sz w:val="36"/>
          <w:szCs w:val="36"/>
          <w:highlight w:val="none"/>
        </w:rPr>
      </w:pPr>
    </w:p>
    <w:p>
      <w:pPr>
        <w:pStyle w:val="25"/>
        <w:rPr>
          <w:rFonts w:ascii="宋体" w:hAnsi="宋体" w:cs="宋体"/>
          <w:b/>
          <w:sz w:val="36"/>
          <w:szCs w:val="36"/>
          <w:highlight w:val="none"/>
        </w:rPr>
      </w:pPr>
    </w:p>
    <w:p>
      <w:pPr>
        <w:pStyle w:val="25"/>
        <w:rPr>
          <w:rFonts w:ascii="宋体" w:hAnsi="宋体" w:cs="宋体"/>
          <w:b/>
          <w:sz w:val="36"/>
          <w:szCs w:val="36"/>
          <w:highlight w:val="none"/>
        </w:rPr>
      </w:pPr>
    </w:p>
    <w:p>
      <w:pPr>
        <w:pStyle w:val="25"/>
        <w:rPr>
          <w:rFonts w:ascii="宋体" w:hAnsi="宋体" w:cs="宋体"/>
          <w:b/>
          <w:sz w:val="36"/>
          <w:szCs w:val="36"/>
          <w:highlight w:val="none"/>
        </w:rPr>
      </w:pPr>
    </w:p>
    <w:p>
      <w:pPr>
        <w:pStyle w:val="25"/>
        <w:rPr>
          <w:rFonts w:ascii="宋体" w:hAnsi="宋体" w:cs="宋体"/>
          <w:b/>
          <w:sz w:val="36"/>
          <w:szCs w:val="36"/>
          <w:highlight w:val="none"/>
        </w:rPr>
      </w:pPr>
    </w:p>
    <w:p>
      <w:pPr>
        <w:pStyle w:val="25"/>
        <w:rPr>
          <w:rFonts w:ascii="宋体" w:hAnsi="宋体" w:cs="宋体"/>
          <w:b/>
          <w:sz w:val="36"/>
          <w:szCs w:val="36"/>
          <w:highlight w:val="none"/>
        </w:rPr>
      </w:pPr>
    </w:p>
    <w:p>
      <w:pPr>
        <w:pStyle w:val="25"/>
        <w:rPr>
          <w:rFonts w:ascii="宋体" w:hAnsi="宋体" w:cs="宋体"/>
          <w:b/>
          <w:sz w:val="36"/>
          <w:szCs w:val="36"/>
          <w:highlight w:val="none"/>
        </w:rPr>
      </w:pPr>
    </w:p>
    <w:p>
      <w:pPr>
        <w:pStyle w:val="25"/>
        <w:rPr>
          <w:rFonts w:ascii="宋体" w:hAnsi="宋体" w:cs="宋体"/>
          <w:b/>
          <w:sz w:val="36"/>
          <w:szCs w:val="36"/>
          <w:highlight w:val="none"/>
        </w:rPr>
      </w:pPr>
    </w:p>
    <w:p>
      <w:pPr>
        <w:pStyle w:val="25"/>
        <w:rPr>
          <w:rFonts w:ascii="宋体" w:hAnsi="宋体" w:cs="宋体"/>
          <w:b/>
          <w:sz w:val="36"/>
          <w:szCs w:val="36"/>
          <w:highlight w:val="none"/>
        </w:rPr>
      </w:pPr>
    </w:p>
    <w:p>
      <w:pPr>
        <w:pStyle w:val="25"/>
        <w:rPr>
          <w:rFonts w:ascii="宋体" w:hAnsi="宋体" w:cs="宋体"/>
          <w:b/>
          <w:sz w:val="36"/>
          <w:szCs w:val="36"/>
          <w:highlight w:val="none"/>
        </w:rPr>
      </w:pPr>
    </w:p>
    <w:p>
      <w:pPr>
        <w:pStyle w:val="25"/>
        <w:rPr>
          <w:rFonts w:ascii="宋体" w:hAnsi="宋体" w:cs="宋体"/>
          <w:b/>
          <w:sz w:val="36"/>
          <w:szCs w:val="36"/>
          <w:highlight w:val="none"/>
        </w:rPr>
      </w:pPr>
    </w:p>
    <w:p>
      <w:pPr>
        <w:pStyle w:val="25"/>
        <w:rPr>
          <w:rFonts w:ascii="宋体" w:hAnsi="宋体" w:cs="宋体"/>
          <w:b/>
          <w:sz w:val="36"/>
          <w:szCs w:val="36"/>
          <w:highlight w:val="none"/>
        </w:rPr>
      </w:pPr>
    </w:p>
    <w:p>
      <w:pPr>
        <w:rPr>
          <w:rFonts w:ascii="宋体" w:hAnsi="宋体" w:cs="宋体"/>
          <w:b/>
          <w:sz w:val="36"/>
          <w:szCs w:val="36"/>
          <w:highlight w:val="none"/>
        </w:rPr>
      </w:pPr>
    </w:p>
    <w:p>
      <w:pPr>
        <w:snapToGrid w:val="0"/>
        <w:spacing w:line="360" w:lineRule="auto"/>
        <w:jc w:val="center"/>
        <w:rPr>
          <w:rFonts w:hint="eastAsia" w:ascii="宋体" w:hAnsi="宋体" w:cs="宋体"/>
          <w:b/>
          <w:sz w:val="36"/>
          <w:szCs w:val="36"/>
          <w:highlight w:val="none"/>
        </w:rPr>
      </w:pPr>
    </w:p>
    <w:p>
      <w:pPr>
        <w:pStyle w:val="2"/>
        <w:rPr>
          <w:rFonts w:hint="eastAsia"/>
          <w:highlight w:val="none"/>
        </w:rPr>
      </w:pPr>
    </w:p>
    <w:p>
      <w:pPr>
        <w:snapToGrid w:val="0"/>
        <w:spacing w:line="360" w:lineRule="auto"/>
        <w:jc w:val="center"/>
        <w:rPr>
          <w:rFonts w:ascii="宋体" w:hAnsi="宋体" w:cs="宋体"/>
          <w:b/>
          <w:sz w:val="36"/>
          <w:szCs w:val="36"/>
          <w:highlight w:val="none"/>
        </w:rPr>
      </w:pPr>
      <w:r>
        <w:rPr>
          <w:rFonts w:hint="eastAsia" w:ascii="宋体" w:hAnsi="宋体" w:cs="宋体"/>
          <w:b/>
          <w:sz w:val="36"/>
          <w:szCs w:val="36"/>
          <w:highlight w:val="none"/>
        </w:rPr>
        <w:t xml:space="preserve">第四部分   </w:t>
      </w:r>
      <w:bookmarkStart w:id="31" w:name="_Toc184312084"/>
      <w:bookmarkEnd w:id="31"/>
      <w:bookmarkStart w:id="32" w:name="_Toc184308061"/>
      <w:bookmarkEnd w:id="32"/>
      <w:bookmarkStart w:id="33" w:name="_Toc184314479"/>
      <w:bookmarkEnd w:id="33"/>
      <w:bookmarkStart w:id="34" w:name="_Toc184310289"/>
      <w:bookmarkEnd w:id="34"/>
      <w:bookmarkStart w:id="35" w:name="_Toc184308086"/>
      <w:bookmarkEnd w:id="35"/>
      <w:bookmarkStart w:id="36" w:name="_Toc184314431"/>
      <w:bookmarkEnd w:id="36"/>
      <w:bookmarkStart w:id="37" w:name="_Toc184312073"/>
      <w:bookmarkEnd w:id="37"/>
      <w:bookmarkStart w:id="38" w:name="_Toc184308044"/>
      <w:bookmarkEnd w:id="38"/>
      <w:bookmarkStart w:id="39" w:name="_Toc184310318"/>
      <w:bookmarkEnd w:id="39"/>
      <w:bookmarkStart w:id="40" w:name="_Toc184313259"/>
      <w:bookmarkEnd w:id="40"/>
      <w:bookmarkStart w:id="41" w:name="_Toc184312089"/>
      <w:bookmarkEnd w:id="41"/>
      <w:bookmarkStart w:id="42" w:name="_Toc184313244"/>
      <w:bookmarkEnd w:id="42"/>
      <w:bookmarkStart w:id="43" w:name="_Toc184314473"/>
      <w:bookmarkEnd w:id="43"/>
      <w:bookmarkStart w:id="44" w:name="_Toc184312085"/>
      <w:bookmarkEnd w:id="44"/>
      <w:bookmarkStart w:id="45" w:name="_Toc184312104"/>
      <w:bookmarkEnd w:id="45"/>
      <w:bookmarkStart w:id="46" w:name="_Toc184312086"/>
      <w:bookmarkEnd w:id="46"/>
      <w:bookmarkStart w:id="47" w:name="_Toc184313295"/>
      <w:bookmarkEnd w:id="47"/>
      <w:bookmarkStart w:id="48" w:name="_Toc184312111"/>
      <w:bookmarkEnd w:id="48"/>
      <w:bookmarkStart w:id="49" w:name="_Toc184313282"/>
      <w:bookmarkEnd w:id="49"/>
      <w:bookmarkStart w:id="50" w:name="_Toc184314461"/>
      <w:bookmarkEnd w:id="50"/>
      <w:bookmarkStart w:id="51" w:name="_Toc184310319"/>
      <w:bookmarkEnd w:id="51"/>
      <w:bookmarkStart w:id="52" w:name="_Toc184310285"/>
      <w:bookmarkEnd w:id="52"/>
      <w:bookmarkStart w:id="53" w:name="_Toc184312093"/>
      <w:bookmarkEnd w:id="53"/>
      <w:bookmarkStart w:id="54" w:name="_Toc184313238"/>
      <w:bookmarkEnd w:id="54"/>
      <w:bookmarkStart w:id="55" w:name="_Toc184312129"/>
      <w:bookmarkEnd w:id="55"/>
      <w:bookmarkStart w:id="56" w:name="_Toc184314444"/>
      <w:bookmarkEnd w:id="56"/>
      <w:bookmarkStart w:id="57" w:name="_Toc184312074"/>
      <w:bookmarkEnd w:id="57"/>
      <w:bookmarkStart w:id="58" w:name="_Toc184314480"/>
      <w:bookmarkEnd w:id="58"/>
      <w:bookmarkStart w:id="59" w:name="_Toc184310312"/>
      <w:bookmarkEnd w:id="59"/>
      <w:bookmarkStart w:id="60" w:name="_Toc184314432"/>
      <w:bookmarkEnd w:id="60"/>
      <w:bookmarkStart w:id="61" w:name="_Toc184308066"/>
      <w:bookmarkEnd w:id="61"/>
      <w:bookmarkStart w:id="62" w:name="_Toc184310328"/>
      <w:bookmarkEnd w:id="62"/>
      <w:bookmarkStart w:id="63" w:name="_Toc184310324"/>
      <w:bookmarkEnd w:id="63"/>
      <w:bookmarkStart w:id="64" w:name="_Toc184312102"/>
      <w:bookmarkEnd w:id="64"/>
      <w:bookmarkStart w:id="65" w:name="_Toc184312078"/>
      <w:bookmarkEnd w:id="65"/>
      <w:bookmarkStart w:id="66" w:name="_Toc184312075"/>
      <w:bookmarkEnd w:id="66"/>
      <w:bookmarkStart w:id="67" w:name="_Toc184314420"/>
      <w:bookmarkEnd w:id="67"/>
      <w:bookmarkStart w:id="68" w:name="_Toc184308059"/>
      <w:bookmarkEnd w:id="68"/>
      <w:bookmarkStart w:id="69" w:name="_Toc184310284"/>
      <w:bookmarkEnd w:id="69"/>
      <w:bookmarkStart w:id="70" w:name="_Toc184314445"/>
      <w:bookmarkEnd w:id="70"/>
      <w:bookmarkStart w:id="71" w:name="_Toc184314482"/>
      <w:bookmarkEnd w:id="71"/>
      <w:bookmarkStart w:id="72" w:name="_Toc184308041"/>
      <w:bookmarkEnd w:id="72"/>
      <w:bookmarkStart w:id="73" w:name="_Toc184313306"/>
      <w:bookmarkEnd w:id="73"/>
      <w:bookmarkStart w:id="74" w:name="_Toc184313265"/>
      <w:bookmarkEnd w:id="74"/>
      <w:bookmarkStart w:id="75" w:name="_Toc184308079"/>
      <w:bookmarkEnd w:id="75"/>
      <w:bookmarkStart w:id="76" w:name="_Toc184312079"/>
      <w:bookmarkEnd w:id="76"/>
      <w:bookmarkStart w:id="77" w:name="_Toc184313274"/>
      <w:bookmarkEnd w:id="77"/>
      <w:bookmarkStart w:id="78" w:name="_Toc184314415"/>
      <w:bookmarkEnd w:id="78"/>
      <w:bookmarkStart w:id="79" w:name="_Toc184312099"/>
      <w:bookmarkEnd w:id="79"/>
      <w:bookmarkStart w:id="80" w:name="_Toc184314460"/>
      <w:bookmarkEnd w:id="80"/>
      <w:bookmarkStart w:id="81" w:name="_Toc184313269"/>
      <w:bookmarkEnd w:id="81"/>
      <w:bookmarkStart w:id="82" w:name="_Toc184308108"/>
      <w:bookmarkEnd w:id="82"/>
      <w:bookmarkStart w:id="83" w:name="_Toc184312107"/>
      <w:bookmarkEnd w:id="83"/>
      <w:bookmarkStart w:id="84" w:name="_Toc184313268"/>
      <w:bookmarkEnd w:id="84"/>
      <w:bookmarkStart w:id="85" w:name="_Toc184310323"/>
      <w:bookmarkEnd w:id="85"/>
      <w:bookmarkStart w:id="86" w:name="_Toc184313256"/>
      <w:bookmarkEnd w:id="86"/>
      <w:bookmarkStart w:id="87" w:name="_Toc184314478"/>
      <w:bookmarkEnd w:id="87"/>
      <w:bookmarkStart w:id="88" w:name="_Toc184310292"/>
      <w:bookmarkEnd w:id="88"/>
      <w:bookmarkStart w:id="89" w:name="_Toc184310339"/>
      <w:bookmarkEnd w:id="89"/>
      <w:bookmarkStart w:id="90" w:name="_Toc184310272"/>
      <w:bookmarkEnd w:id="90"/>
      <w:bookmarkStart w:id="91" w:name="_Toc184313262"/>
      <w:bookmarkEnd w:id="91"/>
      <w:bookmarkStart w:id="92" w:name="_Toc184308100"/>
      <w:bookmarkEnd w:id="92"/>
      <w:bookmarkStart w:id="93" w:name="_Toc184310287"/>
      <w:bookmarkEnd w:id="93"/>
      <w:bookmarkStart w:id="94" w:name="_Toc184314462"/>
      <w:bookmarkEnd w:id="94"/>
      <w:bookmarkStart w:id="95" w:name="_Toc184308096"/>
      <w:bookmarkEnd w:id="95"/>
      <w:bookmarkStart w:id="96" w:name="_Toc184310295"/>
      <w:bookmarkEnd w:id="96"/>
      <w:bookmarkStart w:id="97" w:name="_Toc184310343"/>
      <w:bookmarkEnd w:id="97"/>
      <w:bookmarkStart w:id="98" w:name="_Toc184314421"/>
      <w:bookmarkEnd w:id="98"/>
      <w:bookmarkStart w:id="99" w:name="_Toc184313271"/>
      <w:bookmarkEnd w:id="99"/>
      <w:bookmarkStart w:id="100" w:name="_Toc184310299"/>
      <w:bookmarkEnd w:id="100"/>
      <w:bookmarkStart w:id="101" w:name="_Toc184312110"/>
      <w:bookmarkEnd w:id="101"/>
      <w:bookmarkStart w:id="102" w:name="_Toc184308050"/>
      <w:bookmarkEnd w:id="102"/>
      <w:bookmarkStart w:id="103" w:name="_Toc184314428"/>
      <w:bookmarkEnd w:id="103"/>
      <w:bookmarkStart w:id="104" w:name="_Toc184312115"/>
      <w:bookmarkEnd w:id="104"/>
      <w:bookmarkStart w:id="105" w:name="_Toc184312067"/>
      <w:bookmarkEnd w:id="105"/>
      <w:bookmarkStart w:id="106" w:name="_Toc184312070"/>
      <w:bookmarkEnd w:id="106"/>
      <w:bookmarkStart w:id="107" w:name="_Toc184314414"/>
      <w:bookmarkEnd w:id="107"/>
      <w:bookmarkStart w:id="108" w:name="_Toc184308063"/>
      <w:bookmarkEnd w:id="108"/>
      <w:bookmarkStart w:id="109" w:name="_Toc184312101"/>
      <w:bookmarkEnd w:id="109"/>
      <w:bookmarkStart w:id="110" w:name="_Toc184310293"/>
      <w:bookmarkEnd w:id="110"/>
      <w:bookmarkStart w:id="111" w:name="_Toc184313252"/>
      <w:bookmarkEnd w:id="111"/>
      <w:bookmarkStart w:id="112" w:name="_Toc184310283"/>
      <w:bookmarkEnd w:id="112"/>
      <w:bookmarkStart w:id="113" w:name="_Toc184314429"/>
      <w:bookmarkEnd w:id="113"/>
      <w:bookmarkStart w:id="114" w:name="_Toc184310296"/>
      <w:bookmarkEnd w:id="114"/>
      <w:bookmarkStart w:id="115" w:name="_Toc184308052"/>
      <w:bookmarkEnd w:id="115"/>
      <w:bookmarkStart w:id="116" w:name="_Toc184312139"/>
      <w:bookmarkEnd w:id="116"/>
      <w:bookmarkStart w:id="117" w:name="_Toc184312080"/>
      <w:bookmarkEnd w:id="117"/>
      <w:bookmarkStart w:id="118" w:name="_Toc184310282"/>
      <w:bookmarkEnd w:id="118"/>
      <w:bookmarkStart w:id="119" w:name="_Toc184314472"/>
      <w:bookmarkEnd w:id="119"/>
      <w:bookmarkStart w:id="120" w:name="_Toc184308045"/>
      <w:bookmarkEnd w:id="120"/>
      <w:bookmarkStart w:id="121" w:name="_Toc184313277"/>
      <w:bookmarkEnd w:id="121"/>
      <w:bookmarkStart w:id="122" w:name="_Toc184314464"/>
      <w:bookmarkEnd w:id="122"/>
      <w:bookmarkStart w:id="123" w:name="_Toc184310313"/>
      <w:bookmarkEnd w:id="123"/>
      <w:bookmarkStart w:id="124" w:name="_Toc184313284"/>
      <w:bookmarkEnd w:id="124"/>
      <w:bookmarkStart w:id="125" w:name="_Toc184308069"/>
      <w:bookmarkEnd w:id="125"/>
      <w:bookmarkStart w:id="126" w:name="_Toc184313292"/>
      <w:bookmarkEnd w:id="126"/>
      <w:bookmarkStart w:id="127" w:name="_Toc184313275"/>
      <w:bookmarkEnd w:id="127"/>
      <w:bookmarkStart w:id="128" w:name="_Toc184312124"/>
      <w:bookmarkEnd w:id="128"/>
      <w:bookmarkStart w:id="129" w:name="_Toc184308082"/>
      <w:bookmarkEnd w:id="129"/>
      <w:bookmarkStart w:id="130" w:name="_Toc184314471"/>
      <w:bookmarkEnd w:id="130"/>
      <w:bookmarkStart w:id="131" w:name="_Toc184312105"/>
      <w:bookmarkEnd w:id="131"/>
      <w:bookmarkStart w:id="132" w:name="_Toc184313302"/>
      <w:bookmarkEnd w:id="132"/>
      <w:bookmarkStart w:id="133" w:name="_Toc184313307"/>
      <w:bookmarkEnd w:id="133"/>
      <w:bookmarkStart w:id="134" w:name="_Toc184312128"/>
      <w:bookmarkEnd w:id="134"/>
      <w:bookmarkStart w:id="135" w:name="_Toc184313283"/>
      <w:bookmarkEnd w:id="135"/>
      <w:bookmarkStart w:id="136" w:name="_Toc184313249"/>
      <w:bookmarkEnd w:id="136"/>
      <w:bookmarkStart w:id="137" w:name="_Toc184314450"/>
      <w:bookmarkEnd w:id="137"/>
      <w:bookmarkStart w:id="138" w:name="_Toc184310300"/>
      <w:bookmarkEnd w:id="138"/>
      <w:bookmarkStart w:id="139" w:name="_Toc184313240"/>
      <w:bookmarkEnd w:id="139"/>
      <w:bookmarkStart w:id="140" w:name="_Toc184314422"/>
      <w:bookmarkEnd w:id="140"/>
      <w:bookmarkStart w:id="141" w:name="_Toc184308060"/>
      <w:bookmarkEnd w:id="141"/>
      <w:bookmarkStart w:id="142" w:name="_Toc184313276"/>
      <w:bookmarkEnd w:id="142"/>
      <w:bookmarkStart w:id="143" w:name="_Toc184313305"/>
      <w:bookmarkEnd w:id="143"/>
      <w:bookmarkStart w:id="144" w:name="_Toc184314410"/>
      <w:bookmarkEnd w:id="144"/>
      <w:bookmarkStart w:id="145" w:name="_Toc184314448"/>
      <w:bookmarkEnd w:id="145"/>
      <w:bookmarkStart w:id="146" w:name="_Toc184308053"/>
      <w:bookmarkEnd w:id="146"/>
      <w:bookmarkStart w:id="147" w:name="_Toc184313309"/>
      <w:bookmarkEnd w:id="147"/>
      <w:bookmarkStart w:id="148" w:name="_Toc184310320"/>
      <w:bookmarkEnd w:id="148"/>
      <w:bookmarkStart w:id="149" w:name="_Toc184314430"/>
      <w:bookmarkEnd w:id="149"/>
      <w:bookmarkStart w:id="150" w:name="_Toc184313291"/>
      <w:bookmarkEnd w:id="150"/>
      <w:bookmarkStart w:id="151" w:name="_Toc184310332"/>
      <w:bookmarkEnd w:id="151"/>
      <w:bookmarkStart w:id="152" w:name="_Toc184314451"/>
      <w:bookmarkEnd w:id="152"/>
      <w:bookmarkStart w:id="153" w:name="_Toc184314455"/>
      <w:bookmarkEnd w:id="153"/>
      <w:bookmarkStart w:id="154" w:name="_Toc184308076"/>
      <w:bookmarkEnd w:id="154"/>
      <w:bookmarkStart w:id="155" w:name="_Toc184308070"/>
      <w:bookmarkEnd w:id="155"/>
      <w:bookmarkStart w:id="156" w:name="_Toc184314426"/>
      <w:bookmarkEnd w:id="156"/>
      <w:bookmarkStart w:id="157" w:name="_Toc184310302"/>
      <w:bookmarkEnd w:id="157"/>
      <w:bookmarkStart w:id="158" w:name="_Toc184310309"/>
      <w:bookmarkEnd w:id="158"/>
      <w:bookmarkStart w:id="159" w:name="_Toc184308073"/>
      <w:bookmarkEnd w:id="159"/>
      <w:bookmarkStart w:id="160" w:name="_Toc184308098"/>
      <w:bookmarkEnd w:id="160"/>
      <w:bookmarkStart w:id="161" w:name="_Toc184314454"/>
      <w:bookmarkEnd w:id="161"/>
      <w:bookmarkStart w:id="162" w:name="_Toc184312122"/>
      <w:bookmarkEnd w:id="162"/>
      <w:bookmarkStart w:id="163" w:name="_Toc184312098"/>
      <w:bookmarkEnd w:id="163"/>
      <w:bookmarkStart w:id="164" w:name="_Toc184313258"/>
      <w:bookmarkEnd w:id="164"/>
      <w:bookmarkStart w:id="165" w:name="_Toc184308077"/>
      <w:bookmarkEnd w:id="165"/>
      <w:bookmarkStart w:id="166" w:name="_Toc184313247"/>
      <w:bookmarkEnd w:id="166"/>
      <w:bookmarkStart w:id="167" w:name="_Toc184313255"/>
      <w:bookmarkEnd w:id="167"/>
      <w:bookmarkStart w:id="168" w:name="_Toc184308107"/>
      <w:bookmarkEnd w:id="168"/>
      <w:bookmarkStart w:id="169" w:name="_Toc184310321"/>
      <w:bookmarkEnd w:id="169"/>
      <w:bookmarkStart w:id="170" w:name="_Toc184310330"/>
      <w:bookmarkEnd w:id="170"/>
      <w:bookmarkStart w:id="171" w:name="_Toc184312126"/>
      <w:bookmarkEnd w:id="171"/>
      <w:bookmarkStart w:id="172" w:name="_Toc184308054"/>
      <w:bookmarkEnd w:id="172"/>
      <w:bookmarkStart w:id="173" w:name="_Toc184312090"/>
      <w:bookmarkEnd w:id="173"/>
      <w:bookmarkStart w:id="174" w:name="_Toc184308056"/>
      <w:bookmarkEnd w:id="174"/>
      <w:bookmarkStart w:id="175" w:name="_Toc184313290"/>
      <w:bookmarkEnd w:id="175"/>
      <w:bookmarkStart w:id="176" w:name="_Toc184310315"/>
      <w:bookmarkEnd w:id="176"/>
      <w:bookmarkStart w:id="177" w:name="_Toc184314446"/>
      <w:bookmarkEnd w:id="177"/>
      <w:bookmarkStart w:id="178" w:name="_Toc184310329"/>
      <w:bookmarkEnd w:id="178"/>
      <w:bookmarkStart w:id="179" w:name="_Toc184310307"/>
      <w:bookmarkEnd w:id="179"/>
      <w:bookmarkStart w:id="180" w:name="_Toc184308078"/>
      <w:bookmarkEnd w:id="180"/>
      <w:bookmarkStart w:id="181" w:name="_Toc184313253"/>
      <w:bookmarkEnd w:id="181"/>
      <w:bookmarkStart w:id="182" w:name="_Toc184313280"/>
      <w:bookmarkEnd w:id="182"/>
      <w:bookmarkStart w:id="183" w:name="_Toc184310288"/>
      <w:bookmarkEnd w:id="183"/>
      <w:bookmarkStart w:id="184" w:name="_Toc184308051"/>
      <w:bookmarkEnd w:id="184"/>
      <w:bookmarkStart w:id="185" w:name="_Toc184310294"/>
      <w:bookmarkEnd w:id="185"/>
      <w:bookmarkStart w:id="186" w:name="_Toc184308072"/>
      <w:bookmarkEnd w:id="186"/>
      <w:bookmarkStart w:id="187" w:name="_Toc184310280"/>
      <w:bookmarkEnd w:id="187"/>
      <w:bookmarkStart w:id="188" w:name="_Toc184312135"/>
      <w:bookmarkEnd w:id="188"/>
      <w:bookmarkStart w:id="189" w:name="_Toc184314441"/>
      <w:bookmarkEnd w:id="189"/>
      <w:bookmarkStart w:id="190" w:name="_Toc184310322"/>
      <w:bookmarkEnd w:id="190"/>
      <w:bookmarkStart w:id="191" w:name="_Toc184314481"/>
      <w:bookmarkEnd w:id="191"/>
      <w:bookmarkStart w:id="192" w:name="_Toc184310334"/>
      <w:bookmarkEnd w:id="192"/>
      <w:bookmarkStart w:id="193" w:name="_Toc184313303"/>
      <w:bookmarkEnd w:id="193"/>
      <w:bookmarkStart w:id="194" w:name="_Toc184313263"/>
      <w:bookmarkEnd w:id="194"/>
      <w:bookmarkStart w:id="195" w:name="_Toc184310273"/>
      <w:bookmarkEnd w:id="195"/>
      <w:bookmarkStart w:id="196" w:name="_Toc184312119"/>
      <w:bookmarkEnd w:id="196"/>
      <w:bookmarkStart w:id="197" w:name="_Toc184312136"/>
      <w:bookmarkEnd w:id="197"/>
      <w:bookmarkStart w:id="198" w:name="_Toc184313304"/>
      <w:bookmarkEnd w:id="198"/>
      <w:bookmarkStart w:id="199" w:name="_Toc184314436"/>
      <w:bookmarkEnd w:id="199"/>
      <w:bookmarkStart w:id="200" w:name="_Toc184308084"/>
      <w:bookmarkEnd w:id="200"/>
      <w:bookmarkStart w:id="201" w:name="_Toc184310305"/>
      <w:bookmarkEnd w:id="201"/>
      <w:bookmarkStart w:id="202" w:name="_Toc184312083"/>
      <w:bookmarkEnd w:id="202"/>
      <w:bookmarkStart w:id="203" w:name="_Toc184312069"/>
      <w:bookmarkEnd w:id="203"/>
      <w:bookmarkStart w:id="204" w:name="_Toc184313281"/>
      <w:bookmarkEnd w:id="204"/>
      <w:bookmarkStart w:id="205" w:name="_Toc184313310"/>
      <w:bookmarkEnd w:id="205"/>
      <w:bookmarkStart w:id="206" w:name="_Toc184314452"/>
      <w:bookmarkEnd w:id="206"/>
      <w:bookmarkStart w:id="207" w:name="_Toc184314412"/>
      <w:bookmarkEnd w:id="207"/>
      <w:bookmarkStart w:id="208" w:name="_Toc184313251"/>
      <w:bookmarkEnd w:id="208"/>
      <w:bookmarkStart w:id="209" w:name="_Toc184314466"/>
      <w:bookmarkEnd w:id="209"/>
      <w:bookmarkStart w:id="210" w:name="_Toc184314435"/>
      <w:bookmarkEnd w:id="210"/>
      <w:bookmarkStart w:id="211" w:name="_Toc184313273"/>
      <w:bookmarkEnd w:id="211"/>
      <w:bookmarkStart w:id="212" w:name="_Toc184308088"/>
      <w:bookmarkEnd w:id="212"/>
      <w:bookmarkStart w:id="213" w:name="_Toc184310286"/>
      <w:bookmarkEnd w:id="213"/>
      <w:bookmarkStart w:id="214" w:name="_Toc184308102"/>
      <w:bookmarkEnd w:id="214"/>
      <w:bookmarkStart w:id="215" w:name="_Toc184310338"/>
      <w:bookmarkEnd w:id="215"/>
      <w:bookmarkStart w:id="216" w:name="_Toc184313287"/>
      <w:bookmarkEnd w:id="216"/>
      <w:bookmarkStart w:id="217" w:name="_Toc184312096"/>
      <w:bookmarkEnd w:id="217"/>
      <w:bookmarkStart w:id="218" w:name="_Toc184312087"/>
      <w:bookmarkEnd w:id="218"/>
      <w:bookmarkStart w:id="219" w:name="_Toc184308039"/>
      <w:bookmarkEnd w:id="219"/>
      <w:bookmarkStart w:id="220" w:name="_Toc184313241"/>
      <w:bookmarkEnd w:id="220"/>
      <w:bookmarkStart w:id="221" w:name="_Toc184314453"/>
      <w:bookmarkEnd w:id="221"/>
      <w:bookmarkStart w:id="222" w:name="_Toc184312130"/>
      <w:bookmarkEnd w:id="222"/>
      <w:bookmarkStart w:id="223" w:name="_Toc184310317"/>
      <w:bookmarkEnd w:id="223"/>
      <w:bookmarkStart w:id="224" w:name="_Toc184312117"/>
      <w:bookmarkEnd w:id="224"/>
      <w:bookmarkStart w:id="225" w:name="_Toc184310308"/>
      <w:bookmarkEnd w:id="225"/>
      <w:bookmarkStart w:id="226" w:name="_Toc184312123"/>
      <w:bookmarkEnd w:id="226"/>
      <w:bookmarkStart w:id="227" w:name="_Toc184312137"/>
      <w:bookmarkEnd w:id="227"/>
      <w:bookmarkStart w:id="228" w:name="_Toc184308040"/>
      <w:bookmarkEnd w:id="228"/>
      <w:bookmarkStart w:id="229" w:name="_Toc184314459"/>
      <w:bookmarkEnd w:id="229"/>
      <w:bookmarkStart w:id="230" w:name="_Toc184312088"/>
      <w:bookmarkEnd w:id="230"/>
      <w:bookmarkStart w:id="231" w:name="_Toc184312132"/>
      <w:bookmarkEnd w:id="231"/>
      <w:bookmarkStart w:id="232" w:name="_Toc184310278"/>
      <w:bookmarkEnd w:id="232"/>
      <w:bookmarkStart w:id="233" w:name="_Toc184308075"/>
      <w:bookmarkEnd w:id="233"/>
      <w:bookmarkStart w:id="234" w:name="_Toc184310337"/>
      <w:bookmarkEnd w:id="234"/>
      <w:bookmarkStart w:id="235" w:name="_Toc184312100"/>
      <w:bookmarkEnd w:id="235"/>
      <w:bookmarkStart w:id="236" w:name="_Toc184308085"/>
      <w:bookmarkEnd w:id="236"/>
      <w:bookmarkStart w:id="237" w:name="_Toc184310304"/>
      <w:bookmarkEnd w:id="237"/>
      <w:bookmarkStart w:id="238" w:name="_Toc184314475"/>
      <w:bookmarkEnd w:id="238"/>
      <w:bookmarkStart w:id="239" w:name="_Toc184310325"/>
      <w:bookmarkEnd w:id="239"/>
      <w:bookmarkStart w:id="240" w:name="_Toc184308037"/>
      <w:bookmarkEnd w:id="240"/>
      <w:bookmarkStart w:id="241" w:name="_Toc184313298"/>
      <w:bookmarkEnd w:id="241"/>
      <w:bookmarkStart w:id="242" w:name="_Toc184314458"/>
      <w:bookmarkEnd w:id="242"/>
      <w:bookmarkStart w:id="243" w:name="_Toc184314423"/>
      <w:bookmarkEnd w:id="243"/>
      <w:bookmarkStart w:id="244" w:name="_Toc184308046"/>
      <w:bookmarkEnd w:id="244"/>
      <w:bookmarkStart w:id="245" w:name="_Toc184308081"/>
      <w:bookmarkEnd w:id="245"/>
      <w:bookmarkStart w:id="246" w:name="_Toc184312116"/>
      <w:bookmarkEnd w:id="246"/>
      <w:bookmarkStart w:id="247" w:name="_Toc184312114"/>
      <w:bookmarkEnd w:id="247"/>
      <w:bookmarkStart w:id="248" w:name="_Toc184312094"/>
      <w:bookmarkEnd w:id="248"/>
      <w:bookmarkStart w:id="249" w:name="_Toc184308049"/>
      <w:bookmarkEnd w:id="249"/>
      <w:bookmarkStart w:id="250" w:name="_Toc184310275"/>
      <w:bookmarkEnd w:id="250"/>
      <w:bookmarkStart w:id="251" w:name="_Toc184314477"/>
      <w:bookmarkEnd w:id="251"/>
      <w:bookmarkStart w:id="252" w:name="_Toc184314439"/>
      <w:bookmarkEnd w:id="252"/>
      <w:bookmarkStart w:id="253" w:name="_Toc184314443"/>
      <w:bookmarkEnd w:id="253"/>
      <w:bookmarkStart w:id="254" w:name="_Toc184308090"/>
      <w:bookmarkEnd w:id="254"/>
      <w:bookmarkStart w:id="255" w:name="_Toc184314438"/>
      <w:bookmarkEnd w:id="255"/>
      <w:bookmarkStart w:id="256" w:name="_Toc184312076"/>
      <w:bookmarkEnd w:id="256"/>
      <w:bookmarkStart w:id="257" w:name="_Toc184314468"/>
      <w:bookmarkEnd w:id="257"/>
      <w:bookmarkStart w:id="258" w:name="_Toc184308089"/>
      <w:bookmarkEnd w:id="258"/>
      <w:bookmarkStart w:id="259" w:name="_Toc184314457"/>
      <w:bookmarkEnd w:id="259"/>
      <w:bookmarkStart w:id="260" w:name="_Toc184308038"/>
      <w:bookmarkEnd w:id="260"/>
      <w:bookmarkStart w:id="261" w:name="_Toc184313248"/>
      <w:bookmarkEnd w:id="261"/>
      <w:bookmarkStart w:id="262" w:name="_Toc184312091"/>
      <w:bookmarkEnd w:id="262"/>
      <w:bookmarkStart w:id="263" w:name="_Toc184310331"/>
      <w:bookmarkEnd w:id="263"/>
      <w:bookmarkStart w:id="264" w:name="_Toc184313299"/>
      <w:bookmarkEnd w:id="264"/>
      <w:bookmarkStart w:id="265" w:name="_Toc184313300"/>
      <w:bookmarkEnd w:id="265"/>
      <w:bookmarkStart w:id="266" w:name="_Toc184312082"/>
      <w:bookmarkEnd w:id="266"/>
      <w:bookmarkStart w:id="267" w:name="_Toc184308099"/>
      <w:bookmarkEnd w:id="267"/>
      <w:bookmarkStart w:id="268" w:name="_Toc184308104"/>
      <w:bookmarkEnd w:id="268"/>
      <w:bookmarkStart w:id="269" w:name="_Toc184312077"/>
      <w:bookmarkEnd w:id="269"/>
      <w:bookmarkStart w:id="270" w:name="_Toc184312072"/>
      <w:bookmarkEnd w:id="270"/>
      <w:bookmarkStart w:id="271" w:name="_Toc184312125"/>
      <w:bookmarkEnd w:id="271"/>
      <w:bookmarkStart w:id="272" w:name="_Toc184308097"/>
      <w:bookmarkEnd w:id="272"/>
      <w:bookmarkStart w:id="273" w:name="_Toc184314476"/>
      <w:bookmarkEnd w:id="273"/>
      <w:bookmarkStart w:id="274" w:name="_Toc184312109"/>
      <w:bookmarkEnd w:id="274"/>
      <w:bookmarkStart w:id="275" w:name="_Toc184308080"/>
      <w:bookmarkEnd w:id="275"/>
      <w:bookmarkStart w:id="276" w:name="_Toc184313296"/>
      <w:bookmarkEnd w:id="276"/>
      <w:bookmarkStart w:id="277" w:name="_Toc184313279"/>
      <w:bookmarkEnd w:id="277"/>
      <w:bookmarkStart w:id="278" w:name="_Toc184308095"/>
      <w:bookmarkEnd w:id="278"/>
      <w:bookmarkStart w:id="279" w:name="_Toc184313285"/>
      <w:bookmarkEnd w:id="279"/>
      <w:bookmarkStart w:id="280" w:name="_Toc184313270"/>
      <w:bookmarkEnd w:id="280"/>
      <w:bookmarkStart w:id="281" w:name="_Toc184312134"/>
      <w:bookmarkEnd w:id="281"/>
      <w:bookmarkStart w:id="282" w:name="_Toc184312131"/>
      <w:bookmarkEnd w:id="282"/>
      <w:bookmarkStart w:id="283" w:name="_Toc184313297"/>
      <w:bookmarkEnd w:id="283"/>
      <w:bookmarkStart w:id="284" w:name="_Toc184308092"/>
      <w:bookmarkEnd w:id="284"/>
      <w:bookmarkStart w:id="285" w:name="_Toc184310298"/>
      <w:bookmarkEnd w:id="285"/>
      <w:bookmarkStart w:id="286" w:name="_Toc184308074"/>
      <w:bookmarkEnd w:id="286"/>
      <w:bookmarkStart w:id="287" w:name="_Toc184308058"/>
      <w:bookmarkEnd w:id="287"/>
      <w:bookmarkStart w:id="288" w:name="_Toc184313242"/>
      <w:bookmarkEnd w:id="288"/>
      <w:bookmarkStart w:id="289" w:name="_Toc184312113"/>
      <w:bookmarkEnd w:id="289"/>
      <w:bookmarkStart w:id="290" w:name="_Toc184313278"/>
      <w:bookmarkEnd w:id="290"/>
      <w:bookmarkStart w:id="291" w:name="_Toc184313250"/>
      <w:bookmarkEnd w:id="291"/>
      <w:bookmarkStart w:id="292" w:name="_Toc184308101"/>
      <w:bookmarkEnd w:id="292"/>
      <w:bookmarkStart w:id="293" w:name="_Toc184313288"/>
      <w:bookmarkEnd w:id="293"/>
      <w:bookmarkStart w:id="294" w:name="_Toc184314413"/>
      <w:bookmarkEnd w:id="294"/>
      <w:bookmarkStart w:id="295" w:name="_Toc184310306"/>
      <w:bookmarkEnd w:id="295"/>
      <w:bookmarkStart w:id="296" w:name="_Toc184308036"/>
      <w:bookmarkEnd w:id="296"/>
      <w:bookmarkStart w:id="297" w:name="_Toc184314469"/>
      <w:bookmarkEnd w:id="297"/>
      <w:bookmarkStart w:id="298" w:name="_Toc184314456"/>
      <w:bookmarkEnd w:id="298"/>
      <w:bookmarkStart w:id="299" w:name="_Toc184312118"/>
      <w:bookmarkEnd w:id="299"/>
      <w:bookmarkStart w:id="300" w:name="_Toc184310327"/>
      <w:bookmarkEnd w:id="300"/>
      <w:bookmarkStart w:id="301" w:name="_Toc184314427"/>
      <w:bookmarkEnd w:id="301"/>
      <w:bookmarkStart w:id="302" w:name="_Toc184313289"/>
      <w:bookmarkEnd w:id="302"/>
      <w:bookmarkStart w:id="303" w:name="_Toc184312133"/>
      <w:bookmarkEnd w:id="303"/>
      <w:bookmarkStart w:id="304" w:name="_Toc184310340"/>
      <w:bookmarkEnd w:id="304"/>
      <w:bookmarkStart w:id="305" w:name="_Toc184308068"/>
      <w:bookmarkEnd w:id="305"/>
      <w:bookmarkStart w:id="306" w:name="_Toc184312103"/>
      <w:bookmarkEnd w:id="306"/>
      <w:bookmarkStart w:id="307" w:name="_Toc184308047"/>
      <w:bookmarkEnd w:id="307"/>
      <w:bookmarkStart w:id="308" w:name="_Toc184313286"/>
      <w:bookmarkEnd w:id="308"/>
      <w:bookmarkStart w:id="309" w:name="_Toc184314424"/>
      <w:bookmarkEnd w:id="309"/>
      <w:bookmarkStart w:id="310" w:name="_Toc184314437"/>
      <w:bookmarkEnd w:id="310"/>
      <w:bookmarkStart w:id="311" w:name="_Toc184310281"/>
      <w:bookmarkEnd w:id="311"/>
      <w:bookmarkStart w:id="312" w:name="_Toc184310344"/>
      <w:bookmarkEnd w:id="312"/>
      <w:bookmarkStart w:id="313" w:name="_Toc184310310"/>
      <w:bookmarkEnd w:id="313"/>
      <w:bookmarkStart w:id="314" w:name="_Toc184308094"/>
      <w:bookmarkEnd w:id="314"/>
      <w:bookmarkStart w:id="315" w:name="_Toc184308093"/>
      <w:bookmarkEnd w:id="315"/>
      <w:bookmarkStart w:id="316" w:name="_Toc184313245"/>
      <w:bookmarkEnd w:id="316"/>
      <w:bookmarkStart w:id="317" w:name="_Toc184310290"/>
      <w:bookmarkEnd w:id="317"/>
      <w:bookmarkStart w:id="318" w:name="_Toc184313267"/>
      <w:bookmarkEnd w:id="318"/>
      <w:bookmarkStart w:id="319" w:name="_Toc184314411"/>
      <w:bookmarkEnd w:id="319"/>
      <w:bookmarkStart w:id="320" w:name="_Toc184313308"/>
      <w:bookmarkEnd w:id="320"/>
      <w:bookmarkStart w:id="321" w:name="_Toc184314447"/>
      <w:bookmarkEnd w:id="321"/>
      <w:bookmarkStart w:id="322" w:name="_Toc184308087"/>
      <w:bookmarkEnd w:id="322"/>
      <w:bookmarkStart w:id="323" w:name="_Toc184308055"/>
      <w:bookmarkEnd w:id="323"/>
      <w:bookmarkStart w:id="324" w:name="_Toc184308043"/>
      <w:bookmarkEnd w:id="324"/>
      <w:bookmarkStart w:id="325" w:name="_Toc184314474"/>
      <w:bookmarkEnd w:id="325"/>
      <w:bookmarkStart w:id="326" w:name="_Toc184314434"/>
      <w:bookmarkEnd w:id="326"/>
      <w:bookmarkStart w:id="327" w:name="_Toc184310335"/>
      <w:bookmarkEnd w:id="327"/>
      <w:bookmarkStart w:id="328" w:name="_Toc184314470"/>
      <w:bookmarkEnd w:id="328"/>
      <w:bookmarkStart w:id="329" w:name="_Toc184308048"/>
      <w:bookmarkEnd w:id="329"/>
      <w:bookmarkStart w:id="330" w:name="_Toc184314419"/>
      <w:bookmarkEnd w:id="330"/>
      <w:bookmarkStart w:id="331" w:name="_Toc184308103"/>
      <w:bookmarkEnd w:id="331"/>
      <w:bookmarkStart w:id="332" w:name="_Toc184310274"/>
      <w:bookmarkEnd w:id="332"/>
      <w:bookmarkStart w:id="333" w:name="_Toc184312112"/>
      <w:bookmarkEnd w:id="333"/>
      <w:bookmarkStart w:id="334" w:name="_Toc184308064"/>
      <w:bookmarkEnd w:id="334"/>
      <w:bookmarkStart w:id="335" w:name="_Toc184310326"/>
      <w:bookmarkEnd w:id="335"/>
      <w:bookmarkStart w:id="336" w:name="_Toc184312121"/>
      <w:bookmarkEnd w:id="336"/>
      <w:bookmarkStart w:id="337" w:name="_Toc184312108"/>
      <w:bookmarkEnd w:id="337"/>
      <w:bookmarkStart w:id="338" w:name="_Toc184314425"/>
      <w:bookmarkEnd w:id="338"/>
      <w:bookmarkStart w:id="339" w:name="_Toc184312068"/>
      <w:bookmarkEnd w:id="339"/>
      <w:bookmarkStart w:id="340" w:name="_Toc184308042"/>
      <w:bookmarkEnd w:id="340"/>
      <w:bookmarkStart w:id="341" w:name="_Toc184312120"/>
      <w:bookmarkEnd w:id="341"/>
      <w:bookmarkStart w:id="342" w:name="_Toc184310276"/>
      <w:bookmarkEnd w:id="342"/>
      <w:bookmarkStart w:id="343" w:name="_Toc184314416"/>
      <w:bookmarkEnd w:id="343"/>
      <w:bookmarkStart w:id="344" w:name="_Toc184310336"/>
      <w:bookmarkEnd w:id="344"/>
      <w:bookmarkStart w:id="345" w:name="_Toc184308065"/>
      <w:bookmarkEnd w:id="345"/>
      <w:bookmarkStart w:id="346" w:name="_Toc184313293"/>
      <w:bookmarkEnd w:id="346"/>
      <w:bookmarkStart w:id="347" w:name="_Toc184314440"/>
      <w:bookmarkEnd w:id="347"/>
      <w:bookmarkStart w:id="348" w:name="_Toc184314465"/>
      <w:bookmarkEnd w:id="348"/>
      <w:bookmarkStart w:id="349" w:name="_Toc184308105"/>
      <w:bookmarkEnd w:id="349"/>
      <w:bookmarkStart w:id="350" w:name="_Toc184314463"/>
      <w:bookmarkEnd w:id="350"/>
      <w:bookmarkStart w:id="351" w:name="_Toc184313272"/>
      <w:bookmarkEnd w:id="351"/>
      <w:bookmarkStart w:id="352" w:name="_Toc184308057"/>
      <w:bookmarkEnd w:id="352"/>
      <w:bookmarkStart w:id="353" w:name="_Toc184313239"/>
      <w:bookmarkEnd w:id="353"/>
      <w:bookmarkStart w:id="354" w:name="_Toc184310341"/>
      <w:bookmarkEnd w:id="354"/>
      <w:bookmarkStart w:id="355" w:name="_Toc184313257"/>
      <w:bookmarkEnd w:id="355"/>
      <w:bookmarkStart w:id="356" w:name="_Toc184312106"/>
      <w:bookmarkEnd w:id="356"/>
      <w:bookmarkStart w:id="357" w:name="_Toc184310303"/>
      <w:bookmarkEnd w:id="357"/>
      <w:bookmarkStart w:id="358" w:name="_Toc184308083"/>
      <w:bookmarkEnd w:id="358"/>
      <w:bookmarkStart w:id="359" w:name="_Toc184312071"/>
      <w:bookmarkEnd w:id="359"/>
      <w:bookmarkStart w:id="360" w:name="_Toc184310301"/>
      <w:bookmarkEnd w:id="360"/>
      <w:bookmarkStart w:id="361" w:name="_Toc184310342"/>
      <w:bookmarkEnd w:id="361"/>
      <w:bookmarkStart w:id="362" w:name="_Toc184313266"/>
      <w:bookmarkEnd w:id="362"/>
      <w:bookmarkStart w:id="363" w:name="_Toc184314433"/>
      <w:bookmarkEnd w:id="363"/>
      <w:bookmarkStart w:id="364" w:name="_Toc184313260"/>
      <w:bookmarkEnd w:id="364"/>
      <w:bookmarkStart w:id="365" w:name="_Toc184312092"/>
      <w:bookmarkEnd w:id="365"/>
      <w:bookmarkStart w:id="366" w:name="_Toc184313301"/>
      <w:bookmarkEnd w:id="366"/>
      <w:bookmarkStart w:id="367" w:name="_Toc184313264"/>
      <w:bookmarkEnd w:id="367"/>
      <w:bookmarkStart w:id="368" w:name="_Toc184313246"/>
      <w:bookmarkEnd w:id="368"/>
      <w:bookmarkStart w:id="369" w:name="_Toc184308067"/>
      <w:bookmarkEnd w:id="369"/>
      <w:bookmarkStart w:id="370" w:name="_Toc184308106"/>
      <w:bookmarkEnd w:id="370"/>
      <w:bookmarkStart w:id="371" w:name="_Toc184313254"/>
      <w:bookmarkEnd w:id="371"/>
      <w:bookmarkStart w:id="372" w:name="_Toc184308062"/>
      <w:bookmarkEnd w:id="372"/>
      <w:bookmarkStart w:id="373" w:name="_Toc184310333"/>
      <w:bookmarkEnd w:id="373"/>
      <w:bookmarkStart w:id="374" w:name="_Toc184310291"/>
      <w:bookmarkEnd w:id="374"/>
      <w:bookmarkStart w:id="375" w:name="_Toc184314418"/>
      <w:bookmarkEnd w:id="375"/>
      <w:bookmarkStart w:id="376" w:name="_Toc184313243"/>
      <w:bookmarkEnd w:id="376"/>
      <w:bookmarkStart w:id="377" w:name="_Toc184308071"/>
      <w:bookmarkEnd w:id="377"/>
      <w:bookmarkStart w:id="378" w:name="_Toc184314417"/>
      <w:bookmarkEnd w:id="378"/>
      <w:bookmarkStart w:id="379" w:name="_Toc184310314"/>
      <w:bookmarkEnd w:id="379"/>
      <w:bookmarkStart w:id="380" w:name="_Toc184312097"/>
      <w:bookmarkEnd w:id="380"/>
      <w:bookmarkStart w:id="381" w:name="_Toc184312095"/>
      <w:bookmarkEnd w:id="381"/>
      <w:bookmarkStart w:id="382" w:name="_Toc184314449"/>
      <w:bookmarkEnd w:id="382"/>
      <w:bookmarkStart w:id="383" w:name="_Toc184313294"/>
      <w:bookmarkEnd w:id="383"/>
      <w:bookmarkStart w:id="384" w:name="_Toc184310316"/>
      <w:bookmarkEnd w:id="384"/>
      <w:bookmarkStart w:id="385" w:name="_Toc184310311"/>
      <w:bookmarkEnd w:id="385"/>
      <w:bookmarkStart w:id="386" w:name="_Toc184310279"/>
      <w:bookmarkEnd w:id="386"/>
      <w:bookmarkStart w:id="387" w:name="_Toc184308091"/>
      <w:bookmarkEnd w:id="387"/>
      <w:bookmarkStart w:id="388" w:name="_Toc184310277"/>
      <w:bookmarkEnd w:id="388"/>
      <w:bookmarkStart w:id="389" w:name="_Toc184312138"/>
      <w:bookmarkEnd w:id="389"/>
      <w:bookmarkStart w:id="390" w:name="_Toc184310297"/>
      <w:bookmarkEnd w:id="390"/>
      <w:bookmarkStart w:id="391" w:name="_Toc184312081"/>
      <w:bookmarkEnd w:id="391"/>
      <w:bookmarkStart w:id="392" w:name="_Toc184312127"/>
      <w:bookmarkEnd w:id="392"/>
      <w:bookmarkStart w:id="393" w:name="_Toc184314467"/>
      <w:bookmarkEnd w:id="393"/>
      <w:bookmarkStart w:id="394" w:name="_Toc184314442"/>
      <w:bookmarkEnd w:id="394"/>
      <w:bookmarkStart w:id="395" w:name="_Toc184313261"/>
      <w:bookmarkEnd w:id="395"/>
      <w:r>
        <w:rPr>
          <w:rFonts w:hint="eastAsia" w:ascii="宋体" w:hAnsi="宋体" w:cs="宋体"/>
          <w:b/>
          <w:sz w:val="36"/>
          <w:szCs w:val="36"/>
          <w:highlight w:val="none"/>
        </w:rPr>
        <w:t>评标办法</w:t>
      </w:r>
    </w:p>
    <w:p>
      <w:pPr>
        <w:snapToGrid w:val="0"/>
        <w:spacing w:line="360" w:lineRule="auto"/>
        <w:jc w:val="center"/>
        <w:rPr>
          <w:rFonts w:ascii="宋体" w:hAnsi="宋体" w:cs="宋体"/>
          <w:b/>
          <w:sz w:val="32"/>
          <w:szCs w:val="20"/>
          <w:highlight w:val="none"/>
        </w:rPr>
      </w:pPr>
      <w:r>
        <w:rPr>
          <w:rFonts w:hint="eastAsia" w:ascii="宋体" w:hAnsi="宋体" w:cs="宋体"/>
          <w:b/>
          <w:sz w:val="32"/>
          <w:szCs w:val="20"/>
          <w:highlight w:val="none"/>
        </w:rPr>
        <w:t>评标办法前附表</w:t>
      </w:r>
    </w:p>
    <w:tbl>
      <w:tblPr>
        <w:tblStyle w:val="62"/>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7195"/>
        <w:gridCol w:w="456"/>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0" w:type="auto"/>
            <w:vAlign w:val="center"/>
          </w:tcPr>
          <w:p>
            <w:pPr>
              <w:spacing w:line="360" w:lineRule="auto"/>
              <w:jc w:val="center"/>
              <w:outlineLvl w:val="0"/>
              <w:rPr>
                <w:rFonts w:ascii="宋体" w:hAnsi="宋体" w:cs="宋体"/>
                <w:bCs/>
                <w:color w:val="auto"/>
                <w:sz w:val="24"/>
                <w:highlight w:val="none"/>
              </w:rPr>
            </w:pPr>
            <w:r>
              <w:rPr>
                <w:rFonts w:hint="eastAsia" w:ascii="宋体" w:hAnsi="宋体" w:cs="宋体"/>
                <w:bCs/>
                <w:color w:val="auto"/>
                <w:sz w:val="24"/>
                <w:highlight w:val="none"/>
              </w:rPr>
              <w:t>序号</w:t>
            </w:r>
          </w:p>
        </w:tc>
        <w:tc>
          <w:tcPr>
            <w:tcW w:w="0" w:type="auto"/>
            <w:vAlign w:val="center"/>
          </w:tcPr>
          <w:p>
            <w:pPr>
              <w:spacing w:line="360" w:lineRule="auto"/>
              <w:jc w:val="center"/>
              <w:outlineLvl w:val="0"/>
              <w:rPr>
                <w:rFonts w:ascii="宋体" w:hAnsi="宋体" w:cs="宋体"/>
                <w:bCs/>
                <w:color w:val="auto"/>
                <w:sz w:val="24"/>
                <w:highlight w:val="none"/>
              </w:rPr>
            </w:pPr>
            <w:r>
              <w:rPr>
                <w:rFonts w:hint="eastAsia" w:ascii="宋体" w:hAnsi="宋体" w:cs="宋体"/>
                <w:bCs/>
                <w:color w:val="auto"/>
                <w:sz w:val="24"/>
                <w:highlight w:val="none"/>
              </w:rPr>
              <w:t>评标标准</w:t>
            </w:r>
          </w:p>
        </w:tc>
        <w:tc>
          <w:tcPr>
            <w:tcW w:w="456" w:type="dxa"/>
            <w:vAlign w:val="center"/>
          </w:tcPr>
          <w:p>
            <w:pPr>
              <w:spacing w:line="360" w:lineRule="auto"/>
              <w:outlineLvl w:val="0"/>
              <w:rPr>
                <w:rFonts w:ascii="宋体" w:hAnsi="宋体" w:cs="宋体"/>
                <w:bCs/>
                <w:color w:val="auto"/>
                <w:sz w:val="24"/>
                <w:highlight w:val="none"/>
              </w:rPr>
            </w:pPr>
            <w:r>
              <w:rPr>
                <w:rFonts w:hint="eastAsia" w:ascii="宋体" w:hAnsi="宋体" w:cs="宋体"/>
                <w:bCs/>
                <w:color w:val="auto"/>
                <w:sz w:val="24"/>
                <w:highlight w:val="none"/>
              </w:rPr>
              <w:t>权重</w:t>
            </w:r>
          </w:p>
        </w:tc>
        <w:tc>
          <w:tcPr>
            <w:tcW w:w="1179" w:type="dxa"/>
          </w:tcPr>
          <w:p>
            <w:pPr>
              <w:spacing w:line="360" w:lineRule="auto"/>
              <w:outlineLvl w:val="0"/>
              <w:rPr>
                <w:rFonts w:ascii="宋体" w:hAnsi="宋体" w:cs="宋体"/>
                <w:bCs/>
                <w:color w:val="auto"/>
                <w:sz w:val="24"/>
                <w:highlight w:val="none"/>
              </w:rPr>
            </w:pPr>
            <w:r>
              <w:rPr>
                <w:rFonts w:hint="eastAsia" w:ascii="宋体" w:hAnsi="宋体" w:cs="宋体"/>
                <w:bCs/>
                <w:color w:val="auto"/>
                <w:sz w:val="24"/>
                <w:highlight w:val="none"/>
              </w:rPr>
              <w:t>投标文件中评标标准相应的商务技术资料目录</w:t>
            </w:r>
            <w:r>
              <w:rPr>
                <w:rFonts w:hint="eastAsia" w:ascii="宋体" w:hAnsi="宋体" w:cs="宋体"/>
                <w:color w:val="auto"/>
                <w:sz w:val="24"/>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0" w:type="auto"/>
            <w:vAlign w:val="center"/>
          </w:tcPr>
          <w:p>
            <w:pPr>
              <w:spacing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1</w:t>
            </w:r>
          </w:p>
        </w:tc>
        <w:tc>
          <w:tcPr>
            <w:tcW w:w="0" w:type="auto"/>
            <w:vAlign w:val="center"/>
          </w:tcPr>
          <w:p>
            <w:pPr>
              <w:spacing w:line="360" w:lineRule="auto"/>
              <w:outlineLvl w:val="0"/>
              <w:rPr>
                <w:rFonts w:ascii="宋体" w:hAnsi="宋体" w:cs="宋体"/>
                <w:color w:val="auto"/>
                <w:sz w:val="24"/>
                <w:highlight w:val="none"/>
              </w:rPr>
            </w:pPr>
            <w:r>
              <w:rPr>
                <w:rFonts w:hint="eastAsia" w:ascii="宋体" w:hAnsi="宋体" w:cs="宋体"/>
                <w:color w:val="auto"/>
                <w:kern w:val="0"/>
                <w:sz w:val="24"/>
                <w:highlight w:val="none"/>
              </w:rPr>
              <w:t>业绩案例</w:t>
            </w:r>
            <w:r>
              <w:rPr>
                <w:rFonts w:hint="eastAsia" w:ascii="宋体" w:hAnsi="宋体" w:cs="宋体"/>
                <w:color w:val="auto"/>
                <w:kern w:val="0"/>
                <w:sz w:val="24"/>
                <w:highlight w:val="none"/>
                <w:lang w:eastAsia="zh-CN"/>
              </w:rPr>
              <w:t>：</w:t>
            </w:r>
            <w:r>
              <w:rPr>
                <w:rFonts w:hint="eastAsia" w:ascii="宋体" w:hAnsi="宋体" w:cs="宋体"/>
                <w:color w:val="auto"/>
                <w:sz w:val="24"/>
                <w:highlight w:val="none"/>
              </w:rPr>
              <w:t>截止投标时间近三年，投标人承担类似项目实施的成功经验情况。结合已完成的项目案例和用户</w:t>
            </w:r>
            <w:r>
              <w:rPr>
                <w:rFonts w:hint="eastAsia" w:ascii="宋体" w:hAnsi="宋体" w:cs="宋体"/>
                <w:color w:val="auto"/>
                <w:sz w:val="24"/>
                <w:highlight w:val="none"/>
                <w:lang w:eastAsia="zh-CN"/>
              </w:rPr>
              <w:t>反映</w:t>
            </w:r>
            <w:r>
              <w:rPr>
                <w:rFonts w:hint="eastAsia" w:ascii="宋体" w:hAnsi="宋体" w:cs="宋体"/>
                <w:color w:val="auto"/>
                <w:sz w:val="24"/>
                <w:highlight w:val="none"/>
              </w:rPr>
              <w:t>情况，依照投标人提供的</w:t>
            </w:r>
            <w:r>
              <w:rPr>
                <w:rFonts w:hint="eastAsia" w:ascii="宋体" w:hAnsi="宋体" w:cs="宋体"/>
                <w:b/>
                <w:bCs/>
                <w:color w:val="auto"/>
                <w:sz w:val="24"/>
                <w:highlight w:val="none"/>
              </w:rPr>
              <w:t>合同和验收报告</w:t>
            </w:r>
            <w:r>
              <w:rPr>
                <w:rFonts w:hint="eastAsia" w:ascii="宋体" w:hAnsi="宋体" w:cs="宋体"/>
                <w:color w:val="auto"/>
                <w:sz w:val="24"/>
                <w:highlight w:val="none"/>
              </w:rPr>
              <w:t>。每个案例（以用户验收报告时间为准）得1分,最高得</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w:t>
            </w:r>
            <w:r>
              <w:rPr>
                <w:rFonts w:hint="eastAsia" w:ascii="宋体" w:hAnsi="宋体" w:cs="宋体"/>
                <w:b/>
                <w:bCs/>
                <w:color w:val="auto"/>
                <w:sz w:val="24"/>
                <w:highlight w:val="none"/>
              </w:rPr>
              <w:t>以分包方式履行政府采购合同的，还需提供该项目采购方同意分包的证明材料;如投标人提供的合同复印件等实施项目证明材料与投标主体无关或违规转包分包的，评标委员会将进行扣分直至认定投标无效。</w:t>
            </w:r>
          </w:p>
        </w:tc>
        <w:tc>
          <w:tcPr>
            <w:tcW w:w="456" w:type="dxa"/>
            <w:vAlign w:val="center"/>
          </w:tcPr>
          <w:p>
            <w:pPr>
              <w:jc w:val="center"/>
              <w:rPr>
                <w:rFonts w:ascii="宋体" w:hAnsi="宋体" w:cs="宋体"/>
                <w:color w:val="auto"/>
                <w:highlight w:val="none"/>
              </w:rPr>
            </w:pPr>
          </w:p>
          <w:p>
            <w:pPr>
              <w:spacing w:line="360" w:lineRule="auto"/>
              <w:jc w:val="center"/>
              <w:outlineLvl w:val="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w:t>
            </w:r>
          </w:p>
        </w:tc>
        <w:tc>
          <w:tcPr>
            <w:tcW w:w="1179" w:type="dxa"/>
            <w:vAlign w:val="center"/>
          </w:tcPr>
          <w:p>
            <w:pPr>
              <w:spacing w:line="360" w:lineRule="auto"/>
              <w:jc w:val="center"/>
              <w:outlineLvl w:val="0"/>
              <w:rPr>
                <w:rFonts w:ascii="宋体" w:hAnsi="宋体" w:cs="宋体"/>
                <w:b/>
                <w:bCs/>
                <w:color w:val="auto"/>
                <w:sz w:val="24"/>
                <w:highlight w:val="none"/>
              </w:rPr>
            </w:pPr>
            <w:r>
              <w:rPr>
                <w:rFonts w:hint="eastAsia" w:ascii="宋体" w:hAnsi="宋体" w:cs="宋体"/>
                <w:b/>
                <w:bCs/>
                <w:color w:val="auto"/>
                <w:sz w:val="24"/>
                <w:highlight w:val="none"/>
              </w:rPr>
              <w:t>（</w:t>
            </w:r>
            <w:r>
              <w:rPr>
                <w:rFonts w:hint="eastAsia" w:ascii="宋体" w:hAnsi="宋体" w:cs="宋体"/>
                <w:b/>
                <w:bCs/>
                <w:color w:val="auto"/>
                <w:sz w:val="24"/>
                <w:highlight w:val="none"/>
                <w:lang w:eastAsia="zh-CN"/>
              </w:rPr>
              <w:t>一</w:t>
            </w:r>
            <w:r>
              <w:rPr>
                <w:rFonts w:hint="eastAsia" w:ascii="宋体" w:hAnsi="宋体" w:cs="宋体"/>
                <w:b/>
                <w:bCs/>
                <w:color w:val="auto"/>
                <w:sz w:val="24"/>
                <w:highlight w:val="none"/>
              </w:rPr>
              <w:t>）投标人业绩情况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0" w:type="auto"/>
            <w:vAlign w:val="center"/>
          </w:tcPr>
          <w:p>
            <w:pPr>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default" w:ascii="宋体" w:hAnsi="宋体" w:cs="宋体"/>
                <w:color w:val="auto"/>
                <w:sz w:val="24"/>
                <w:highlight w:val="none"/>
                <w:lang w:val="en-US"/>
              </w:rPr>
              <w:t>2</w:t>
            </w:r>
          </w:p>
        </w:tc>
        <w:tc>
          <w:tcPr>
            <w:tcW w:w="0" w:type="auto"/>
            <w:vAlign w:val="center"/>
          </w:tcPr>
          <w:p>
            <w:pPr>
              <w:spacing w:line="360" w:lineRule="auto"/>
              <w:outlineLvl w:val="0"/>
              <w:rPr>
                <w:rFonts w:hint="eastAsia" w:ascii="宋体" w:hAnsi="宋体" w:cs="宋体"/>
                <w:color w:val="auto"/>
                <w:kern w:val="0"/>
                <w:sz w:val="24"/>
                <w:highlight w:val="none"/>
                <w:lang w:eastAsia="zh-CN"/>
              </w:rPr>
            </w:pPr>
            <w:r>
              <w:rPr>
                <w:rFonts w:hint="eastAsia" w:ascii="宋体" w:hAnsi="宋体" w:cs="宋体"/>
                <w:color w:val="auto"/>
                <w:kern w:val="0"/>
                <w:sz w:val="24"/>
                <w:highlight w:val="none"/>
                <w:lang w:eastAsia="zh-CN"/>
              </w:rPr>
              <w:t>产品列入财政部、发展改革委发布的节能产品品目清单的，提供国家市场监督管理总局公布的《参与实施政府采购节能产品认证机构名录》内的认证机构出具的、处于有效期之内的节能标志产品认证证书的，得1分。</w:t>
            </w:r>
          </w:p>
          <w:p>
            <w:pPr>
              <w:spacing w:line="360" w:lineRule="auto"/>
              <w:outlineLvl w:val="0"/>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highlight w:val="none"/>
                <w:lang w:eastAsia="zh-CN"/>
              </w:rPr>
              <w:t>产品列入财政部、生态环境部发布的环境标志产品品目清单的，提供国家市场监督管理总局公布的《参与实施政府采购环境标志产品认证机构名录》内的认证机构出具的、处于有效期之内的环境标志产品认证证书，得1分。</w:t>
            </w:r>
          </w:p>
        </w:tc>
        <w:tc>
          <w:tcPr>
            <w:tcW w:w="456" w:type="dxa"/>
            <w:vAlign w:val="center"/>
          </w:tcPr>
          <w:p>
            <w:pPr>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default" w:ascii="宋体" w:hAnsi="宋体" w:cs="宋体"/>
                <w:color w:val="auto"/>
                <w:sz w:val="24"/>
                <w:highlight w:val="none"/>
                <w:lang w:val="en-US" w:eastAsia="zh-CN"/>
              </w:rPr>
              <w:t>2</w:t>
            </w:r>
          </w:p>
        </w:tc>
        <w:tc>
          <w:tcPr>
            <w:tcW w:w="1179" w:type="dxa"/>
            <w:vAlign w:val="center"/>
          </w:tcPr>
          <w:p>
            <w:pPr>
              <w:spacing w:line="360" w:lineRule="auto"/>
              <w:jc w:val="center"/>
              <w:outlineLvl w:val="0"/>
              <w:rPr>
                <w:rFonts w:hint="eastAsia" w:ascii="宋体" w:hAnsi="宋体" w:eastAsia="宋体" w:cs="宋体"/>
                <w:b/>
                <w:bCs/>
                <w:color w:val="auto"/>
                <w:kern w:val="2"/>
                <w:sz w:val="24"/>
                <w:szCs w:val="24"/>
                <w:highlight w:val="none"/>
                <w:lang w:val="en-US" w:eastAsia="zh-CN" w:bidi="ar-SA"/>
              </w:rPr>
            </w:pPr>
            <w:r>
              <w:rPr>
                <w:rFonts w:hint="eastAsia" w:ascii="宋体" w:hAnsi="宋体" w:cs="宋体"/>
                <w:b/>
                <w:bCs/>
                <w:color w:val="auto"/>
                <w:sz w:val="24"/>
                <w:highlight w:val="none"/>
                <w:lang w:eastAsia="zh-CN"/>
              </w:rPr>
              <w:t>（二）节能环保产品标志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456" w:type="dxa"/>
            <w:vMerge w:val="restart"/>
            <w:vAlign w:val="center"/>
          </w:tcPr>
          <w:p>
            <w:pPr>
              <w:spacing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2</w:t>
            </w:r>
          </w:p>
        </w:tc>
        <w:tc>
          <w:tcPr>
            <w:tcW w:w="0" w:type="auto"/>
            <w:vAlign w:val="center"/>
          </w:tcPr>
          <w:p>
            <w:pPr>
              <w:spacing w:line="360" w:lineRule="auto"/>
              <w:outlineLvl w:val="0"/>
              <w:rPr>
                <w:rFonts w:hint="eastAsia" w:ascii="宋体" w:hAnsi="宋体" w:eastAsia="宋体" w:cs="宋体"/>
                <w:color w:val="auto"/>
                <w:sz w:val="24"/>
                <w:highlight w:val="none"/>
                <w:lang w:eastAsia="zh-CN"/>
              </w:rPr>
            </w:pPr>
            <w:r>
              <w:rPr>
                <w:rFonts w:hint="eastAsia" w:ascii="宋体" w:hAnsi="宋体" w:cs="宋体"/>
                <w:color w:val="auto"/>
                <w:sz w:val="24"/>
                <w:highlight w:val="none"/>
              </w:rPr>
              <w:t>对</w:t>
            </w:r>
            <w:r>
              <w:rPr>
                <w:rFonts w:hint="eastAsia" w:ascii="宋体" w:hAnsi="宋体" w:cs="宋体"/>
                <w:color w:val="auto"/>
                <w:sz w:val="24"/>
                <w:highlight w:val="none"/>
                <w:lang w:eastAsia="zh-CN"/>
              </w:rPr>
              <w:t>杭州市文溪中学现有的</w:t>
            </w:r>
            <w:r>
              <w:rPr>
                <w:rFonts w:hint="eastAsia" w:ascii="宋体" w:hAnsi="宋体" w:cs="宋体"/>
                <w:color w:val="auto"/>
                <w:sz w:val="24"/>
                <w:highlight w:val="none"/>
              </w:rPr>
              <w:t>校园网络</w:t>
            </w:r>
            <w:r>
              <w:rPr>
                <w:rFonts w:hint="eastAsia" w:ascii="宋体" w:hAnsi="宋体" w:cs="宋体"/>
                <w:color w:val="auto"/>
                <w:sz w:val="24"/>
                <w:highlight w:val="none"/>
                <w:lang w:eastAsia="zh-CN"/>
              </w:rPr>
              <w:t>、监控</w:t>
            </w:r>
            <w:r>
              <w:rPr>
                <w:rFonts w:hint="eastAsia" w:ascii="宋体" w:hAnsi="宋体" w:cs="宋体"/>
                <w:color w:val="auto"/>
                <w:sz w:val="24"/>
                <w:highlight w:val="none"/>
              </w:rPr>
              <w:t>及整体项目的理解是否全面、详尽、准确</w:t>
            </w:r>
            <w:r>
              <w:rPr>
                <w:rFonts w:hint="eastAsia" w:ascii="宋体" w:hAnsi="宋体" w:cs="宋体"/>
                <w:color w:val="auto"/>
                <w:sz w:val="24"/>
                <w:highlight w:val="none"/>
                <w:lang w:eastAsia="zh-CN"/>
              </w:rPr>
              <w:t>；</w:t>
            </w:r>
            <w:r>
              <w:rPr>
                <w:rFonts w:hint="eastAsia" w:ascii="宋体" w:hAnsi="宋体" w:cs="宋体"/>
                <w:color w:val="auto"/>
                <w:sz w:val="24"/>
                <w:highlight w:val="none"/>
              </w:rPr>
              <w:t>是否充分考虑实际使用需求</w:t>
            </w:r>
            <w:r>
              <w:rPr>
                <w:rFonts w:hint="eastAsia" w:ascii="宋体" w:hAnsi="宋体" w:cs="宋体"/>
                <w:color w:val="auto"/>
                <w:sz w:val="24"/>
                <w:highlight w:val="none"/>
                <w:lang w:eastAsia="zh-CN"/>
              </w:rPr>
              <w:t>；是否考虑到先进性及可扩展性；对项目需求理解全面，目标清晰的得</w:t>
            </w:r>
            <w:r>
              <w:rPr>
                <w:rFonts w:hint="default" w:ascii="宋体" w:hAnsi="宋体" w:cs="宋体"/>
                <w:color w:val="auto"/>
                <w:sz w:val="24"/>
                <w:highlight w:val="none"/>
                <w:lang w:val="en-US" w:eastAsia="zh-CN"/>
              </w:rPr>
              <w:t>6</w:t>
            </w:r>
            <w:r>
              <w:rPr>
                <w:rFonts w:hint="eastAsia" w:ascii="宋体" w:hAnsi="宋体" w:cs="宋体"/>
                <w:color w:val="auto"/>
                <w:sz w:val="24"/>
                <w:highlight w:val="none"/>
                <w:lang w:eastAsia="zh-CN"/>
              </w:rPr>
              <w:t>分，对项目理解基本全面清晰的得</w:t>
            </w:r>
            <w:r>
              <w:rPr>
                <w:rFonts w:hint="default" w:ascii="宋体" w:hAnsi="宋体" w:cs="宋体"/>
                <w:color w:val="auto"/>
                <w:sz w:val="24"/>
                <w:highlight w:val="none"/>
                <w:lang w:val="en-US" w:eastAsia="zh-CN"/>
              </w:rPr>
              <w:t>3</w:t>
            </w:r>
            <w:r>
              <w:rPr>
                <w:rFonts w:hint="eastAsia" w:ascii="宋体" w:hAnsi="宋体" w:cs="宋体"/>
                <w:color w:val="auto"/>
                <w:sz w:val="24"/>
                <w:highlight w:val="none"/>
                <w:lang w:eastAsia="zh-CN"/>
              </w:rPr>
              <w:t>分，理解有重大偏差的得0分。</w:t>
            </w:r>
          </w:p>
        </w:tc>
        <w:tc>
          <w:tcPr>
            <w:tcW w:w="456" w:type="dxa"/>
            <w:vAlign w:val="center"/>
          </w:tcPr>
          <w:p>
            <w:pPr>
              <w:spacing w:line="360" w:lineRule="auto"/>
              <w:jc w:val="center"/>
              <w:outlineLvl w:val="0"/>
              <w:rPr>
                <w:rFonts w:hint="eastAsia" w:ascii="宋体" w:hAnsi="宋体" w:eastAsia="宋体" w:cs="宋体"/>
                <w:color w:val="auto"/>
                <w:sz w:val="24"/>
                <w:highlight w:val="none"/>
                <w:lang w:val="en-US" w:eastAsia="zh-CN"/>
              </w:rPr>
            </w:pPr>
            <w:r>
              <w:rPr>
                <w:rFonts w:hint="default" w:ascii="宋体" w:hAnsi="宋体" w:cs="宋体"/>
                <w:color w:val="auto"/>
                <w:sz w:val="24"/>
                <w:highlight w:val="none"/>
                <w:lang w:val="en-US" w:eastAsia="zh-CN"/>
              </w:rPr>
              <w:t>6</w:t>
            </w:r>
          </w:p>
        </w:tc>
        <w:tc>
          <w:tcPr>
            <w:tcW w:w="1179" w:type="dxa"/>
            <w:vMerge w:val="restart"/>
            <w:vAlign w:val="center"/>
          </w:tcPr>
          <w:p>
            <w:pPr>
              <w:numPr>
                <w:ilvl w:val="0"/>
                <w:numId w:val="3"/>
              </w:numPr>
              <w:spacing w:line="360" w:lineRule="auto"/>
              <w:jc w:val="center"/>
              <w:outlineLvl w:val="0"/>
              <w:rPr>
                <w:rFonts w:ascii="宋体" w:hAnsi="宋体" w:cs="宋体"/>
                <w:b/>
                <w:bCs/>
                <w:color w:val="auto"/>
                <w:sz w:val="24"/>
                <w:highlight w:val="none"/>
              </w:rPr>
            </w:pPr>
            <w:r>
              <w:rPr>
                <w:rFonts w:hint="eastAsia" w:ascii="宋体" w:hAnsi="宋体" w:cs="宋体"/>
                <w:b/>
                <w:bCs/>
                <w:color w:val="auto"/>
                <w:sz w:val="24"/>
                <w:highlight w:val="none"/>
              </w:rPr>
              <w:t>技术方案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56" w:type="dxa"/>
            <w:vMerge w:val="continue"/>
            <w:vAlign w:val="center"/>
          </w:tcPr>
          <w:p>
            <w:pPr>
              <w:spacing w:line="360" w:lineRule="auto"/>
              <w:jc w:val="center"/>
              <w:outlineLvl w:val="0"/>
              <w:rPr>
                <w:rFonts w:hint="eastAsia" w:ascii="宋体" w:hAnsi="宋体" w:cs="宋体"/>
                <w:color w:val="auto"/>
                <w:sz w:val="24"/>
                <w:highlight w:val="none"/>
              </w:rPr>
            </w:pPr>
          </w:p>
        </w:tc>
        <w:tc>
          <w:tcPr>
            <w:tcW w:w="0" w:type="auto"/>
            <w:vAlign w:val="center"/>
          </w:tcPr>
          <w:p>
            <w:pPr>
              <w:spacing w:line="360" w:lineRule="auto"/>
              <w:outlineLvl w:val="0"/>
              <w:rPr>
                <w:rFonts w:hint="eastAsia" w:ascii="宋体" w:hAnsi="宋体" w:cs="宋体"/>
                <w:color w:val="auto"/>
                <w:sz w:val="24"/>
                <w:highlight w:val="none"/>
              </w:rPr>
            </w:pPr>
            <w:r>
              <w:rPr>
                <w:rFonts w:hint="eastAsia" w:ascii="宋体" w:hAnsi="宋体" w:cs="宋体"/>
                <w:color w:val="auto"/>
                <w:sz w:val="24"/>
                <w:highlight w:val="none"/>
                <w:lang w:eastAsia="zh-CN"/>
              </w:rPr>
              <w:t>对学校原有利旧设备</w:t>
            </w:r>
            <w:r>
              <w:rPr>
                <w:rFonts w:hint="eastAsia" w:ascii="宋体" w:hAnsi="宋体" w:cs="宋体"/>
                <w:color w:val="auto"/>
                <w:sz w:val="24"/>
                <w:highlight w:val="none"/>
              </w:rPr>
              <w:t>整理、新设备和原有利旧设备</w:t>
            </w:r>
            <w:r>
              <w:rPr>
                <w:rFonts w:hint="eastAsia" w:ascii="宋体" w:hAnsi="宋体" w:eastAsia="宋体" w:cs="宋体"/>
                <w:sz w:val="24"/>
                <w:szCs w:val="24"/>
                <w:highlight w:val="none"/>
                <w:lang w:eastAsia="zh-CN"/>
              </w:rPr>
              <w:t>（含</w:t>
            </w:r>
            <w:r>
              <w:rPr>
                <w:rFonts w:hint="eastAsia" w:ascii="宋体" w:hAnsi="宋体" w:cs="宋体"/>
                <w:sz w:val="24"/>
                <w:szCs w:val="24"/>
                <w:highlight w:val="none"/>
                <w:lang w:eastAsia="zh-CN"/>
              </w:rPr>
              <w:t>网络系统、监控系统</w:t>
            </w:r>
            <w:r>
              <w:rPr>
                <w:rFonts w:hint="eastAsia" w:ascii="宋体" w:hAnsi="宋体" w:eastAsia="宋体" w:cs="宋体"/>
                <w:sz w:val="24"/>
                <w:szCs w:val="24"/>
                <w:highlight w:val="none"/>
                <w:lang w:eastAsia="zh-CN"/>
              </w:rPr>
              <w:t>）</w:t>
            </w:r>
            <w:r>
              <w:rPr>
                <w:rFonts w:hint="eastAsia" w:ascii="宋体" w:hAnsi="宋体" w:cs="宋体"/>
                <w:color w:val="auto"/>
                <w:sz w:val="24"/>
                <w:highlight w:val="none"/>
              </w:rPr>
              <w:t>的安装</w:t>
            </w:r>
            <w:r>
              <w:rPr>
                <w:rFonts w:hint="eastAsia" w:ascii="宋体" w:hAnsi="宋体" w:cs="宋体"/>
                <w:color w:val="auto"/>
                <w:sz w:val="24"/>
                <w:highlight w:val="none"/>
                <w:lang w:eastAsia="zh-CN"/>
              </w:rPr>
              <w:t>调试</w:t>
            </w:r>
            <w:r>
              <w:rPr>
                <w:rFonts w:hint="eastAsia" w:ascii="宋体" w:hAnsi="宋体" w:cs="宋体"/>
                <w:color w:val="auto"/>
                <w:sz w:val="24"/>
                <w:highlight w:val="none"/>
              </w:rPr>
              <w:t>集成</w:t>
            </w:r>
            <w:r>
              <w:rPr>
                <w:rFonts w:hint="eastAsia" w:ascii="宋体" w:hAnsi="宋体" w:eastAsia="宋体" w:cs="宋体"/>
                <w:sz w:val="24"/>
                <w:szCs w:val="24"/>
                <w:highlight w:val="none"/>
                <w:lang w:eastAsia="zh-CN"/>
              </w:rPr>
              <w:t>的</w:t>
            </w:r>
            <w:r>
              <w:rPr>
                <w:rFonts w:hint="eastAsia" w:ascii="宋体" w:hAnsi="宋体" w:cs="宋体"/>
                <w:color w:val="auto"/>
                <w:sz w:val="24"/>
                <w:highlight w:val="none"/>
              </w:rPr>
              <w:t>方案，是否全面详尽，是否考虑新旧节点调节整理，是否考虑</w:t>
            </w:r>
            <w:r>
              <w:rPr>
                <w:rFonts w:hint="eastAsia" w:ascii="宋体" w:hAnsi="宋体" w:cs="宋体"/>
                <w:color w:val="auto"/>
                <w:sz w:val="24"/>
                <w:highlight w:val="none"/>
                <w:lang w:eastAsia="zh-CN"/>
              </w:rPr>
              <w:t>新老系统整体集成整合的兼容性、稳定性、安全性。集成方案衔接性、兼容性、安全性、完整性的得</w:t>
            </w:r>
            <w:r>
              <w:rPr>
                <w:rFonts w:hint="default" w:ascii="宋体" w:hAnsi="宋体" w:cs="宋体"/>
                <w:color w:val="auto"/>
                <w:sz w:val="24"/>
                <w:highlight w:val="none"/>
                <w:lang w:val="en-US" w:eastAsia="zh-CN"/>
              </w:rPr>
              <w:t>8</w:t>
            </w:r>
            <w:r>
              <w:rPr>
                <w:rFonts w:hint="eastAsia" w:ascii="宋体" w:hAnsi="宋体" w:cs="宋体"/>
                <w:color w:val="auto"/>
                <w:sz w:val="24"/>
                <w:highlight w:val="none"/>
                <w:lang w:eastAsia="zh-CN"/>
              </w:rPr>
              <w:t>分，衔接性、兼容性、安全性、完整性不足的得</w:t>
            </w:r>
            <w:r>
              <w:rPr>
                <w:rFonts w:hint="default" w:ascii="宋体" w:hAnsi="宋体" w:cs="宋体"/>
                <w:color w:val="auto"/>
                <w:sz w:val="24"/>
                <w:highlight w:val="none"/>
                <w:lang w:val="en-US" w:eastAsia="zh-CN"/>
              </w:rPr>
              <w:t>4</w:t>
            </w:r>
            <w:r>
              <w:rPr>
                <w:rFonts w:hint="eastAsia" w:ascii="宋体" w:hAnsi="宋体" w:cs="宋体"/>
                <w:color w:val="auto"/>
                <w:sz w:val="24"/>
                <w:highlight w:val="none"/>
                <w:lang w:eastAsia="zh-CN"/>
              </w:rPr>
              <w:t>分，衔接性、兼容性、安全性、完整性不满足的得0分。</w:t>
            </w:r>
          </w:p>
        </w:tc>
        <w:tc>
          <w:tcPr>
            <w:tcW w:w="456" w:type="dxa"/>
            <w:vAlign w:val="center"/>
          </w:tcPr>
          <w:p>
            <w:pPr>
              <w:spacing w:line="360" w:lineRule="auto"/>
              <w:jc w:val="center"/>
              <w:outlineLvl w:val="0"/>
              <w:rPr>
                <w:rFonts w:hint="default" w:ascii="宋体" w:hAnsi="宋体" w:cs="宋体"/>
                <w:color w:val="auto"/>
                <w:sz w:val="24"/>
                <w:highlight w:val="none"/>
                <w:lang w:val="en-US" w:eastAsia="zh-CN"/>
              </w:rPr>
            </w:pPr>
            <w:r>
              <w:rPr>
                <w:rFonts w:hint="default" w:ascii="宋体" w:hAnsi="宋体" w:cs="宋体"/>
                <w:color w:val="auto"/>
                <w:sz w:val="24"/>
                <w:highlight w:val="none"/>
                <w:lang w:val="en-US" w:eastAsia="zh-CN"/>
              </w:rPr>
              <w:t>8</w:t>
            </w:r>
          </w:p>
        </w:tc>
        <w:tc>
          <w:tcPr>
            <w:tcW w:w="1179" w:type="dxa"/>
            <w:vMerge w:val="continue"/>
            <w:vAlign w:val="center"/>
          </w:tcPr>
          <w:p>
            <w:pPr>
              <w:numPr>
                <w:ilvl w:val="0"/>
                <w:numId w:val="0"/>
              </w:numPr>
              <w:spacing w:line="360" w:lineRule="auto"/>
              <w:jc w:val="both"/>
              <w:outlineLvl w:val="0"/>
              <w:rPr>
                <w:rFonts w:hint="eastAsia" w:ascii="宋体" w:hAnsi="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0" w:type="auto"/>
            <w:vAlign w:val="center"/>
          </w:tcPr>
          <w:p>
            <w:pPr>
              <w:spacing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3</w:t>
            </w:r>
          </w:p>
        </w:tc>
        <w:tc>
          <w:tcPr>
            <w:tcW w:w="0" w:type="auto"/>
            <w:vAlign w:val="center"/>
          </w:tcPr>
          <w:p>
            <w:pPr>
              <w:pStyle w:val="61"/>
              <w:ind w:left="0" w:leftChars="0" w:firstLine="0" w:firstLineChars="0"/>
              <w:rPr>
                <w:rFonts w:hint="eastAsia"/>
                <w:highlight w:val="none"/>
              </w:rPr>
            </w:pPr>
            <w:r>
              <w:rPr>
                <w:rFonts w:hint="eastAsia"/>
                <w:highlight w:val="none"/>
              </w:rPr>
              <w:t>投标产品所有技术指标性能、参数等满足招标文件第三部分“</w:t>
            </w:r>
            <w:r>
              <w:rPr>
                <w:rFonts w:hint="eastAsia"/>
                <w:highlight w:val="none"/>
                <w:lang w:eastAsia="zh-CN"/>
              </w:rPr>
              <w:t>三</w:t>
            </w:r>
            <w:r>
              <w:rPr>
                <w:rFonts w:hint="eastAsia"/>
                <w:highlight w:val="none"/>
              </w:rPr>
              <w:t>、设备采购清单及参数”中技术要求的，得</w:t>
            </w:r>
            <w:r>
              <w:rPr>
                <w:rFonts w:hint="eastAsia"/>
                <w:highlight w:val="none"/>
                <w:lang w:val="en-US" w:eastAsia="zh-CN"/>
              </w:rPr>
              <w:t>32</w:t>
            </w:r>
            <w:r>
              <w:rPr>
                <w:rFonts w:hint="eastAsia"/>
                <w:highlight w:val="none"/>
              </w:rPr>
              <w:t>分；</w:t>
            </w:r>
          </w:p>
          <w:p>
            <w:pPr>
              <w:pStyle w:val="61"/>
              <w:ind w:left="0" w:leftChars="0" w:firstLine="0" w:firstLineChars="0"/>
              <w:rPr>
                <w:rFonts w:hint="eastAsia"/>
                <w:highlight w:val="none"/>
              </w:rPr>
            </w:pPr>
            <w:r>
              <w:rPr>
                <w:rFonts w:hint="eastAsia"/>
                <w:highlight w:val="none"/>
              </w:rPr>
              <w:t>标“▲”符号的属于实质性要求，如负偏离或未响应均作无效标处理；</w:t>
            </w:r>
          </w:p>
          <w:p>
            <w:pPr>
              <w:pStyle w:val="61"/>
              <w:ind w:left="0" w:leftChars="0" w:firstLine="0" w:firstLineChars="0"/>
              <w:rPr>
                <w:highlight w:val="none"/>
              </w:rPr>
            </w:pPr>
            <w:r>
              <w:rPr>
                <w:rFonts w:hint="eastAsia"/>
                <w:highlight w:val="none"/>
              </w:rPr>
              <w:t>标有“★”符号的属于重要条款，负偏离或未响应的每项扣2分，扣完为止；非实质性条款且不是重要条款，负偏离或未响应的每项扣1分，扣完为止。</w:t>
            </w:r>
            <w:r>
              <w:rPr>
                <w:rFonts w:hint="eastAsia"/>
                <w:b/>
                <w:bCs/>
                <w:highlight w:val="none"/>
              </w:rPr>
              <w:t>（要求提供检测报告</w:t>
            </w:r>
            <w:r>
              <w:rPr>
                <w:rFonts w:hint="eastAsia"/>
                <w:b/>
                <w:bCs/>
                <w:highlight w:val="none"/>
                <w:lang w:eastAsia="zh-CN"/>
              </w:rPr>
              <w:t>（或承诺函等）</w:t>
            </w:r>
            <w:r>
              <w:rPr>
                <w:rFonts w:hint="eastAsia"/>
                <w:b/>
                <w:bCs/>
                <w:highlight w:val="none"/>
              </w:rPr>
              <w:t>或相关证明材料未提供</w:t>
            </w:r>
            <w:r>
              <w:rPr>
                <w:rFonts w:hint="eastAsia"/>
                <w:b/>
                <w:bCs/>
                <w:highlight w:val="none"/>
                <w:lang w:eastAsia="zh-CN"/>
              </w:rPr>
              <w:t>或缺少的均</w:t>
            </w:r>
            <w:r>
              <w:rPr>
                <w:rFonts w:hint="eastAsia"/>
                <w:b/>
                <w:bCs/>
                <w:highlight w:val="none"/>
              </w:rPr>
              <w:t>视为负偏离）</w:t>
            </w:r>
          </w:p>
        </w:tc>
        <w:tc>
          <w:tcPr>
            <w:tcW w:w="456" w:type="dxa"/>
            <w:vAlign w:val="center"/>
          </w:tcPr>
          <w:p>
            <w:pPr>
              <w:spacing w:line="360" w:lineRule="auto"/>
              <w:jc w:val="center"/>
              <w:outlineLvl w:val="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32</w:t>
            </w:r>
          </w:p>
        </w:tc>
        <w:tc>
          <w:tcPr>
            <w:tcW w:w="1179" w:type="dxa"/>
            <w:vAlign w:val="center"/>
          </w:tcPr>
          <w:p>
            <w:pPr>
              <w:spacing w:line="360" w:lineRule="auto"/>
              <w:jc w:val="center"/>
              <w:outlineLvl w:val="0"/>
              <w:rPr>
                <w:rFonts w:ascii="宋体" w:hAnsi="宋体" w:cs="宋体"/>
                <w:b/>
                <w:bCs/>
                <w:color w:val="auto"/>
                <w:sz w:val="24"/>
                <w:highlight w:val="none"/>
              </w:rPr>
            </w:pPr>
            <w:r>
              <w:rPr>
                <w:rFonts w:hint="eastAsia" w:ascii="宋体" w:hAnsi="宋体" w:cs="宋体"/>
                <w:b/>
                <w:bCs/>
                <w:color w:val="auto"/>
                <w:sz w:val="24"/>
                <w:highlight w:val="none"/>
              </w:rPr>
              <w:t>（</w:t>
            </w:r>
            <w:r>
              <w:rPr>
                <w:rFonts w:hint="eastAsia" w:ascii="宋体" w:hAnsi="宋体" w:cs="宋体"/>
                <w:b/>
                <w:bCs/>
                <w:color w:val="auto"/>
                <w:sz w:val="24"/>
                <w:highlight w:val="none"/>
                <w:lang w:eastAsia="zh-CN"/>
              </w:rPr>
              <w:t>三</w:t>
            </w:r>
            <w:r>
              <w:rPr>
                <w:rFonts w:hint="eastAsia" w:ascii="宋体" w:hAnsi="宋体" w:cs="宋体"/>
                <w:b/>
                <w:bCs/>
                <w:color w:val="auto"/>
                <w:sz w:val="24"/>
                <w:highlight w:val="none"/>
              </w:rPr>
              <w:t>）技术要求响应情况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56" w:type="dxa"/>
            <w:vAlign w:val="center"/>
          </w:tcPr>
          <w:p>
            <w:pPr>
              <w:spacing w:line="360" w:lineRule="auto"/>
              <w:jc w:val="center"/>
              <w:outlineLvl w:val="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4</w:t>
            </w:r>
          </w:p>
        </w:tc>
        <w:tc>
          <w:tcPr>
            <w:tcW w:w="0" w:type="auto"/>
            <w:vAlign w:val="center"/>
          </w:tcPr>
          <w:p>
            <w:pPr>
              <w:spacing w:line="360" w:lineRule="auto"/>
              <w:outlineLvl w:val="0"/>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项目实施方案：投标人提供科学、合理、</w:t>
            </w:r>
            <w:r>
              <w:rPr>
                <w:rFonts w:hint="eastAsia" w:ascii="宋体" w:hAnsi="宋体" w:cs="宋体"/>
                <w:color w:val="auto"/>
                <w:sz w:val="24"/>
                <w:highlight w:val="none"/>
                <w:lang w:eastAsia="zh-CN"/>
              </w:rPr>
              <w:t>可操作的</w:t>
            </w:r>
            <w:r>
              <w:rPr>
                <w:rFonts w:hint="eastAsia" w:ascii="宋体" w:hAnsi="宋体" w:cs="宋体"/>
                <w:color w:val="auto"/>
                <w:sz w:val="24"/>
                <w:highlight w:val="none"/>
              </w:rPr>
              <w:t>具体项目整体实施方案，包括①项目实施计划进度②项目实施保障措施③项目实施培训方案④项目验收方案</w:t>
            </w:r>
            <w:r>
              <w:rPr>
                <w:rFonts w:hint="eastAsia" w:ascii="宋体" w:hAnsi="宋体" w:cs="宋体"/>
                <w:color w:val="auto"/>
                <w:sz w:val="24"/>
                <w:highlight w:val="none"/>
                <w:lang w:eastAsia="zh-CN"/>
              </w:rPr>
              <w:t>。每符合一项得</w:t>
            </w:r>
            <w:r>
              <w:rPr>
                <w:rFonts w:hint="default" w:ascii="宋体" w:hAnsi="宋体" w:cs="宋体"/>
                <w:color w:val="auto"/>
                <w:sz w:val="24"/>
                <w:highlight w:val="none"/>
                <w:lang w:val="en-US" w:eastAsia="zh-CN"/>
              </w:rPr>
              <w:t>1</w:t>
            </w:r>
            <w:r>
              <w:rPr>
                <w:rFonts w:hint="eastAsia" w:ascii="宋体" w:hAnsi="宋体" w:cs="宋体"/>
                <w:color w:val="auto"/>
                <w:sz w:val="24"/>
                <w:highlight w:val="none"/>
                <w:lang w:eastAsia="zh-CN"/>
              </w:rPr>
              <w:t>分，最高得</w:t>
            </w:r>
            <w:r>
              <w:rPr>
                <w:rFonts w:hint="default" w:ascii="宋体" w:hAnsi="宋体" w:cs="宋体"/>
                <w:color w:val="auto"/>
                <w:sz w:val="24"/>
                <w:highlight w:val="none"/>
                <w:lang w:val="en-US" w:eastAsia="zh-CN"/>
              </w:rPr>
              <w:t>4</w:t>
            </w:r>
            <w:r>
              <w:rPr>
                <w:rFonts w:hint="eastAsia" w:ascii="宋体" w:hAnsi="宋体" w:cs="宋体"/>
                <w:color w:val="auto"/>
                <w:sz w:val="24"/>
                <w:highlight w:val="none"/>
                <w:lang w:eastAsia="zh-CN"/>
              </w:rPr>
              <w:t>分，未提供或不合理的不得分。</w:t>
            </w:r>
          </w:p>
        </w:tc>
        <w:tc>
          <w:tcPr>
            <w:tcW w:w="456" w:type="dxa"/>
            <w:vAlign w:val="center"/>
          </w:tcPr>
          <w:p>
            <w:pPr>
              <w:spacing w:line="360" w:lineRule="auto"/>
              <w:jc w:val="center"/>
              <w:outlineLvl w:val="0"/>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4</w:t>
            </w:r>
          </w:p>
        </w:tc>
        <w:tc>
          <w:tcPr>
            <w:tcW w:w="1179" w:type="dxa"/>
            <w:vAlign w:val="center"/>
          </w:tcPr>
          <w:p>
            <w:pPr>
              <w:spacing w:line="360" w:lineRule="auto"/>
              <w:jc w:val="center"/>
              <w:outlineLvl w:val="0"/>
              <w:rPr>
                <w:rFonts w:hint="eastAsia"/>
                <w:b/>
                <w:bCs/>
                <w:color w:val="auto"/>
                <w:highlight w:val="none"/>
                <w:lang w:val="en-US" w:eastAsia="zh-CN"/>
              </w:rPr>
            </w:pPr>
            <w:r>
              <w:rPr>
                <w:rFonts w:hint="eastAsia"/>
                <w:b/>
                <w:bCs/>
                <w:color w:val="auto"/>
                <w:sz w:val="24"/>
                <w:szCs w:val="24"/>
                <w:highlight w:val="none"/>
              </w:rPr>
              <w:t>（</w:t>
            </w:r>
            <w:r>
              <w:rPr>
                <w:rFonts w:hint="eastAsia"/>
                <w:b/>
                <w:bCs/>
                <w:color w:val="auto"/>
                <w:sz w:val="24"/>
                <w:szCs w:val="24"/>
                <w:highlight w:val="none"/>
                <w:lang w:eastAsia="zh-CN"/>
              </w:rPr>
              <w:t>四</w:t>
            </w:r>
            <w:r>
              <w:rPr>
                <w:rFonts w:hint="eastAsia"/>
                <w:b/>
                <w:bCs/>
                <w:color w:val="auto"/>
                <w:sz w:val="24"/>
                <w:szCs w:val="24"/>
                <w:highlight w:val="none"/>
              </w:rPr>
              <w:t>）</w:t>
            </w:r>
            <w:r>
              <w:rPr>
                <w:rFonts w:hint="eastAsia"/>
                <w:b/>
                <w:bCs/>
                <w:color w:val="auto"/>
                <w:sz w:val="24"/>
                <w:szCs w:val="24"/>
                <w:highlight w:val="none"/>
                <w:lang w:eastAsia="zh-CN"/>
              </w:rPr>
              <w:t>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456" w:type="dxa"/>
            <w:vAlign w:val="center"/>
          </w:tcPr>
          <w:p>
            <w:pPr>
              <w:spacing w:line="360" w:lineRule="auto"/>
              <w:jc w:val="center"/>
              <w:outlineLvl w:val="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5</w:t>
            </w:r>
          </w:p>
        </w:tc>
        <w:tc>
          <w:tcPr>
            <w:tcW w:w="0" w:type="auto"/>
            <w:vAlign w:val="center"/>
          </w:tcPr>
          <w:p>
            <w:pPr>
              <w:spacing w:line="360" w:lineRule="auto"/>
              <w:outlineLvl w:val="0"/>
              <w:rPr>
                <w:rFonts w:hint="eastAsia"/>
                <w:highlight w:val="none"/>
                <w:lang w:eastAsia="zh-CN"/>
              </w:rPr>
            </w:pPr>
            <w:r>
              <w:rPr>
                <w:rFonts w:hint="eastAsia"/>
                <w:sz w:val="24"/>
                <w:szCs w:val="24"/>
                <w:highlight w:val="none"/>
                <w:lang w:eastAsia="zh-CN"/>
              </w:rPr>
              <w:t>投标人提供的安装服务实施方案：投标人提供合理性、科学性、有效性的安装服务实施方案，包括</w:t>
            </w:r>
            <w:r>
              <w:rPr>
                <w:rFonts w:hint="eastAsia"/>
                <w:sz w:val="24"/>
                <w:szCs w:val="24"/>
                <w:highlight w:val="none"/>
              </w:rPr>
              <w:t>①</w:t>
            </w:r>
            <w:r>
              <w:rPr>
                <w:rFonts w:hint="eastAsia"/>
                <w:sz w:val="24"/>
                <w:szCs w:val="24"/>
                <w:highlight w:val="none"/>
                <w:lang w:eastAsia="zh-CN"/>
              </w:rPr>
              <w:t>项目交付工期</w:t>
            </w:r>
            <w:r>
              <w:rPr>
                <w:rFonts w:hint="eastAsia"/>
                <w:sz w:val="24"/>
                <w:szCs w:val="24"/>
                <w:highlight w:val="none"/>
              </w:rPr>
              <w:t>②</w:t>
            </w:r>
            <w:r>
              <w:rPr>
                <w:rFonts w:hint="eastAsia"/>
                <w:sz w:val="24"/>
                <w:szCs w:val="24"/>
                <w:highlight w:val="none"/>
                <w:lang w:eastAsia="zh-CN"/>
              </w:rPr>
              <w:t>根据项目</w:t>
            </w:r>
            <w:r>
              <w:rPr>
                <w:rFonts w:hint="eastAsia"/>
                <w:sz w:val="24"/>
                <w:szCs w:val="24"/>
                <w:highlight w:val="none"/>
              </w:rPr>
              <w:t>交付时间节点，送货安装时间</w:t>
            </w:r>
            <w:r>
              <w:rPr>
                <w:rFonts w:hint="eastAsia"/>
                <w:sz w:val="24"/>
                <w:szCs w:val="24"/>
                <w:highlight w:val="none"/>
                <w:lang w:eastAsia="zh-CN"/>
              </w:rPr>
              <w:t>、</w:t>
            </w:r>
            <w:r>
              <w:rPr>
                <w:rFonts w:hint="eastAsia"/>
                <w:sz w:val="24"/>
                <w:szCs w:val="24"/>
                <w:highlight w:val="none"/>
              </w:rPr>
              <w:t>人员安排</w:t>
            </w:r>
            <w:r>
              <w:rPr>
                <w:rFonts w:hint="eastAsia"/>
                <w:sz w:val="24"/>
                <w:szCs w:val="24"/>
                <w:highlight w:val="none"/>
                <w:lang w:eastAsia="zh-CN"/>
              </w:rPr>
              <w:t>、设备调试等情况的落实情况。</w:t>
            </w:r>
            <w:r>
              <w:rPr>
                <w:rFonts w:hint="eastAsia" w:ascii="宋体" w:hAnsi="宋体" w:cs="宋体"/>
                <w:color w:val="auto"/>
                <w:sz w:val="24"/>
                <w:highlight w:val="none"/>
                <w:lang w:eastAsia="zh-CN"/>
              </w:rPr>
              <w:t>每符合一项得</w:t>
            </w:r>
            <w:r>
              <w:rPr>
                <w:rFonts w:hint="default" w:ascii="宋体" w:hAnsi="宋体" w:cs="宋体"/>
                <w:color w:val="auto"/>
                <w:sz w:val="24"/>
                <w:highlight w:val="none"/>
                <w:lang w:val="en-US" w:eastAsia="zh-CN"/>
              </w:rPr>
              <w:t>2</w:t>
            </w:r>
            <w:r>
              <w:rPr>
                <w:rFonts w:hint="eastAsia" w:ascii="宋体" w:hAnsi="宋体" w:cs="宋体"/>
                <w:color w:val="auto"/>
                <w:sz w:val="24"/>
                <w:highlight w:val="none"/>
                <w:lang w:eastAsia="zh-CN"/>
              </w:rPr>
              <w:t>分，最高得</w:t>
            </w:r>
            <w:r>
              <w:rPr>
                <w:rFonts w:hint="default" w:ascii="宋体" w:hAnsi="宋体" w:cs="宋体"/>
                <w:color w:val="auto"/>
                <w:sz w:val="24"/>
                <w:highlight w:val="none"/>
                <w:lang w:val="en-US" w:eastAsia="zh-CN"/>
              </w:rPr>
              <w:t>4</w:t>
            </w:r>
            <w:r>
              <w:rPr>
                <w:rFonts w:hint="eastAsia" w:ascii="宋体" w:hAnsi="宋体" w:cs="宋体"/>
                <w:color w:val="auto"/>
                <w:sz w:val="24"/>
                <w:highlight w:val="none"/>
                <w:lang w:eastAsia="zh-CN"/>
              </w:rPr>
              <w:t>分，未提供或不合理的不得分。</w:t>
            </w:r>
          </w:p>
        </w:tc>
        <w:tc>
          <w:tcPr>
            <w:tcW w:w="456" w:type="dxa"/>
            <w:vAlign w:val="center"/>
          </w:tcPr>
          <w:p>
            <w:pPr>
              <w:spacing w:line="360" w:lineRule="auto"/>
              <w:jc w:val="center"/>
              <w:outlineLvl w:val="0"/>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4</w:t>
            </w:r>
          </w:p>
        </w:tc>
        <w:tc>
          <w:tcPr>
            <w:tcW w:w="1179" w:type="dxa"/>
            <w:vAlign w:val="center"/>
          </w:tcPr>
          <w:p>
            <w:pPr>
              <w:pStyle w:val="25"/>
              <w:ind w:left="0" w:leftChars="0" w:firstLine="0" w:firstLineChars="0"/>
              <w:rPr>
                <w:rFonts w:hint="eastAsia"/>
                <w:b/>
                <w:bCs/>
                <w:color w:val="auto"/>
                <w:highlight w:val="none"/>
                <w:lang w:val="en-US" w:eastAsia="zh-CN"/>
              </w:rPr>
            </w:pPr>
            <w:r>
              <w:rPr>
                <w:rFonts w:hint="eastAsia"/>
                <w:b/>
                <w:bCs/>
                <w:color w:val="auto"/>
                <w:sz w:val="24"/>
                <w:szCs w:val="24"/>
                <w:highlight w:val="none"/>
                <w:lang w:val="en-US" w:eastAsia="zh-CN"/>
              </w:rPr>
              <w:t>（五）安装服务实施方案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0" w:type="auto"/>
            <w:vMerge w:val="restart"/>
            <w:vAlign w:val="center"/>
          </w:tcPr>
          <w:p>
            <w:pPr>
              <w:spacing w:line="360" w:lineRule="auto"/>
              <w:jc w:val="center"/>
              <w:outlineLvl w:val="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6</w:t>
            </w:r>
          </w:p>
        </w:tc>
        <w:tc>
          <w:tcPr>
            <w:tcW w:w="7195" w:type="dxa"/>
            <w:vAlign w:val="center"/>
          </w:tcPr>
          <w:p>
            <w:pPr>
              <w:spacing w:line="360" w:lineRule="auto"/>
              <w:outlineLvl w:val="0"/>
              <w:rPr>
                <w:rFonts w:hint="eastAsia" w:ascii="宋体" w:hAnsi="宋体" w:eastAsia="宋体" w:cs="宋体"/>
                <w:color w:val="auto"/>
                <w:sz w:val="24"/>
                <w:highlight w:val="none"/>
                <w:lang w:eastAsia="zh-CN"/>
              </w:rPr>
            </w:pPr>
            <w:r>
              <w:rPr>
                <w:rFonts w:hint="eastAsia" w:ascii="宋体" w:hAnsi="宋体" w:cs="宋体"/>
                <w:color w:val="auto"/>
                <w:sz w:val="24"/>
                <w:highlight w:val="none"/>
              </w:rPr>
              <w:t>拟担任本项目经理和技术负责人的专业素质、技术能力、证书、经验等情况</w:t>
            </w:r>
            <w:r>
              <w:rPr>
                <w:rFonts w:hint="eastAsia" w:ascii="宋体" w:hAnsi="宋体" w:cs="宋体"/>
                <w:color w:val="auto"/>
                <w:sz w:val="24"/>
                <w:highlight w:val="none"/>
                <w:lang w:eastAsia="zh-CN"/>
              </w:rPr>
              <w:t>，每符合一项得</w:t>
            </w:r>
            <w:r>
              <w:rPr>
                <w:rFonts w:hint="default" w:ascii="宋体" w:hAnsi="宋体" w:cs="宋体"/>
                <w:color w:val="auto"/>
                <w:sz w:val="24"/>
                <w:highlight w:val="none"/>
                <w:lang w:val="en-US" w:eastAsia="zh-CN"/>
              </w:rPr>
              <w:t>0.5</w:t>
            </w:r>
            <w:r>
              <w:rPr>
                <w:rFonts w:hint="eastAsia" w:ascii="宋体" w:hAnsi="宋体" w:cs="宋体"/>
                <w:color w:val="auto"/>
                <w:sz w:val="24"/>
                <w:highlight w:val="none"/>
                <w:lang w:val="en-US" w:eastAsia="zh-CN"/>
              </w:rPr>
              <w:t>分</w:t>
            </w:r>
            <w:r>
              <w:rPr>
                <w:rFonts w:hint="eastAsia" w:ascii="宋体" w:hAnsi="宋体" w:cs="宋体"/>
                <w:color w:val="auto"/>
                <w:sz w:val="24"/>
                <w:highlight w:val="none"/>
                <w:lang w:eastAsia="zh-CN"/>
              </w:rPr>
              <w:t>，最高得</w:t>
            </w:r>
            <w:r>
              <w:rPr>
                <w:rFonts w:hint="default" w:ascii="宋体" w:hAnsi="宋体" w:cs="宋体"/>
                <w:color w:val="auto"/>
                <w:sz w:val="24"/>
                <w:highlight w:val="none"/>
                <w:lang w:val="en-US" w:eastAsia="zh-CN"/>
              </w:rPr>
              <w:t>2</w:t>
            </w:r>
            <w:r>
              <w:rPr>
                <w:rFonts w:hint="eastAsia" w:ascii="宋体" w:hAnsi="宋体" w:cs="宋体"/>
                <w:color w:val="auto"/>
                <w:sz w:val="24"/>
                <w:highlight w:val="none"/>
                <w:lang w:eastAsia="zh-CN"/>
              </w:rPr>
              <w:t>分，未提供或不合理不得分。</w:t>
            </w:r>
          </w:p>
        </w:tc>
        <w:tc>
          <w:tcPr>
            <w:tcW w:w="456" w:type="dxa"/>
            <w:vAlign w:val="center"/>
          </w:tcPr>
          <w:p>
            <w:pPr>
              <w:spacing w:line="360" w:lineRule="auto"/>
              <w:jc w:val="center"/>
              <w:outlineLvl w:val="0"/>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2</w:t>
            </w:r>
          </w:p>
        </w:tc>
        <w:tc>
          <w:tcPr>
            <w:tcW w:w="1179" w:type="dxa"/>
            <w:vMerge w:val="restart"/>
            <w:vAlign w:val="center"/>
          </w:tcPr>
          <w:p>
            <w:pPr>
              <w:spacing w:line="360" w:lineRule="auto"/>
              <w:jc w:val="center"/>
              <w:outlineLvl w:val="0"/>
              <w:rPr>
                <w:rFonts w:hint="eastAsia" w:ascii="宋体" w:hAnsi="宋体" w:cs="宋体"/>
                <w:b/>
                <w:bCs/>
                <w:color w:val="auto"/>
                <w:sz w:val="24"/>
                <w:highlight w:val="none"/>
              </w:rPr>
            </w:pPr>
            <w:r>
              <w:rPr>
                <w:rFonts w:hint="eastAsia" w:ascii="宋体" w:hAnsi="宋体" w:cs="宋体"/>
                <w:b/>
                <w:bCs/>
                <w:color w:val="auto"/>
                <w:sz w:val="24"/>
                <w:highlight w:val="none"/>
              </w:rPr>
              <w:t>（</w:t>
            </w:r>
            <w:r>
              <w:rPr>
                <w:rFonts w:hint="eastAsia" w:ascii="宋体" w:hAnsi="宋体" w:cs="宋体"/>
                <w:b/>
                <w:bCs/>
                <w:color w:val="auto"/>
                <w:sz w:val="24"/>
                <w:highlight w:val="none"/>
                <w:lang w:eastAsia="zh-CN"/>
              </w:rPr>
              <w:t>六</w:t>
            </w:r>
            <w:r>
              <w:rPr>
                <w:rFonts w:hint="eastAsia" w:ascii="宋体" w:hAnsi="宋体" w:cs="宋体"/>
                <w:b/>
                <w:bCs/>
                <w:color w:val="auto"/>
                <w:sz w:val="24"/>
                <w:highlight w:val="none"/>
              </w:rPr>
              <w:t>）</w:t>
            </w:r>
            <w:r>
              <w:rPr>
                <w:rFonts w:hint="eastAsia" w:ascii="宋体" w:hAnsi="宋体" w:cs="宋体"/>
                <w:b/>
                <w:bCs/>
                <w:color w:val="auto"/>
                <w:sz w:val="24"/>
                <w:highlight w:val="none"/>
                <w:lang w:eastAsia="zh-CN"/>
              </w:rPr>
              <w:t>项目团队情况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0" w:type="auto"/>
            <w:vMerge w:val="continue"/>
            <w:vAlign w:val="center"/>
          </w:tcPr>
          <w:p>
            <w:pPr>
              <w:spacing w:line="360" w:lineRule="auto"/>
              <w:outlineLvl w:val="0"/>
              <w:rPr>
                <w:highlight w:val="none"/>
              </w:rPr>
            </w:pPr>
          </w:p>
        </w:tc>
        <w:tc>
          <w:tcPr>
            <w:tcW w:w="0" w:type="auto"/>
            <w:vAlign w:val="center"/>
          </w:tcPr>
          <w:p>
            <w:pPr>
              <w:spacing w:line="360" w:lineRule="auto"/>
              <w:outlineLvl w:val="0"/>
              <w:rPr>
                <w:rFonts w:hint="eastAsia" w:ascii="宋体" w:hAnsi="宋体" w:eastAsia="宋体" w:cs="宋体"/>
                <w:color w:val="auto"/>
                <w:sz w:val="24"/>
                <w:highlight w:val="none"/>
                <w:lang w:eastAsia="zh-CN"/>
              </w:rPr>
            </w:pPr>
            <w:r>
              <w:rPr>
                <w:rFonts w:hint="eastAsia" w:ascii="宋体" w:hAnsi="宋体" w:cs="宋体"/>
                <w:color w:val="auto"/>
                <w:sz w:val="24"/>
                <w:highlight w:val="none"/>
              </w:rPr>
              <w:t>项目组实施人员专业人员数量</w:t>
            </w:r>
            <w:r>
              <w:rPr>
                <w:rFonts w:hint="eastAsia" w:ascii="宋体" w:hAnsi="宋体" w:cs="宋体"/>
                <w:color w:val="auto"/>
                <w:sz w:val="24"/>
                <w:highlight w:val="none"/>
                <w:lang w:eastAsia="zh-CN"/>
              </w:rPr>
              <w:t>、</w:t>
            </w:r>
            <w:r>
              <w:rPr>
                <w:rFonts w:hint="eastAsia" w:ascii="宋体" w:hAnsi="宋体" w:cs="宋体"/>
                <w:color w:val="auto"/>
                <w:sz w:val="24"/>
                <w:highlight w:val="none"/>
              </w:rPr>
              <w:t>配置</w:t>
            </w:r>
            <w:r>
              <w:rPr>
                <w:rFonts w:hint="eastAsia" w:ascii="宋体" w:hAnsi="宋体" w:cs="宋体"/>
                <w:color w:val="auto"/>
                <w:sz w:val="24"/>
                <w:highlight w:val="none"/>
                <w:lang w:eastAsia="zh-CN"/>
              </w:rPr>
              <w:t>和</w:t>
            </w:r>
            <w:r>
              <w:rPr>
                <w:rFonts w:hint="eastAsia" w:ascii="宋体" w:hAnsi="宋体" w:cs="宋体"/>
                <w:color w:val="auto"/>
                <w:sz w:val="24"/>
                <w:highlight w:val="none"/>
              </w:rPr>
              <w:t>相关资质</w:t>
            </w:r>
            <w:r>
              <w:rPr>
                <w:rFonts w:hint="eastAsia" w:ascii="宋体" w:hAnsi="宋体" w:cs="宋体"/>
                <w:color w:val="auto"/>
                <w:sz w:val="24"/>
                <w:highlight w:val="none"/>
                <w:lang w:eastAsia="zh-CN"/>
              </w:rPr>
              <w:t>情况</w:t>
            </w:r>
            <w:r>
              <w:rPr>
                <w:rFonts w:hint="eastAsia" w:ascii="宋体" w:hAnsi="宋体" w:cs="宋体"/>
                <w:color w:val="auto"/>
                <w:sz w:val="24"/>
                <w:highlight w:val="none"/>
              </w:rPr>
              <w:t>（证书、技术能力、专业分布、类似经验等）</w:t>
            </w:r>
            <w:r>
              <w:rPr>
                <w:rFonts w:hint="eastAsia" w:ascii="宋体" w:hAnsi="宋体" w:cs="宋体"/>
                <w:color w:val="auto"/>
                <w:sz w:val="24"/>
                <w:highlight w:val="none"/>
                <w:lang w:eastAsia="zh-CN"/>
              </w:rPr>
              <w:t>，提供</w:t>
            </w:r>
            <w:r>
              <w:rPr>
                <w:rFonts w:hint="eastAsia" w:ascii="宋体" w:hAnsi="宋体" w:cs="宋体"/>
                <w:color w:val="auto"/>
                <w:sz w:val="24"/>
                <w:highlight w:val="none"/>
              </w:rPr>
              <w:t>履历表和相关资料、相关证书</w:t>
            </w:r>
            <w:r>
              <w:rPr>
                <w:rFonts w:hint="eastAsia" w:ascii="宋体" w:hAnsi="宋体" w:cs="宋体"/>
                <w:color w:val="auto"/>
                <w:sz w:val="24"/>
                <w:highlight w:val="none"/>
                <w:lang w:eastAsia="zh-CN"/>
              </w:rPr>
              <w:t>等证明材料，每符合一项得0.5分，最高得</w:t>
            </w:r>
            <w:r>
              <w:rPr>
                <w:rFonts w:hint="default" w:ascii="宋体" w:hAnsi="宋体" w:cs="宋体"/>
                <w:color w:val="auto"/>
                <w:sz w:val="24"/>
                <w:highlight w:val="none"/>
                <w:lang w:val="en-US" w:eastAsia="zh-CN"/>
              </w:rPr>
              <w:t>2</w:t>
            </w:r>
            <w:r>
              <w:rPr>
                <w:rFonts w:hint="eastAsia" w:ascii="宋体" w:hAnsi="宋体" w:cs="宋体"/>
                <w:color w:val="auto"/>
                <w:sz w:val="24"/>
                <w:highlight w:val="none"/>
                <w:lang w:eastAsia="zh-CN"/>
              </w:rPr>
              <w:t>分，未提供或不合理不得分。</w:t>
            </w:r>
          </w:p>
        </w:tc>
        <w:tc>
          <w:tcPr>
            <w:tcW w:w="456" w:type="dxa"/>
            <w:vAlign w:val="center"/>
          </w:tcPr>
          <w:p>
            <w:pPr>
              <w:spacing w:line="360" w:lineRule="auto"/>
              <w:jc w:val="center"/>
              <w:outlineLvl w:val="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w:t>
            </w:r>
          </w:p>
        </w:tc>
        <w:tc>
          <w:tcPr>
            <w:tcW w:w="1179" w:type="dxa"/>
            <w:vMerge w:val="continue"/>
            <w:vAlign w:val="center"/>
          </w:tcPr>
          <w:p>
            <w:pPr>
              <w:spacing w:line="360" w:lineRule="auto"/>
              <w:outlineLvl w:val="0"/>
              <w:rPr>
                <w:rFonts w:hint="eastAsia" w:ascii="宋体" w:hAnsi="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vMerge w:val="restart"/>
            <w:vAlign w:val="center"/>
          </w:tcPr>
          <w:p>
            <w:pPr>
              <w:spacing w:line="360" w:lineRule="auto"/>
              <w:jc w:val="center"/>
              <w:outlineLvl w:val="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7</w:t>
            </w:r>
          </w:p>
        </w:tc>
        <w:tc>
          <w:tcPr>
            <w:tcW w:w="0" w:type="auto"/>
            <w:vAlign w:val="center"/>
          </w:tcPr>
          <w:p>
            <w:pPr>
              <w:adjustRightInd w:val="0"/>
              <w:snapToGrid w:val="0"/>
              <w:spacing w:line="360" w:lineRule="auto"/>
              <w:jc w:val="left"/>
              <w:rPr>
                <w:rFonts w:hint="default" w:ascii="宋体" w:hAnsi="宋体" w:eastAsia="宋体" w:cs="宋体"/>
                <w:i w:val="0"/>
                <w:iCs w:val="0"/>
                <w:color w:val="auto"/>
                <w:kern w:val="2"/>
                <w:sz w:val="21"/>
                <w:szCs w:val="21"/>
                <w:highlight w:val="none"/>
                <w:lang w:val="en-US" w:eastAsia="zh-CN" w:bidi="ar-SA"/>
              </w:rPr>
            </w:pPr>
            <w:r>
              <w:rPr>
                <w:rFonts w:hint="eastAsia" w:ascii="宋体" w:hAnsi="宋体" w:eastAsia="宋体" w:cs="宋体"/>
                <w:color w:val="auto"/>
                <w:sz w:val="24"/>
                <w:highlight w:val="none"/>
                <w:lang w:val="en-US" w:eastAsia="zh-CN"/>
              </w:rPr>
              <w:t>根据投标人提供的售后服务方案进行评价。包括：</w:t>
            </w:r>
            <w:r>
              <w:rPr>
                <w:rFonts w:hint="default" w:ascii="宋体" w:hAnsi="宋体" w:cs="宋体"/>
                <w:color w:val="auto"/>
                <w:sz w:val="24"/>
                <w:highlight w:val="none"/>
                <w:lang w:val="en-US" w:eastAsia="zh-CN"/>
              </w:rPr>
              <w:t>1</w:t>
            </w:r>
            <w:r>
              <w:rPr>
                <w:rFonts w:hint="eastAsia" w:ascii="宋体" w:hAnsi="宋体" w:eastAsia="宋体" w:cs="宋体"/>
                <w:color w:val="auto"/>
                <w:sz w:val="24"/>
                <w:highlight w:val="none"/>
                <w:lang w:val="en-US" w:eastAsia="zh-CN"/>
              </w:rPr>
              <w:t>、售后服务期内服务内容情况；</w:t>
            </w:r>
            <w:r>
              <w:rPr>
                <w:rFonts w:hint="default" w:ascii="宋体" w:hAnsi="宋体" w:cs="宋体"/>
                <w:color w:val="auto"/>
                <w:sz w:val="24"/>
                <w:highlight w:val="none"/>
                <w:lang w:val="en-US" w:eastAsia="zh-CN"/>
              </w:rPr>
              <w:t>2</w:t>
            </w:r>
            <w:r>
              <w:rPr>
                <w:rFonts w:hint="eastAsia" w:ascii="宋体" w:hAnsi="宋体" w:cs="宋体"/>
                <w:color w:val="auto"/>
                <w:sz w:val="24"/>
                <w:highlight w:val="none"/>
                <w:lang w:val="en-US" w:eastAsia="zh-CN"/>
              </w:rPr>
              <w:t>、售后服务体系、</w:t>
            </w:r>
            <w:r>
              <w:rPr>
                <w:rFonts w:hint="eastAsia" w:ascii="宋体" w:hAnsi="宋体" w:eastAsia="宋体" w:cs="宋体"/>
                <w:sz w:val="24"/>
                <w:highlight w:val="none"/>
              </w:rPr>
              <w:t>售后服务部门及维修网点</w:t>
            </w:r>
            <w:r>
              <w:rPr>
                <w:rFonts w:hint="eastAsia" w:ascii="宋体" w:hAnsi="宋体" w:cs="宋体"/>
                <w:sz w:val="24"/>
                <w:highlight w:val="none"/>
                <w:lang w:eastAsia="zh-CN"/>
              </w:rPr>
              <w:t>联系电话</w:t>
            </w:r>
            <w:r>
              <w:rPr>
                <w:rFonts w:hint="default" w:ascii="宋体" w:hAnsi="宋体" w:cs="宋体"/>
                <w:color w:val="auto"/>
                <w:sz w:val="24"/>
                <w:highlight w:val="none"/>
                <w:lang w:val="en-US" w:eastAsia="zh-CN"/>
              </w:rPr>
              <w:t>3</w:t>
            </w:r>
            <w:r>
              <w:rPr>
                <w:rFonts w:hint="eastAsia" w:ascii="宋体" w:hAnsi="宋体" w:eastAsia="宋体" w:cs="宋体"/>
                <w:color w:val="auto"/>
                <w:sz w:val="24"/>
                <w:highlight w:val="none"/>
                <w:lang w:val="en-US" w:eastAsia="zh-CN"/>
              </w:rPr>
              <w:t>、服务响应及时情况；</w:t>
            </w:r>
            <w:r>
              <w:rPr>
                <w:rFonts w:hint="default" w:ascii="宋体" w:hAnsi="宋体" w:cs="宋体"/>
                <w:color w:val="auto"/>
                <w:sz w:val="24"/>
                <w:highlight w:val="none"/>
                <w:lang w:val="en-US" w:eastAsia="zh-CN"/>
              </w:rPr>
              <w:t>4</w:t>
            </w:r>
            <w:r>
              <w:rPr>
                <w:rFonts w:hint="eastAsia" w:ascii="宋体" w:hAnsi="宋体" w:eastAsia="宋体" w:cs="宋体"/>
                <w:color w:val="auto"/>
                <w:sz w:val="24"/>
                <w:highlight w:val="none"/>
                <w:lang w:val="en-US" w:eastAsia="zh-CN"/>
              </w:rPr>
              <w:t>、故障处理服务针对性程度。每符合一项得</w:t>
            </w:r>
            <w:r>
              <w:rPr>
                <w:rFonts w:hint="default" w:ascii="宋体" w:hAnsi="宋体" w:eastAsia="宋体" w:cs="宋体"/>
                <w:color w:val="auto"/>
                <w:sz w:val="24"/>
                <w:highlight w:val="none"/>
                <w:lang w:val="en-US" w:eastAsia="zh-CN"/>
              </w:rPr>
              <w:t>1</w:t>
            </w:r>
            <w:r>
              <w:rPr>
                <w:rFonts w:hint="eastAsia" w:ascii="宋体" w:hAnsi="宋体" w:eastAsia="宋体" w:cs="宋体"/>
                <w:color w:val="auto"/>
                <w:sz w:val="24"/>
                <w:highlight w:val="none"/>
                <w:lang w:val="en-US" w:eastAsia="zh-CN"/>
              </w:rPr>
              <w:t>分，最高得</w:t>
            </w:r>
            <w:r>
              <w:rPr>
                <w:rFonts w:hint="default" w:ascii="宋体" w:hAnsi="宋体" w:cs="宋体"/>
                <w:color w:val="auto"/>
                <w:sz w:val="24"/>
                <w:highlight w:val="none"/>
                <w:lang w:val="en-US" w:eastAsia="zh-CN"/>
              </w:rPr>
              <w:t>4</w:t>
            </w:r>
            <w:r>
              <w:rPr>
                <w:rFonts w:hint="eastAsia" w:ascii="宋体" w:hAnsi="宋体" w:eastAsia="宋体" w:cs="宋体"/>
                <w:color w:val="auto"/>
                <w:sz w:val="24"/>
                <w:highlight w:val="none"/>
                <w:lang w:val="en-US" w:eastAsia="zh-CN"/>
              </w:rPr>
              <w:t>分，未提供或不合理不得分。</w:t>
            </w:r>
          </w:p>
        </w:tc>
        <w:tc>
          <w:tcPr>
            <w:tcW w:w="456" w:type="dxa"/>
            <w:vAlign w:val="center"/>
          </w:tcPr>
          <w:p>
            <w:pPr>
              <w:spacing w:line="360" w:lineRule="auto"/>
              <w:jc w:val="center"/>
              <w:outlineLvl w:val="0"/>
              <w:rPr>
                <w:rFonts w:hint="default" w:ascii="宋体" w:hAnsi="宋体" w:cs="宋体"/>
                <w:color w:val="auto"/>
                <w:sz w:val="24"/>
                <w:highlight w:val="none"/>
                <w:lang w:val="en-US" w:eastAsia="zh-CN"/>
              </w:rPr>
            </w:pPr>
            <w:r>
              <w:rPr>
                <w:rFonts w:hint="default" w:ascii="宋体" w:hAnsi="宋体" w:cs="宋体"/>
                <w:color w:val="auto"/>
                <w:sz w:val="24"/>
                <w:highlight w:val="none"/>
                <w:lang w:val="en-US" w:eastAsia="zh-CN"/>
              </w:rPr>
              <w:t>4</w:t>
            </w:r>
          </w:p>
        </w:tc>
        <w:tc>
          <w:tcPr>
            <w:tcW w:w="1179" w:type="dxa"/>
            <w:vMerge w:val="restart"/>
            <w:vAlign w:val="center"/>
          </w:tcPr>
          <w:p>
            <w:pPr>
              <w:spacing w:line="360" w:lineRule="auto"/>
              <w:jc w:val="center"/>
              <w:outlineLvl w:val="0"/>
              <w:rPr>
                <w:rFonts w:hint="eastAsia" w:ascii="宋体" w:hAnsi="宋体" w:eastAsia="宋体" w:cs="宋体"/>
                <w:b/>
                <w:bCs/>
                <w:color w:val="auto"/>
                <w:sz w:val="24"/>
                <w:highlight w:val="none"/>
                <w:lang w:eastAsia="zh-CN"/>
              </w:rPr>
            </w:pPr>
            <w:r>
              <w:rPr>
                <w:rFonts w:hint="eastAsia" w:ascii="宋体" w:hAnsi="宋体" w:cs="宋体"/>
                <w:b/>
                <w:bCs/>
                <w:color w:val="auto"/>
                <w:sz w:val="24"/>
                <w:highlight w:val="none"/>
              </w:rPr>
              <w:t>（</w:t>
            </w:r>
            <w:r>
              <w:rPr>
                <w:rFonts w:hint="eastAsia" w:ascii="宋体" w:hAnsi="宋体" w:cs="宋体"/>
                <w:b/>
                <w:bCs/>
                <w:color w:val="auto"/>
                <w:sz w:val="24"/>
                <w:highlight w:val="none"/>
                <w:lang w:eastAsia="zh-CN"/>
              </w:rPr>
              <w:t>七</w:t>
            </w:r>
            <w:r>
              <w:rPr>
                <w:rFonts w:hint="eastAsia" w:ascii="宋体" w:hAnsi="宋体" w:cs="宋体"/>
                <w:b/>
                <w:bCs/>
                <w:color w:val="auto"/>
                <w:sz w:val="24"/>
                <w:highlight w:val="none"/>
              </w:rPr>
              <w:t>）售后服务</w:t>
            </w:r>
            <w:r>
              <w:rPr>
                <w:rFonts w:hint="eastAsia" w:ascii="宋体" w:hAnsi="宋体" w:cs="宋体"/>
                <w:b/>
                <w:bCs/>
                <w:color w:val="auto"/>
                <w:sz w:val="24"/>
                <w:highlight w:val="none"/>
                <w:lang w:eastAsia="zh-CN"/>
              </w:rPr>
              <w:t>方案及承诺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0" w:type="auto"/>
            <w:vMerge w:val="continue"/>
            <w:vAlign w:val="center"/>
          </w:tcPr>
          <w:p>
            <w:pPr>
              <w:spacing w:line="360" w:lineRule="auto"/>
              <w:jc w:val="center"/>
              <w:outlineLvl w:val="0"/>
              <w:rPr>
                <w:rFonts w:hint="eastAsia" w:ascii="宋体" w:hAnsi="宋体" w:cs="宋体"/>
                <w:color w:val="auto"/>
                <w:sz w:val="24"/>
                <w:highlight w:val="none"/>
                <w:lang w:val="en-US" w:eastAsia="zh-CN"/>
              </w:rPr>
            </w:pP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default" w:ascii="宋体" w:hAnsi="宋体" w:eastAsia="宋体" w:cs="宋体"/>
                <w:color w:val="auto"/>
                <w:sz w:val="24"/>
                <w:highlight w:val="none"/>
                <w:lang w:val="en-US" w:eastAsia="zh-CN"/>
              </w:rPr>
            </w:pPr>
            <w:r>
              <w:rPr>
                <w:rFonts w:hint="eastAsia" w:ascii="宋体" w:hAnsi="宋体" w:cs="宋体"/>
                <w:i w:val="0"/>
                <w:iCs w:val="0"/>
                <w:color w:val="auto"/>
                <w:kern w:val="2"/>
                <w:sz w:val="24"/>
                <w:szCs w:val="24"/>
                <w:highlight w:val="none"/>
                <w:lang w:val="en-US" w:eastAsia="zh-CN" w:bidi="ar-SA"/>
              </w:rPr>
              <w:t>投标人是否承诺</w:t>
            </w:r>
            <w:r>
              <w:rPr>
                <w:rFonts w:hint="eastAsia" w:ascii="宋体" w:hAnsi="宋体" w:eastAsia="宋体" w:cs="宋体"/>
                <w:i w:val="0"/>
                <w:iCs w:val="0"/>
                <w:color w:val="auto"/>
                <w:kern w:val="2"/>
                <w:sz w:val="24"/>
                <w:szCs w:val="24"/>
                <w:highlight w:val="none"/>
                <w:lang w:val="en-US" w:eastAsia="zh-CN" w:bidi="ar-SA"/>
              </w:rPr>
              <w:t>提供不少于3年的</w:t>
            </w:r>
            <w:r>
              <w:rPr>
                <w:rFonts w:hint="eastAsia" w:ascii="宋体" w:hAnsi="宋体" w:cs="宋体"/>
                <w:i w:val="0"/>
                <w:iCs w:val="0"/>
                <w:color w:val="auto"/>
                <w:kern w:val="2"/>
                <w:sz w:val="24"/>
                <w:szCs w:val="24"/>
                <w:highlight w:val="none"/>
                <w:lang w:val="en-US" w:eastAsia="zh-CN" w:bidi="ar-SA"/>
              </w:rPr>
              <w:t>设备</w:t>
            </w:r>
            <w:r>
              <w:rPr>
                <w:rFonts w:hint="eastAsia" w:ascii="宋体" w:hAnsi="宋体" w:eastAsia="宋体" w:cs="宋体"/>
                <w:i w:val="0"/>
                <w:iCs w:val="0"/>
                <w:color w:val="auto"/>
                <w:kern w:val="2"/>
                <w:sz w:val="24"/>
                <w:szCs w:val="24"/>
                <w:highlight w:val="none"/>
                <w:lang w:val="en-US" w:eastAsia="zh-CN" w:bidi="ar-SA"/>
              </w:rPr>
              <w:t>质保期</w:t>
            </w:r>
            <w:r>
              <w:rPr>
                <w:rFonts w:hint="eastAsia" w:ascii="宋体" w:hAnsi="宋体" w:cs="宋体"/>
                <w:i w:val="0"/>
                <w:iCs w:val="0"/>
                <w:color w:val="auto"/>
                <w:kern w:val="2"/>
                <w:sz w:val="24"/>
                <w:szCs w:val="24"/>
                <w:highlight w:val="none"/>
                <w:lang w:val="en-US" w:eastAsia="zh-CN" w:bidi="ar-SA"/>
              </w:rPr>
              <w:t>，承诺得1分，不承诺不得分</w:t>
            </w:r>
          </w:p>
        </w:tc>
        <w:tc>
          <w:tcPr>
            <w:tcW w:w="456" w:type="dxa"/>
            <w:vAlign w:val="center"/>
          </w:tcPr>
          <w:p>
            <w:pPr>
              <w:spacing w:line="360" w:lineRule="auto"/>
              <w:jc w:val="center"/>
              <w:outlineLvl w:val="0"/>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1</w:t>
            </w:r>
          </w:p>
        </w:tc>
        <w:tc>
          <w:tcPr>
            <w:tcW w:w="1179" w:type="dxa"/>
            <w:vMerge w:val="continue"/>
            <w:vAlign w:val="center"/>
          </w:tcPr>
          <w:p>
            <w:pPr>
              <w:spacing w:line="360" w:lineRule="auto"/>
              <w:jc w:val="center"/>
              <w:outlineLvl w:val="0"/>
              <w:rPr>
                <w:rFonts w:hint="eastAsia" w:ascii="宋体" w:hAnsi="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0" w:type="auto"/>
            <w:vAlign w:val="center"/>
          </w:tcPr>
          <w:p>
            <w:pPr>
              <w:spacing w:line="360" w:lineRule="auto"/>
              <w:jc w:val="center"/>
              <w:outlineLvl w:val="0"/>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8</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宋体" w:hAnsi="宋体" w:cs="宋体"/>
                <w:i w:val="0"/>
                <w:iCs w:val="0"/>
                <w:color w:val="auto"/>
                <w:kern w:val="2"/>
                <w:sz w:val="24"/>
                <w:szCs w:val="24"/>
                <w:highlight w:val="none"/>
                <w:lang w:val="en-US" w:eastAsia="zh-CN" w:bidi="ar-SA"/>
              </w:rPr>
            </w:pPr>
            <w:r>
              <w:rPr>
                <w:rFonts w:hint="eastAsia" w:ascii="宋体" w:hAnsi="宋体" w:cs="宋体"/>
                <w:i w:val="0"/>
                <w:iCs w:val="0"/>
                <w:color w:val="auto"/>
                <w:kern w:val="2"/>
                <w:sz w:val="24"/>
                <w:szCs w:val="24"/>
                <w:highlight w:val="none"/>
                <w:lang w:val="en-US" w:eastAsia="zh-CN" w:bidi="ar-SA"/>
              </w:rPr>
              <w:t>投标人对以下两种培训方案</w:t>
            </w:r>
            <w:r>
              <w:rPr>
                <w:rFonts w:hint="eastAsia" w:ascii="宋体" w:hAnsi="宋体" w:cs="宋体"/>
                <w:sz w:val="24"/>
                <w:szCs w:val="24"/>
                <w:highlight w:val="none"/>
                <w:lang w:eastAsia="zh-CN"/>
              </w:rPr>
              <w:t>①向培训人员提供</w:t>
            </w:r>
            <w:r>
              <w:rPr>
                <w:rFonts w:hint="eastAsia" w:ascii="宋体" w:hAnsi="宋体" w:cs="宋体"/>
                <w:i w:val="0"/>
                <w:iCs w:val="0"/>
                <w:color w:val="auto"/>
                <w:kern w:val="2"/>
                <w:sz w:val="24"/>
                <w:szCs w:val="24"/>
                <w:highlight w:val="none"/>
                <w:lang w:val="en-US" w:eastAsia="zh-CN" w:bidi="ar-SA"/>
              </w:rPr>
              <w:t>设备日常的维护保养及能对一般故障维修的培训方案（提供详细的技术维修及调试参数资料等）</w:t>
            </w:r>
            <w:r>
              <w:rPr>
                <w:rFonts w:hint="eastAsia" w:ascii="宋体" w:hAnsi="宋体" w:cs="宋体"/>
                <w:sz w:val="24"/>
                <w:szCs w:val="24"/>
                <w:highlight w:val="none"/>
                <w:lang w:eastAsia="zh-CN"/>
              </w:rPr>
              <w:t>②</w:t>
            </w:r>
            <w:r>
              <w:rPr>
                <w:rFonts w:hint="eastAsia" w:ascii="宋体" w:hAnsi="宋体" w:cs="宋体"/>
                <w:i w:val="0"/>
                <w:iCs w:val="0"/>
                <w:color w:val="auto"/>
                <w:kern w:val="2"/>
                <w:sz w:val="24"/>
                <w:szCs w:val="24"/>
                <w:highlight w:val="none"/>
                <w:lang w:val="en-US" w:eastAsia="zh-CN" w:bidi="ar-SA"/>
              </w:rPr>
              <w:t>对实际操作人员进行技术操作培训并提供详细的操作手册，方案是否合理，培训方式、地点、人数、时间是否详细说明。</w:t>
            </w:r>
            <w:r>
              <w:rPr>
                <w:rFonts w:hint="eastAsia" w:ascii="宋体" w:hAnsi="宋体" w:cs="宋体"/>
                <w:color w:val="auto"/>
                <w:sz w:val="24"/>
                <w:highlight w:val="none"/>
                <w:lang w:eastAsia="zh-CN"/>
              </w:rPr>
              <w:t>每符合一项得</w:t>
            </w:r>
            <w:r>
              <w:rPr>
                <w:rFonts w:hint="default" w:ascii="宋体" w:hAnsi="宋体" w:cs="宋体"/>
                <w:color w:val="auto"/>
                <w:sz w:val="24"/>
                <w:highlight w:val="none"/>
                <w:lang w:val="en-US" w:eastAsia="zh-CN"/>
              </w:rPr>
              <w:t>1</w:t>
            </w:r>
            <w:r>
              <w:rPr>
                <w:rFonts w:hint="eastAsia" w:ascii="宋体" w:hAnsi="宋体" w:cs="宋体"/>
                <w:color w:val="auto"/>
                <w:sz w:val="24"/>
                <w:highlight w:val="none"/>
                <w:lang w:eastAsia="zh-CN"/>
              </w:rPr>
              <w:t>分，最高得</w:t>
            </w:r>
            <w:r>
              <w:rPr>
                <w:rFonts w:hint="default" w:ascii="宋体" w:hAnsi="宋体" w:cs="宋体"/>
                <w:color w:val="auto"/>
                <w:sz w:val="24"/>
                <w:highlight w:val="none"/>
                <w:lang w:val="en-US" w:eastAsia="zh-CN"/>
              </w:rPr>
              <w:t>2</w:t>
            </w:r>
            <w:r>
              <w:rPr>
                <w:rFonts w:hint="eastAsia" w:ascii="宋体" w:hAnsi="宋体" w:cs="宋体"/>
                <w:color w:val="auto"/>
                <w:sz w:val="24"/>
                <w:highlight w:val="none"/>
                <w:lang w:eastAsia="zh-CN"/>
              </w:rPr>
              <w:t>分，未提供或不合理的不得分。</w:t>
            </w:r>
          </w:p>
        </w:tc>
        <w:tc>
          <w:tcPr>
            <w:tcW w:w="456" w:type="dxa"/>
            <w:vAlign w:val="center"/>
          </w:tcPr>
          <w:p>
            <w:pPr>
              <w:spacing w:line="360" w:lineRule="auto"/>
              <w:jc w:val="center"/>
              <w:outlineLvl w:val="0"/>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2</w:t>
            </w:r>
          </w:p>
        </w:tc>
        <w:tc>
          <w:tcPr>
            <w:tcW w:w="1179" w:type="dxa"/>
            <w:vAlign w:val="center"/>
          </w:tcPr>
          <w:p>
            <w:pPr>
              <w:spacing w:line="360" w:lineRule="auto"/>
              <w:jc w:val="center"/>
              <w:outlineLvl w:val="0"/>
              <w:rPr>
                <w:rFonts w:hint="eastAsia" w:ascii="宋体" w:hAnsi="宋体" w:eastAsia="宋体" w:cs="宋体"/>
                <w:b/>
                <w:bCs/>
                <w:color w:val="auto"/>
                <w:sz w:val="24"/>
                <w:highlight w:val="none"/>
                <w:lang w:eastAsia="zh-CN"/>
              </w:rPr>
            </w:pPr>
            <w:r>
              <w:rPr>
                <w:rFonts w:hint="eastAsia" w:ascii="宋体" w:hAnsi="宋体" w:cs="宋体"/>
                <w:b/>
                <w:bCs/>
                <w:color w:val="auto"/>
                <w:sz w:val="24"/>
                <w:highlight w:val="none"/>
                <w:lang w:eastAsia="zh-CN"/>
              </w:rPr>
              <w:t>（八）项目培训方案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0" w:type="auto"/>
            <w:vAlign w:val="center"/>
          </w:tcPr>
          <w:p>
            <w:pPr>
              <w:spacing w:line="360" w:lineRule="auto"/>
              <w:jc w:val="center"/>
              <w:outlineLvl w:val="0"/>
              <w:rPr>
                <w:rFonts w:hint="default" w:ascii="宋体" w:hAnsi="宋体" w:eastAsia="宋体" w:cs="宋体"/>
                <w:color w:val="auto"/>
                <w:sz w:val="24"/>
                <w:highlight w:val="none"/>
                <w:lang w:val="en-US" w:eastAsia="zh-CN"/>
              </w:rPr>
            </w:pPr>
            <w:r>
              <w:rPr>
                <w:rFonts w:hint="default" w:ascii="宋体" w:hAnsi="宋体" w:cs="宋体"/>
                <w:color w:val="auto"/>
                <w:sz w:val="24"/>
                <w:highlight w:val="none"/>
                <w:lang w:val="en-US" w:eastAsia="zh-CN"/>
              </w:rPr>
              <w:t>10</w:t>
            </w:r>
          </w:p>
        </w:tc>
        <w:tc>
          <w:tcPr>
            <w:tcW w:w="0" w:type="auto"/>
          </w:tcPr>
          <w:p>
            <w:pPr>
              <w:spacing w:line="360" w:lineRule="auto"/>
              <w:ind w:firstLine="480" w:firstLineChars="200"/>
              <w:outlineLvl w:val="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有效投标报价的最低价作为评标基准价，其最低报价为满分；按［投标报价得分</w:t>
            </w:r>
            <w:r>
              <w:rPr>
                <w:rFonts w:cs="仿宋_GB2312" w:asciiTheme="minorEastAsia" w:hAnsiTheme="minorEastAsia" w:eastAsiaTheme="minorEastAsia"/>
                <w:sz w:val="24"/>
                <w:highlight w:val="none"/>
              </w:rPr>
              <w:t>=（评标基准价/投标报价）*</w:t>
            </w:r>
            <w:r>
              <w:rPr>
                <w:rFonts w:hint="default" w:cs="仿宋_GB2312" w:asciiTheme="minorEastAsia" w:hAnsiTheme="minorEastAsia" w:eastAsiaTheme="minorEastAsia"/>
                <w:sz w:val="24"/>
                <w:highlight w:val="none"/>
                <w:lang w:val="en-US"/>
              </w:rPr>
              <w:t>3</w:t>
            </w:r>
            <w:r>
              <w:rPr>
                <w:rFonts w:cs="仿宋_GB2312" w:asciiTheme="minorEastAsia" w:hAnsiTheme="minorEastAsia" w:eastAsiaTheme="minorEastAsia"/>
                <w:sz w:val="24"/>
                <w:highlight w:val="none"/>
              </w:rPr>
              <w:t>0］的计算公式计算。</w:t>
            </w:r>
          </w:p>
          <w:p>
            <w:pPr>
              <w:spacing w:line="360" w:lineRule="auto"/>
              <w:ind w:firstLine="480" w:firstLineChars="200"/>
              <w:outlineLvl w:val="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评标过程中，不得去掉报价中的最高报价和最低报价。</w:t>
            </w:r>
          </w:p>
          <w:p>
            <w:pPr>
              <w:widowControl/>
              <w:shd w:val="clear" w:color="auto" w:fill="FFFFFF"/>
              <w:adjustRightInd/>
              <w:spacing w:after="225" w:line="360" w:lineRule="auto"/>
              <w:ind w:firstLine="420"/>
              <w:jc w:val="left"/>
              <w:rPr>
                <w:rFonts w:ascii="宋体" w:hAnsi="宋体" w:cs="宋体"/>
                <w:color w:val="auto"/>
                <w:sz w:val="24"/>
                <w:highlight w:val="none"/>
              </w:rPr>
            </w:pPr>
            <w:r>
              <w:rPr>
                <w:rFonts w:hint="eastAsia" w:cs="仿宋_GB2312" w:asciiTheme="minorEastAsia" w:hAnsiTheme="minorEastAsia" w:eastAsiaTheme="minorEastAsia"/>
                <w:sz w:val="24"/>
                <w:highlight w:val="none"/>
              </w:rPr>
              <w:t>对于未预留份额专门面向中小企业的政府采购服务项目，以及预留份额政府采购服务项目中的非预留部分标项，对小型和微型企业的投标报价给予</w:t>
            </w:r>
            <w:r>
              <w:rPr>
                <w:rFonts w:hint="default" w:cs="仿宋_GB2312" w:asciiTheme="minorEastAsia" w:hAnsiTheme="minorEastAsia" w:eastAsiaTheme="minorEastAsia"/>
                <w:b/>
                <w:sz w:val="24"/>
                <w:highlight w:val="none"/>
                <w:u w:val="single"/>
                <w:lang w:val="en-US"/>
              </w:rPr>
              <w:t>2</w:t>
            </w:r>
            <w:r>
              <w:rPr>
                <w:rFonts w:cs="仿宋_GB2312" w:asciiTheme="minorEastAsia" w:hAnsiTheme="minorEastAsia" w:eastAsiaTheme="minorEastAsia"/>
                <w:b/>
                <w:sz w:val="24"/>
                <w:highlight w:val="none"/>
                <w:u w:val="single"/>
              </w:rPr>
              <w:t>0%</w:t>
            </w:r>
            <w:r>
              <w:rPr>
                <w:rFonts w:hint="eastAsia" w:cs="仿宋_GB2312" w:asciiTheme="minorEastAsia" w:hAnsiTheme="minorEastAsia" w:eastAsiaTheme="minorEastAsia"/>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default" w:cs="仿宋_GB2312" w:asciiTheme="minorEastAsia" w:hAnsiTheme="minorEastAsia" w:eastAsiaTheme="minorEastAsia"/>
                <w:b/>
                <w:sz w:val="24"/>
                <w:highlight w:val="none"/>
                <w:u w:val="single"/>
                <w:lang w:val="en-US"/>
              </w:rPr>
              <w:t>6</w:t>
            </w:r>
            <w:r>
              <w:rPr>
                <w:rFonts w:cs="仿宋_GB2312" w:asciiTheme="minorEastAsia" w:hAnsiTheme="minorEastAsia" w:eastAsiaTheme="minorEastAsia"/>
                <w:b/>
                <w:sz w:val="24"/>
                <w:highlight w:val="none"/>
                <w:u w:val="single"/>
              </w:rPr>
              <w:t>%</w:t>
            </w:r>
            <w:r>
              <w:rPr>
                <w:rFonts w:hint="eastAsia" w:cs="仿宋_GB2312" w:asciiTheme="minorEastAsia" w:hAnsiTheme="minorEastAsia" w:eastAsiaTheme="minorEastAsia"/>
                <w:sz w:val="24"/>
                <w:highlight w:val="none"/>
              </w:rPr>
              <w:t>的扣除，用扣除后的价格参加评审</w:t>
            </w:r>
            <w:r>
              <w:rPr>
                <w:rFonts w:cs="仿宋_GB2312" w:asciiTheme="minorEastAsia" w:hAnsiTheme="minorEastAsia" w:eastAsiaTheme="minorEastAsia"/>
                <w:sz w:val="24"/>
                <w:highlight w:val="none"/>
              </w:rPr>
              <w:t>。</w:t>
            </w:r>
          </w:p>
        </w:tc>
        <w:tc>
          <w:tcPr>
            <w:tcW w:w="456" w:type="dxa"/>
            <w:vAlign w:val="center"/>
          </w:tcPr>
          <w:p>
            <w:pPr>
              <w:spacing w:line="360" w:lineRule="auto"/>
              <w:outlineLvl w:val="0"/>
              <w:rPr>
                <w:rFonts w:ascii="宋体" w:hAnsi="宋体" w:cs="宋体"/>
                <w:color w:val="auto"/>
                <w:sz w:val="24"/>
                <w:highlight w:val="none"/>
              </w:rPr>
            </w:pPr>
            <w:r>
              <w:rPr>
                <w:rFonts w:hint="eastAsia" w:ascii="宋体" w:hAnsi="宋体" w:cs="宋体"/>
                <w:color w:val="auto"/>
                <w:sz w:val="24"/>
                <w:highlight w:val="none"/>
              </w:rPr>
              <w:t>30</w:t>
            </w:r>
          </w:p>
        </w:tc>
        <w:tc>
          <w:tcPr>
            <w:tcW w:w="1179" w:type="dxa"/>
            <w:vAlign w:val="center"/>
          </w:tcPr>
          <w:p>
            <w:pPr>
              <w:spacing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w:t>
            </w:r>
          </w:p>
        </w:tc>
      </w:tr>
    </w:tbl>
    <w:p>
      <w:pPr>
        <w:snapToGrid w:val="0"/>
        <w:spacing w:line="360" w:lineRule="auto"/>
        <w:rPr>
          <w:rFonts w:ascii="宋体" w:hAnsi="宋体" w:cs="宋体"/>
          <w:b/>
          <w:sz w:val="24"/>
          <w:highlight w:val="none"/>
        </w:rPr>
      </w:pPr>
      <w:r>
        <w:rPr>
          <w:rFonts w:hint="eastAsia" w:ascii="宋体" w:hAnsi="宋体" w:cs="宋体"/>
          <w:sz w:val="20"/>
          <w:szCs w:val="20"/>
          <w:highlight w:val="none"/>
          <w:shd w:val="clear" w:color="auto" w:fill="FFFFFF"/>
        </w:rPr>
        <w:t> *</w:t>
      </w:r>
      <w:r>
        <w:rPr>
          <w:rFonts w:hint="eastAsia" w:ascii="宋体" w:hAnsi="宋体" w:cs="宋体"/>
          <w:b/>
          <w:sz w:val="24"/>
          <w:highlight w:val="none"/>
        </w:rPr>
        <w:t>备注：</w:t>
      </w:r>
      <w:r>
        <w:rPr>
          <w:rFonts w:hint="eastAsia" w:ascii="宋体" w:hAnsi="宋体" w:cs="宋体"/>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highlight w:val="none"/>
        </w:rPr>
      </w:pPr>
      <w:r>
        <w:rPr>
          <w:rFonts w:hint="eastAsia" w:ascii="宋体" w:hAnsi="宋体" w:cs="宋体"/>
          <w:b/>
          <w:sz w:val="32"/>
          <w:highlight w:val="none"/>
        </w:rPr>
        <w:t>一、评标方法</w:t>
      </w:r>
    </w:p>
    <w:p>
      <w:pPr>
        <w:adjustRightInd/>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1.本项目采用综合评分法。</w:t>
      </w:r>
      <w:r>
        <w:rPr>
          <w:rFonts w:hint="eastAsia" w:ascii="宋体" w:hAnsi="宋体" w:cs="宋体"/>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highlight w:val="none"/>
        </w:rPr>
      </w:pPr>
      <w:r>
        <w:rPr>
          <w:rFonts w:hint="eastAsia" w:ascii="宋体" w:hAnsi="宋体" w:cs="宋体"/>
          <w:b/>
          <w:sz w:val="32"/>
          <w:highlight w:val="none"/>
        </w:rPr>
        <w:t>二、评标标准</w:t>
      </w:r>
    </w:p>
    <w:p>
      <w:pPr>
        <w:spacing w:line="360" w:lineRule="auto"/>
        <w:ind w:firstLine="472" w:firstLineChars="196"/>
        <w:rPr>
          <w:rFonts w:ascii="宋体" w:hAnsi="宋体" w:cs="宋体"/>
          <w:b/>
          <w:sz w:val="24"/>
          <w:highlight w:val="none"/>
        </w:rPr>
      </w:pPr>
      <w:r>
        <w:rPr>
          <w:rFonts w:hint="eastAsia" w:ascii="宋体" w:hAnsi="宋体" w:cs="宋体"/>
          <w:b/>
          <w:sz w:val="24"/>
          <w:highlight w:val="none"/>
        </w:rPr>
        <w:t>2.</w:t>
      </w:r>
      <w:r>
        <w:rPr>
          <w:rFonts w:hint="eastAsia" w:ascii="宋体" w:hAnsi="宋体" w:cs="宋体"/>
          <w:highlight w:val="none"/>
        </w:rPr>
        <w:t xml:space="preserve"> </w:t>
      </w:r>
      <w:r>
        <w:rPr>
          <w:rFonts w:hint="eastAsia" w:ascii="宋体" w:hAnsi="宋体" w:cs="宋体"/>
          <w:b/>
          <w:sz w:val="24"/>
          <w:highlight w:val="none"/>
        </w:rPr>
        <w:t>评标标准：</w:t>
      </w:r>
      <w:r>
        <w:rPr>
          <w:rFonts w:hint="eastAsia" w:ascii="宋体" w:hAnsi="宋体" w:cs="宋体"/>
          <w:kern w:val="0"/>
          <w:sz w:val="24"/>
          <w:highlight w:val="none"/>
        </w:rPr>
        <w:t>见评标办法前附表。</w:t>
      </w:r>
    </w:p>
    <w:p>
      <w:pPr>
        <w:spacing w:line="360" w:lineRule="auto"/>
        <w:outlineLvl w:val="0"/>
        <w:rPr>
          <w:rFonts w:ascii="宋体" w:hAnsi="宋体" w:cs="宋体"/>
          <w:b/>
          <w:sz w:val="36"/>
          <w:szCs w:val="36"/>
          <w:highlight w:val="none"/>
        </w:rPr>
      </w:pPr>
      <w:r>
        <w:rPr>
          <w:rFonts w:hint="eastAsia" w:ascii="宋体" w:hAnsi="宋体" w:cs="宋体"/>
          <w:b/>
          <w:sz w:val="36"/>
          <w:szCs w:val="36"/>
          <w:highlight w:val="none"/>
        </w:rPr>
        <w:t>三、评标程序</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3.1符合性审查。</w:t>
      </w:r>
      <w:r>
        <w:rPr>
          <w:rFonts w:hint="eastAsia" w:ascii="宋体" w:hAnsi="宋体" w:cs="宋体"/>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3.2 比较与评价。</w:t>
      </w:r>
      <w:r>
        <w:rPr>
          <w:rFonts w:hint="eastAsia" w:ascii="宋体" w:hAnsi="宋体" w:cs="宋体"/>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3.3汇总商务技术得分。</w:t>
      </w:r>
      <w:r>
        <w:rPr>
          <w:rFonts w:hint="eastAsia" w:ascii="宋体" w:hAnsi="宋体" w:cs="宋体"/>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highlight w:val="none"/>
        </w:rPr>
      </w:pPr>
      <w:r>
        <w:rPr>
          <w:rFonts w:hint="eastAsia" w:ascii="宋体" w:hAnsi="宋体" w:cs="宋体"/>
          <w:b/>
          <w:kern w:val="0"/>
          <w:sz w:val="24"/>
          <w:highlight w:val="none"/>
        </w:rPr>
        <w:t>3.4报价评审。</w:t>
      </w:r>
    </w:p>
    <w:p>
      <w:pPr>
        <w:pStyle w:val="129"/>
        <w:spacing w:before="0"/>
        <w:ind w:firstLine="508" w:firstLineChars="212"/>
        <w:rPr>
          <w:rFonts w:ascii="宋体" w:hAnsi="宋体" w:cs="宋体"/>
          <w:kern w:val="0"/>
          <w:highlight w:val="none"/>
        </w:rPr>
      </w:pPr>
      <w:r>
        <w:rPr>
          <w:rFonts w:hint="eastAsia" w:ascii="宋体" w:hAnsi="宋体" w:cs="宋体"/>
          <w:kern w:val="0"/>
          <w:highlight w:val="none"/>
        </w:rPr>
        <w:t>3.4.1投标文件报价出现前后不一致的，按照下列规定修正：</w:t>
      </w:r>
    </w:p>
    <w:p>
      <w:pPr>
        <w:pStyle w:val="129"/>
        <w:spacing w:before="0"/>
        <w:ind w:firstLine="480"/>
        <w:rPr>
          <w:rFonts w:ascii="宋体" w:hAnsi="宋体" w:cs="宋体"/>
          <w:kern w:val="0"/>
          <w:szCs w:val="24"/>
          <w:highlight w:val="none"/>
        </w:rPr>
      </w:pPr>
      <w:r>
        <w:rPr>
          <w:rFonts w:hint="eastAsia" w:ascii="宋体" w:hAnsi="宋体" w:cs="宋体"/>
          <w:kern w:val="0"/>
          <w:szCs w:val="24"/>
          <w:highlight w:val="none"/>
        </w:rPr>
        <w:t>3.4.1.1投标文件中开标一览表(报价表)内容与投标文件中相应内容不一致的，以开标一览表(报价表)为准;</w:t>
      </w:r>
    </w:p>
    <w:p>
      <w:pPr>
        <w:pStyle w:val="129"/>
        <w:spacing w:before="0"/>
        <w:ind w:firstLine="480"/>
        <w:rPr>
          <w:rFonts w:ascii="宋体" w:hAnsi="宋体" w:cs="宋体"/>
          <w:kern w:val="0"/>
          <w:szCs w:val="24"/>
          <w:highlight w:val="none"/>
        </w:rPr>
      </w:pPr>
      <w:r>
        <w:rPr>
          <w:rFonts w:hint="eastAsia" w:ascii="宋体" w:hAnsi="宋体" w:cs="宋体"/>
          <w:kern w:val="0"/>
          <w:szCs w:val="24"/>
          <w:highlight w:val="none"/>
        </w:rPr>
        <w:t>3.4.1.2大写金额和小写金额不一致的，以大写金额为准;</w:t>
      </w:r>
    </w:p>
    <w:p>
      <w:pPr>
        <w:pStyle w:val="129"/>
        <w:spacing w:before="0"/>
        <w:ind w:firstLine="480"/>
        <w:rPr>
          <w:rFonts w:ascii="宋体" w:hAnsi="宋体" w:cs="宋体"/>
          <w:kern w:val="0"/>
          <w:szCs w:val="24"/>
          <w:highlight w:val="none"/>
        </w:rPr>
      </w:pPr>
      <w:r>
        <w:rPr>
          <w:rFonts w:hint="eastAsia" w:ascii="宋体" w:hAnsi="宋体" w:cs="宋体"/>
          <w:kern w:val="0"/>
          <w:szCs w:val="24"/>
          <w:highlight w:val="none"/>
        </w:rPr>
        <w:t>3.4.1.3单价金额小数点或者百分比有明显错位的，以开标一览表的总价为准，并修改单价;</w:t>
      </w:r>
    </w:p>
    <w:p>
      <w:pPr>
        <w:pStyle w:val="129"/>
        <w:spacing w:before="0"/>
        <w:ind w:firstLine="480"/>
        <w:rPr>
          <w:rFonts w:ascii="宋体" w:hAnsi="宋体" w:cs="宋体"/>
          <w:kern w:val="0"/>
          <w:szCs w:val="24"/>
          <w:highlight w:val="none"/>
        </w:rPr>
      </w:pPr>
      <w:r>
        <w:rPr>
          <w:rFonts w:hint="eastAsia" w:ascii="宋体" w:hAnsi="宋体" w:cs="宋体"/>
          <w:kern w:val="0"/>
          <w:szCs w:val="24"/>
          <w:highlight w:val="none"/>
        </w:rPr>
        <w:t>3.4.1.4总价金额与按单价汇总金额不一致的，以单价金额计算结果为准。</w:t>
      </w:r>
    </w:p>
    <w:p>
      <w:pPr>
        <w:pStyle w:val="129"/>
        <w:spacing w:before="0"/>
        <w:ind w:firstLine="480"/>
        <w:rPr>
          <w:rFonts w:ascii="宋体" w:hAnsi="宋体" w:cs="宋体"/>
          <w:kern w:val="0"/>
          <w:szCs w:val="24"/>
          <w:highlight w:val="none"/>
        </w:rPr>
      </w:pPr>
      <w:r>
        <w:rPr>
          <w:rFonts w:hint="eastAsia" w:ascii="宋体" w:hAnsi="宋体" w:cs="宋体"/>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3.4.3投标报价超过招标文件中规定的预算金额或者最高限价的，投标无效。</w:t>
      </w:r>
    </w:p>
    <w:p>
      <w:pPr>
        <w:pStyle w:val="129"/>
        <w:spacing w:before="0"/>
        <w:ind w:firstLine="480"/>
        <w:rPr>
          <w:rFonts w:ascii="宋体" w:hAnsi="宋体" w:cs="宋体"/>
          <w:kern w:val="0"/>
          <w:szCs w:val="24"/>
          <w:highlight w:val="none"/>
        </w:rPr>
      </w:pPr>
      <w:r>
        <w:rPr>
          <w:rFonts w:hint="eastAsia" w:ascii="宋体" w:hAnsi="宋体" w:cs="宋体"/>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9"/>
        <w:spacing w:before="0"/>
        <w:ind w:firstLine="480"/>
        <w:rPr>
          <w:rFonts w:ascii="宋体" w:hAnsi="宋体" w:cs="宋体"/>
          <w:kern w:val="0"/>
          <w:szCs w:val="24"/>
          <w:highlight w:val="none"/>
        </w:rPr>
      </w:pPr>
      <w:r>
        <w:rPr>
          <w:rFonts w:hint="eastAsia" w:ascii="宋体" w:hAnsi="宋体" w:cs="宋体"/>
          <w:kern w:val="0"/>
          <w:szCs w:val="24"/>
          <w:highlight w:val="none"/>
        </w:rPr>
        <w:t>3.4.5对于未预留份额专门面向中小企业的政府采购货物项目，以及预留份额政府采购货物项目中的非预留部分标项，对小型和微型企业的投标报价给予</w:t>
      </w:r>
      <w:r>
        <w:rPr>
          <w:rFonts w:hint="eastAsia" w:ascii="宋体" w:hAnsi="宋体" w:cs="宋体"/>
          <w:kern w:val="0"/>
          <w:szCs w:val="24"/>
          <w:highlight w:val="none"/>
          <w:lang w:val="en-US" w:eastAsia="zh-CN"/>
        </w:rPr>
        <w:t>2</w:t>
      </w:r>
      <w:r>
        <w:rPr>
          <w:rFonts w:hint="eastAsia" w:ascii="宋体" w:hAnsi="宋体" w:cs="宋体"/>
          <w:kern w:val="0"/>
          <w:szCs w:val="24"/>
          <w:highlight w:val="none"/>
        </w:rPr>
        <w:t>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w:t>
      </w:r>
      <w:r>
        <w:rPr>
          <w:rFonts w:hint="eastAsia" w:ascii="宋体" w:hAnsi="宋体" w:cs="宋体"/>
          <w:kern w:val="0"/>
          <w:szCs w:val="24"/>
          <w:highlight w:val="none"/>
          <w:lang w:val="en-US" w:eastAsia="zh-CN"/>
        </w:rPr>
        <w:t>6</w:t>
      </w:r>
      <w:r>
        <w:rPr>
          <w:rFonts w:hint="eastAsia" w:ascii="宋体" w:hAnsi="宋体" w:cs="宋体"/>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highlight w:val="none"/>
        </w:rPr>
      </w:pPr>
      <w:r>
        <w:rPr>
          <w:rFonts w:hint="eastAsia" w:ascii="宋体" w:hAnsi="宋体" w:cs="宋体"/>
          <w:b/>
          <w:kern w:val="0"/>
          <w:sz w:val="24"/>
          <w:highlight w:val="none"/>
        </w:rPr>
        <w:t>3.5排序与推荐。</w:t>
      </w:r>
      <w:r>
        <w:rPr>
          <w:rFonts w:hint="eastAsia" w:ascii="宋体" w:hAnsi="宋体" w:cs="宋体"/>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highlight w:val="none"/>
        </w:rPr>
      </w:pPr>
      <w:r>
        <w:rPr>
          <w:rFonts w:hint="eastAsia" w:ascii="宋体" w:hAnsi="宋体" w:cs="宋体"/>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3.6编写评标报告。</w:t>
      </w:r>
      <w:r>
        <w:rPr>
          <w:rFonts w:hint="eastAsia" w:ascii="宋体" w:hAnsi="宋体" w:cs="宋体"/>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highlight w:val="none"/>
        </w:rPr>
      </w:pPr>
      <w:r>
        <w:rPr>
          <w:rFonts w:hint="eastAsia" w:ascii="宋体" w:hAnsi="宋体" w:cs="宋体"/>
          <w:b/>
          <w:sz w:val="32"/>
          <w:highlight w:val="none"/>
        </w:rPr>
        <w:t>四、评标中的其他事项</w:t>
      </w:r>
    </w:p>
    <w:p>
      <w:pPr>
        <w:pStyle w:val="129"/>
        <w:spacing w:before="0"/>
        <w:ind w:firstLine="472" w:firstLineChars="196"/>
        <w:rPr>
          <w:rFonts w:ascii="宋体" w:hAnsi="宋体" w:cs="宋体"/>
          <w:kern w:val="0"/>
          <w:szCs w:val="24"/>
          <w:highlight w:val="none"/>
        </w:rPr>
      </w:pPr>
      <w:r>
        <w:rPr>
          <w:rFonts w:hint="eastAsia" w:ascii="宋体" w:hAnsi="宋体" w:cs="宋体"/>
          <w:b/>
          <w:kern w:val="0"/>
          <w:szCs w:val="24"/>
          <w:highlight w:val="none"/>
        </w:rPr>
        <w:t>4.1投标人澄清、说明或者补正。</w:t>
      </w:r>
      <w:r>
        <w:rPr>
          <w:rFonts w:hint="eastAsia" w:ascii="宋体" w:hAnsi="宋体" w:cs="宋体"/>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szCs w:val="21"/>
          <w:highlight w:val="none"/>
        </w:rPr>
      </w:pPr>
      <w:r>
        <w:rPr>
          <w:rFonts w:hint="eastAsia" w:cs="宋体"/>
          <w:b/>
          <w:kern w:val="0"/>
          <w:highlight w:val="none"/>
        </w:rPr>
        <w:t>4.2投标无效。</w:t>
      </w:r>
      <w:r>
        <w:rPr>
          <w:rFonts w:hint="eastAsia" w:cs="宋体"/>
          <w:szCs w:val="21"/>
          <w:highlight w:val="none"/>
        </w:rPr>
        <w:t>有下列情形之一的，投标无效：</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4.2.2投标文件未按照招标文件要求签署、盖章的；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4.2.4投标文件含有采购人不能接受的附加条件的；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kern w:val="0"/>
          <w:sz w:val="24"/>
          <w:highlight w:val="none"/>
          <w:lang w:eastAsia="zh-CN"/>
        </w:rPr>
      </w:pPr>
      <w:r>
        <w:rPr>
          <w:rFonts w:hint="eastAsia" w:ascii="宋体" w:hAnsi="宋体" w:cs="宋体"/>
          <w:kern w:val="0"/>
          <w:sz w:val="24"/>
          <w:highlight w:val="none"/>
        </w:rPr>
        <w:t xml:space="preserve">   4.2.6投标文件出现不是唯一的、有选择性投标报价的</w:t>
      </w:r>
      <w:r>
        <w:rPr>
          <w:rFonts w:hint="eastAsia" w:ascii="宋体" w:hAnsi="宋体" w:cs="宋体"/>
          <w:kern w:val="0"/>
          <w:sz w:val="24"/>
          <w:highlight w:val="none"/>
          <w:lang w:eastAsia="zh-CN"/>
        </w:rPr>
        <w:t>；</w:t>
      </w:r>
    </w:p>
    <w:p>
      <w:pPr>
        <w:spacing w:line="360" w:lineRule="auto"/>
        <w:ind w:firstLine="480" w:firstLineChars="200"/>
        <w:rPr>
          <w:rFonts w:hint="eastAsia" w:ascii="宋体" w:hAnsi="宋体" w:eastAsia="宋体" w:cs="宋体"/>
          <w:kern w:val="0"/>
          <w:sz w:val="24"/>
          <w:highlight w:val="none"/>
          <w:lang w:eastAsia="zh-CN"/>
        </w:rPr>
      </w:pPr>
      <w:r>
        <w:rPr>
          <w:rFonts w:hint="eastAsia" w:ascii="宋体" w:hAnsi="宋体" w:cs="宋体"/>
          <w:kern w:val="0"/>
          <w:sz w:val="24"/>
          <w:highlight w:val="none"/>
        </w:rPr>
        <w:t>4.2.7投标报价超过招标文件中规定的预算金额或者最高限价的</w:t>
      </w:r>
      <w:r>
        <w:rPr>
          <w:rFonts w:hint="eastAsia" w:ascii="宋体" w:hAnsi="宋体" w:cs="宋体"/>
          <w:kern w:val="0"/>
          <w:sz w:val="24"/>
          <w:highlight w:val="none"/>
          <w:lang w:eastAsia="zh-CN"/>
        </w:rPr>
        <w:t>；</w:t>
      </w:r>
    </w:p>
    <w:p>
      <w:pPr>
        <w:spacing w:line="360" w:lineRule="auto"/>
        <w:ind w:firstLine="480" w:firstLineChars="200"/>
        <w:rPr>
          <w:rFonts w:hint="eastAsia" w:ascii="宋体" w:hAnsi="宋体" w:eastAsia="宋体" w:cs="宋体"/>
          <w:kern w:val="0"/>
          <w:sz w:val="24"/>
          <w:highlight w:val="none"/>
          <w:lang w:eastAsia="zh-CN"/>
        </w:rPr>
      </w:pPr>
      <w:r>
        <w:rPr>
          <w:rFonts w:hint="eastAsia" w:ascii="宋体" w:hAnsi="宋体" w:cs="宋体"/>
          <w:kern w:val="0"/>
          <w:sz w:val="24"/>
          <w:highlight w:val="none"/>
        </w:rPr>
        <w:t>4.2.8报价明显低于其他通过符合性审查投标人的报价，有可能影响产品质量或者不能诚信履约的，未能按要求提供书面说明或者提交相关证明材料，不能证明其报价合理性的</w:t>
      </w:r>
      <w:r>
        <w:rPr>
          <w:rFonts w:hint="eastAsia" w:ascii="宋体" w:hAnsi="宋体" w:cs="宋体"/>
          <w:kern w:val="0"/>
          <w:sz w:val="24"/>
          <w:highlight w:val="none"/>
          <w:lang w:eastAsia="zh-CN"/>
        </w:rPr>
        <w:t>；</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4.2.9投标人对根据修正原则修正后的报价不确认的；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4.2.10投标人提供虚假材料投标的；</w:t>
      </w:r>
    </w:p>
    <w:p>
      <w:pPr>
        <w:spacing w:line="360" w:lineRule="auto"/>
        <w:ind w:firstLine="240" w:firstLineChars="100"/>
        <w:rPr>
          <w:rFonts w:ascii="宋体" w:hAnsi="宋体" w:cs="宋体"/>
          <w:kern w:val="0"/>
          <w:sz w:val="24"/>
          <w:highlight w:val="none"/>
        </w:rPr>
      </w:pPr>
      <w:r>
        <w:rPr>
          <w:rFonts w:hint="eastAsia" w:ascii="宋体" w:hAnsi="宋体" w:cs="宋体"/>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4.2.12投标人仅提交备份投标文件，未在电子交易平台传输递交投标文件的，投标无效；</w:t>
      </w:r>
    </w:p>
    <w:p>
      <w:pPr>
        <w:pStyle w:val="525"/>
        <w:spacing w:line="360" w:lineRule="auto"/>
        <w:ind w:firstLine="480"/>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4.2.1</w:t>
      </w:r>
      <w:r>
        <w:rPr>
          <w:rFonts w:hint="default"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val="en-US" w:eastAsia="zh-CN"/>
        </w:rPr>
        <w:t xml:space="preserve"> 对未提供样品或提供样品不满足采购需求实质性条件的供应商，投标无效；</w:t>
      </w:r>
    </w:p>
    <w:p>
      <w:pPr>
        <w:spacing w:line="360" w:lineRule="auto"/>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4.2.1</w:t>
      </w:r>
      <w:r>
        <w:rPr>
          <w:rFonts w:hint="default" w:ascii="宋体" w:hAnsi="宋体" w:eastAsia="宋体" w:cs="宋体"/>
          <w:color w:val="auto"/>
          <w:kern w:val="0"/>
          <w:sz w:val="24"/>
          <w:szCs w:val="24"/>
          <w:highlight w:val="none"/>
          <w:lang w:val="en-US" w:eastAsia="zh-CN" w:bidi="ar-SA"/>
        </w:rPr>
        <w:t>4</w:t>
      </w:r>
      <w:r>
        <w:rPr>
          <w:rFonts w:hint="eastAsia" w:ascii="宋体" w:hAnsi="宋体" w:eastAsia="宋体" w:cs="宋体"/>
          <w:color w:val="auto"/>
          <w:kern w:val="0"/>
          <w:sz w:val="24"/>
          <w:szCs w:val="24"/>
          <w:highlight w:val="none"/>
          <w:lang w:val="en-US" w:eastAsia="zh-CN" w:bidi="ar-SA"/>
        </w:rPr>
        <w:t xml:space="preserve"> 投标文件不满足招标文件的其它实质性要求的；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w:t>
      </w:r>
      <w:r>
        <w:rPr>
          <w:rFonts w:hint="default" w:ascii="宋体" w:hAnsi="宋体" w:cs="宋体"/>
          <w:kern w:val="0"/>
          <w:sz w:val="24"/>
          <w:highlight w:val="none"/>
          <w:lang w:val="en-US"/>
        </w:rPr>
        <w:t>5</w:t>
      </w:r>
      <w:r>
        <w:rPr>
          <w:rFonts w:hint="eastAsia" w:ascii="宋体" w:hAnsi="宋体" w:cs="宋体"/>
          <w:kern w:val="0"/>
          <w:sz w:val="24"/>
          <w:highlight w:val="none"/>
        </w:rPr>
        <w:t>法律、法规、规章（适用本市的）及省级以上规范性文件（适用本市的）规定的其他无效情形。</w:t>
      </w:r>
    </w:p>
    <w:p>
      <w:pPr>
        <w:pStyle w:val="24"/>
        <w:snapToGrid w:val="0"/>
        <w:spacing w:line="360" w:lineRule="auto"/>
        <w:ind w:firstLine="472" w:firstLineChars="196"/>
        <w:rPr>
          <w:rFonts w:cs="宋体"/>
          <w:highlight w:val="none"/>
        </w:rPr>
      </w:pPr>
      <w:r>
        <w:rPr>
          <w:rFonts w:hint="eastAsia" w:cs="宋体"/>
          <w:b/>
          <w:highlight w:val="none"/>
        </w:rPr>
        <w:t>5.废标。</w:t>
      </w:r>
      <w:r>
        <w:rPr>
          <w:rFonts w:hint="eastAsia" w:cs="宋体"/>
          <w:highlight w:val="none"/>
        </w:rPr>
        <w:t>根据《中华人民共和国政府采购法》第三十六条之规定，在采购中，出现下列情形之一的，应予废标：</w:t>
      </w:r>
    </w:p>
    <w:p>
      <w:pPr>
        <w:pStyle w:val="24"/>
        <w:snapToGrid w:val="0"/>
        <w:spacing w:line="360" w:lineRule="auto"/>
        <w:rPr>
          <w:rFonts w:cs="宋体"/>
          <w:highlight w:val="none"/>
        </w:rPr>
      </w:pPr>
      <w:r>
        <w:rPr>
          <w:rFonts w:hint="eastAsia" w:cs="宋体"/>
          <w:highlight w:val="none"/>
        </w:rPr>
        <w:t>5.1符合专业条件的供应商或者对招标文件作实质响应的供应商不足3家的；</w:t>
      </w:r>
    </w:p>
    <w:p>
      <w:pPr>
        <w:pStyle w:val="24"/>
        <w:snapToGrid w:val="0"/>
        <w:spacing w:line="360" w:lineRule="auto"/>
        <w:rPr>
          <w:rFonts w:cs="宋体"/>
          <w:highlight w:val="none"/>
        </w:rPr>
      </w:pPr>
      <w:r>
        <w:rPr>
          <w:rFonts w:hint="eastAsia" w:cs="宋体"/>
          <w:highlight w:val="none"/>
        </w:rPr>
        <w:t>5.2出现影响采购公正的违法、违规行为的；</w:t>
      </w:r>
    </w:p>
    <w:p>
      <w:pPr>
        <w:pStyle w:val="24"/>
        <w:snapToGrid w:val="0"/>
        <w:spacing w:line="360" w:lineRule="auto"/>
        <w:rPr>
          <w:rFonts w:cs="宋体"/>
          <w:highlight w:val="none"/>
        </w:rPr>
      </w:pPr>
      <w:r>
        <w:rPr>
          <w:rFonts w:hint="eastAsia" w:cs="宋体"/>
          <w:highlight w:val="none"/>
        </w:rPr>
        <w:t>5.3投标人的报价均超过了采购预算，采购人不能支付的；</w:t>
      </w:r>
    </w:p>
    <w:p>
      <w:pPr>
        <w:pStyle w:val="24"/>
        <w:snapToGrid w:val="0"/>
        <w:spacing w:line="360" w:lineRule="auto"/>
        <w:rPr>
          <w:rFonts w:cs="宋体"/>
          <w:highlight w:val="none"/>
        </w:rPr>
      </w:pPr>
      <w:r>
        <w:rPr>
          <w:rFonts w:hint="eastAsia" w:cs="宋体"/>
          <w:highlight w:val="none"/>
        </w:rPr>
        <w:t>5.4因重大变故，采购任务取消的。</w:t>
      </w:r>
    </w:p>
    <w:p>
      <w:pPr>
        <w:pStyle w:val="24"/>
        <w:snapToGrid w:val="0"/>
        <w:spacing w:line="360" w:lineRule="auto"/>
        <w:rPr>
          <w:rFonts w:cs="宋体"/>
          <w:highlight w:val="none"/>
        </w:rPr>
      </w:pPr>
      <w:r>
        <w:rPr>
          <w:rFonts w:hint="eastAsia" w:cs="宋体"/>
          <w:highlight w:val="none"/>
        </w:rPr>
        <w:t>废标后，采购机构应当将废标理由通知所有投标人。</w:t>
      </w:r>
    </w:p>
    <w:p>
      <w:pPr>
        <w:pStyle w:val="24"/>
        <w:snapToGrid w:val="0"/>
        <w:spacing w:line="360" w:lineRule="auto"/>
        <w:ind w:firstLine="590" w:firstLineChars="245"/>
        <w:rPr>
          <w:rFonts w:cs="宋体"/>
          <w:highlight w:val="none"/>
        </w:rPr>
      </w:pPr>
      <w:r>
        <w:rPr>
          <w:rFonts w:hint="eastAsia" w:cs="宋体"/>
          <w:b/>
          <w:highlight w:val="none"/>
        </w:rPr>
        <w:t>6.修改招标文件，重新组织采购活动。</w:t>
      </w:r>
      <w:r>
        <w:rPr>
          <w:rFonts w:hint="eastAsia" w:cs="宋体"/>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360" w:lineRule="auto"/>
        <w:ind w:firstLine="482"/>
        <w:rPr>
          <w:rFonts w:cs="宋体"/>
          <w:highlight w:val="none"/>
        </w:rPr>
      </w:pPr>
      <w:r>
        <w:rPr>
          <w:rFonts w:hint="eastAsia" w:cs="宋体"/>
          <w:b/>
          <w:kern w:val="0"/>
          <w:highlight w:val="none"/>
        </w:rPr>
        <w:t>7.重新开展采购。</w:t>
      </w:r>
      <w:r>
        <w:rPr>
          <w:rFonts w:hint="eastAsia" w:cs="宋体"/>
          <w:highlight w:val="none"/>
        </w:rPr>
        <w:t>有政府采购法第七十一条、第七十二条规定的违法行为之一，影响或者可能影响中标结果的，依照下列规定处理：</w:t>
      </w:r>
    </w:p>
    <w:p>
      <w:pPr>
        <w:pStyle w:val="24"/>
        <w:snapToGrid w:val="0"/>
        <w:spacing w:line="360" w:lineRule="auto"/>
        <w:rPr>
          <w:rFonts w:cs="宋体"/>
          <w:highlight w:val="none"/>
        </w:rPr>
      </w:pPr>
      <w:r>
        <w:rPr>
          <w:rFonts w:hint="eastAsia" w:cs="宋体"/>
          <w:highlight w:val="none"/>
        </w:rPr>
        <w:t>7.1未确定中标供应商的，终止本次政府采购活动，重新开展政府采购活动。</w:t>
      </w:r>
    </w:p>
    <w:p>
      <w:pPr>
        <w:pStyle w:val="24"/>
        <w:snapToGrid w:val="0"/>
        <w:spacing w:line="360" w:lineRule="auto"/>
        <w:rPr>
          <w:rFonts w:cs="宋体"/>
          <w:highlight w:val="none"/>
        </w:rPr>
      </w:pPr>
      <w:r>
        <w:rPr>
          <w:rFonts w:hint="eastAsia" w:cs="宋体"/>
          <w:highlight w:val="none"/>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highlight w:val="none"/>
        </w:rPr>
      </w:pPr>
      <w:r>
        <w:rPr>
          <w:rFonts w:hint="eastAsia" w:cs="宋体"/>
          <w:highlight w:val="none"/>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highlight w:val="none"/>
        </w:rPr>
      </w:pPr>
      <w:r>
        <w:rPr>
          <w:rFonts w:hint="eastAsia" w:cs="宋体"/>
          <w:highlight w:val="none"/>
        </w:rPr>
        <w:t>7.4政府采购合同已经履行，给采购人、供应商造成损失的，由责任人承担赔偿责任。</w:t>
      </w:r>
    </w:p>
    <w:p>
      <w:pPr>
        <w:pStyle w:val="24"/>
        <w:snapToGrid w:val="0"/>
        <w:spacing w:line="360" w:lineRule="auto"/>
        <w:rPr>
          <w:rFonts w:cs="宋体"/>
          <w:highlight w:val="none"/>
        </w:rPr>
      </w:pPr>
      <w:r>
        <w:rPr>
          <w:rFonts w:hint="eastAsia" w:cs="宋体"/>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4"/>
        <w:snapToGrid w:val="0"/>
        <w:spacing w:line="360" w:lineRule="auto"/>
        <w:ind w:firstLine="0" w:firstLineChars="0"/>
        <w:rPr>
          <w:rFonts w:cs="宋体"/>
          <w:highlight w:val="none"/>
        </w:rPr>
      </w:pPr>
    </w:p>
    <w:p>
      <w:pPr>
        <w:pStyle w:val="24"/>
        <w:snapToGrid w:val="0"/>
        <w:spacing w:line="360" w:lineRule="auto"/>
        <w:ind w:firstLine="0" w:firstLineChars="0"/>
        <w:rPr>
          <w:rFonts w:cs="宋体"/>
          <w:highlight w:val="none"/>
        </w:rPr>
      </w:pPr>
    </w:p>
    <w:p>
      <w:pPr>
        <w:pStyle w:val="24"/>
        <w:snapToGrid w:val="0"/>
        <w:spacing w:line="360" w:lineRule="auto"/>
        <w:ind w:firstLine="0" w:firstLineChars="0"/>
        <w:rPr>
          <w:rFonts w:cs="宋体"/>
          <w:highlight w:val="none"/>
        </w:rPr>
      </w:pPr>
    </w:p>
    <w:p>
      <w:pPr>
        <w:pStyle w:val="25"/>
        <w:rPr>
          <w:rFonts w:cs="宋体"/>
          <w:highlight w:val="none"/>
        </w:rPr>
      </w:pPr>
    </w:p>
    <w:p>
      <w:pPr>
        <w:rPr>
          <w:rFonts w:cs="宋体"/>
          <w:highlight w:val="none"/>
        </w:rPr>
      </w:pPr>
    </w:p>
    <w:p>
      <w:pPr>
        <w:pStyle w:val="4"/>
        <w:rPr>
          <w:rFonts w:cs="宋体"/>
          <w:highlight w:val="none"/>
        </w:rPr>
      </w:pPr>
    </w:p>
    <w:p>
      <w:pPr>
        <w:rPr>
          <w:rFonts w:cs="宋体"/>
          <w:highlight w:val="none"/>
        </w:rPr>
      </w:pPr>
    </w:p>
    <w:p>
      <w:pPr>
        <w:pStyle w:val="4"/>
        <w:rPr>
          <w:rFonts w:cs="宋体"/>
          <w:highlight w:val="none"/>
        </w:rPr>
      </w:pPr>
    </w:p>
    <w:p>
      <w:pPr>
        <w:rPr>
          <w:rFonts w:cs="宋体"/>
          <w:highlight w:val="none"/>
        </w:rPr>
      </w:pPr>
    </w:p>
    <w:p>
      <w:pPr>
        <w:pStyle w:val="4"/>
        <w:rPr>
          <w:rFonts w:cs="宋体"/>
          <w:highlight w:val="none"/>
        </w:rPr>
      </w:pPr>
    </w:p>
    <w:p>
      <w:pPr>
        <w:pStyle w:val="5"/>
        <w:rPr>
          <w:rFonts w:cs="宋体"/>
          <w:highlight w:val="none"/>
        </w:rPr>
      </w:pPr>
    </w:p>
    <w:p>
      <w:pPr>
        <w:pStyle w:val="5"/>
        <w:rPr>
          <w:rFonts w:cs="宋体"/>
          <w:highlight w:val="none"/>
        </w:rPr>
      </w:pPr>
    </w:p>
    <w:p>
      <w:pPr>
        <w:pStyle w:val="5"/>
        <w:rPr>
          <w:rFonts w:cs="宋体"/>
          <w:highlight w:val="none"/>
        </w:rPr>
      </w:pPr>
    </w:p>
    <w:p>
      <w:pPr>
        <w:pStyle w:val="5"/>
        <w:rPr>
          <w:rFonts w:cs="宋体"/>
          <w:highlight w:val="none"/>
        </w:rPr>
      </w:pPr>
    </w:p>
    <w:p>
      <w:pPr>
        <w:pStyle w:val="5"/>
        <w:rPr>
          <w:rFonts w:cs="宋体"/>
          <w:highlight w:val="none"/>
        </w:rPr>
      </w:pPr>
    </w:p>
    <w:p>
      <w:pPr>
        <w:pStyle w:val="5"/>
        <w:rPr>
          <w:rFonts w:cs="宋体"/>
          <w:highlight w:val="none"/>
        </w:rPr>
      </w:pPr>
    </w:p>
    <w:p>
      <w:pPr>
        <w:pStyle w:val="5"/>
        <w:rPr>
          <w:rFonts w:cs="宋体"/>
          <w:highlight w:val="none"/>
        </w:rPr>
      </w:pPr>
    </w:p>
    <w:p>
      <w:pPr>
        <w:pStyle w:val="5"/>
        <w:rPr>
          <w:rFonts w:cs="宋体"/>
          <w:highlight w:val="none"/>
        </w:rPr>
      </w:pPr>
    </w:p>
    <w:p>
      <w:pPr>
        <w:pStyle w:val="5"/>
        <w:rPr>
          <w:rFonts w:cs="宋体"/>
          <w:highlight w:val="none"/>
        </w:rPr>
      </w:pPr>
    </w:p>
    <w:p>
      <w:pPr>
        <w:pStyle w:val="5"/>
        <w:rPr>
          <w:rFonts w:cs="宋体"/>
          <w:highlight w:val="none"/>
        </w:rPr>
      </w:pPr>
    </w:p>
    <w:p>
      <w:pPr>
        <w:pStyle w:val="5"/>
        <w:rPr>
          <w:rFonts w:cs="宋体"/>
          <w:highlight w:val="none"/>
        </w:rPr>
      </w:pPr>
    </w:p>
    <w:p>
      <w:pPr>
        <w:rPr>
          <w:rFonts w:cs="宋体"/>
          <w:highlight w:val="none"/>
        </w:rPr>
      </w:pPr>
    </w:p>
    <w:p>
      <w:pPr>
        <w:pStyle w:val="24"/>
        <w:snapToGrid w:val="0"/>
        <w:spacing w:line="360" w:lineRule="auto"/>
        <w:ind w:firstLine="0" w:firstLineChars="0"/>
        <w:rPr>
          <w:rFonts w:cs="宋体"/>
          <w:highlight w:val="none"/>
        </w:rPr>
      </w:pPr>
    </w:p>
    <w:bookmarkEnd w:id="18"/>
    <w:p>
      <w:pPr>
        <w:numPr>
          <w:ilvl w:val="0"/>
          <w:numId w:val="4"/>
        </w:numPr>
        <w:spacing w:line="360" w:lineRule="auto"/>
        <w:ind w:left="720" w:leftChars="343" w:firstLine="1084" w:firstLineChars="300"/>
        <w:outlineLvl w:val="0"/>
        <w:rPr>
          <w:rFonts w:hint="eastAsia" w:ascii="宋体" w:hAnsi="宋体" w:cs="宋体"/>
          <w:b/>
          <w:sz w:val="36"/>
          <w:szCs w:val="36"/>
          <w:highlight w:val="none"/>
        </w:rPr>
      </w:pPr>
      <w:bookmarkStart w:id="396" w:name="第五部分"/>
      <w:bookmarkStart w:id="397" w:name="_Toc86217003"/>
      <w:r>
        <w:rPr>
          <w:rFonts w:hint="eastAsia" w:ascii="宋体" w:hAnsi="宋体" w:cs="宋体"/>
          <w:b/>
          <w:sz w:val="36"/>
          <w:szCs w:val="36"/>
          <w:highlight w:val="none"/>
        </w:rPr>
        <w:t>拟签订的合同文本</w:t>
      </w:r>
    </w:p>
    <w:p>
      <w:pPr>
        <w:pStyle w:val="24"/>
        <w:spacing w:line="360" w:lineRule="auto"/>
        <w:rPr>
          <w:rFonts w:hint="eastAsia"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根据《中华人民共和国政府采购法》和《中华人民共和国民法典》、地方有关法律、法规和政策，在平等、自愿、协商一致的基础上，就甲方（</w:t>
      </w:r>
      <w:r>
        <w:rPr>
          <w:rFonts w:hint="eastAsia" w:asciiTheme="minorEastAsia" w:hAnsiTheme="minorEastAsia" w:eastAsiaTheme="minorEastAsia" w:cstheme="minorEastAsia"/>
          <w:color w:val="000000" w:themeColor="text1"/>
          <w:kern w:val="0"/>
          <w:sz w:val="24"/>
          <w:highlight w:val="none"/>
          <w:lang w:val="zh-CN" w:eastAsia="zh-CN"/>
          <w14:textFill>
            <w14:solidFill>
              <w14:schemeClr w14:val="tx1"/>
            </w14:solidFill>
          </w14:textFill>
        </w:rPr>
        <w:t>杭州市文溪中学</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）委托乙方（</w:t>
      </w:r>
      <w:r>
        <w:rPr>
          <w:rFonts w:hint="eastAsia" w:asciiTheme="minorEastAsia" w:hAnsiTheme="minorEastAsia" w:eastAsiaTheme="minorEastAsia" w:cstheme="minorEastAsia"/>
          <w:color w:val="000000" w:themeColor="text1"/>
          <w:kern w:val="0"/>
          <w:sz w:val="24"/>
          <w:highlight w:val="none"/>
          <w:lang w:val="zh-CN"/>
          <w14:textFill>
            <w14:solidFill>
              <w14:schemeClr w14:val="tx1"/>
            </w14:solidFill>
          </w14:textFill>
        </w:rPr>
        <w:t>经评审最终确定的</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成交供应商）对</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杭州市文溪中学校园网络及监控系统建设采购项目</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订立本合同。</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1．定义</w:t>
      </w:r>
    </w:p>
    <w:p>
      <w:pPr>
        <w:spacing w:line="360" w:lineRule="auto"/>
        <w:ind w:firstLine="480" w:firstLineChars="200"/>
        <w:rPr>
          <w:rFonts w:hint="eastAsia" w:ascii="宋体" w:hAnsi="宋体" w:eastAsia="宋体" w:cs="宋体"/>
          <w:b/>
          <w:sz w:val="24"/>
          <w:highlight w:val="none"/>
        </w:rPr>
      </w:pPr>
      <w:r>
        <w:rPr>
          <w:rFonts w:hint="eastAsia" w:ascii="宋体" w:hAnsi="宋体" w:eastAsia="宋体" w:cs="宋体"/>
          <w:sz w:val="24"/>
          <w:highlight w:val="none"/>
        </w:rPr>
        <w:t>1.1“</w:t>
      </w:r>
      <w:r>
        <w:rPr>
          <w:rFonts w:hint="eastAsia" w:ascii="宋体" w:hAnsi="宋体" w:eastAsia="宋体" w:cs="宋体"/>
          <w:kern w:val="0"/>
          <w:sz w:val="24"/>
          <w:highlight w:val="none"/>
          <w:lang w:val="zh-CN"/>
        </w:rPr>
        <w:t>合同”</w:t>
      </w:r>
      <w:r>
        <w:rPr>
          <w:rFonts w:hint="eastAsia" w:ascii="宋体" w:hAnsi="宋体" w:eastAsia="宋体" w:cs="宋体"/>
          <w:sz w:val="24"/>
          <w:highlight w:val="none"/>
        </w:rPr>
        <w:t>即由</w:t>
      </w:r>
      <w:r>
        <w:rPr>
          <w:rFonts w:hint="eastAsia" w:ascii="宋体" w:hAnsi="宋体" w:eastAsia="宋体" w:cs="宋体"/>
          <w:kern w:val="0"/>
          <w:sz w:val="24"/>
          <w:highlight w:val="none"/>
          <w:lang w:val="zh-CN"/>
        </w:rPr>
        <w:t>甲乙方</w:t>
      </w:r>
      <w:r>
        <w:rPr>
          <w:rFonts w:hint="eastAsia" w:ascii="宋体" w:hAnsi="宋体" w:eastAsia="宋体" w:cs="宋体"/>
          <w:sz w:val="24"/>
          <w:highlight w:val="none"/>
        </w:rPr>
        <w:t>双方签订的合同格式中的文件，包括所有的附件、附录和组成合同部分的所有其他文件。</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合同将由</w:t>
      </w:r>
      <w:r>
        <w:rPr>
          <w:rFonts w:hint="eastAsia" w:ascii="宋体" w:hAnsi="宋体" w:cs="宋体"/>
          <w:sz w:val="24"/>
          <w:highlight w:val="none"/>
          <w:lang w:eastAsia="zh-CN"/>
        </w:rPr>
        <w:t>杭州市文溪中学</w:t>
      </w:r>
      <w:r>
        <w:rPr>
          <w:rFonts w:hint="eastAsia" w:ascii="宋体" w:hAnsi="宋体" w:eastAsia="宋体" w:cs="宋体"/>
          <w:sz w:val="24"/>
          <w:highlight w:val="none"/>
        </w:rPr>
        <w:t>（以下简称甲方）与经评审最终确定的中标人（以下简称乙方）结合本项目具体情况协商后签订</w:t>
      </w:r>
      <w:r>
        <w:rPr>
          <w:rFonts w:hint="eastAsia" w:ascii="宋体" w:hAnsi="宋体" w:eastAsia="宋体" w:cs="宋体"/>
          <w:kern w:val="0"/>
          <w:sz w:val="24"/>
          <w:highlight w:val="none"/>
          <w:lang w:val="zh-CN"/>
        </w:rPr>
        <w:t>。以下为采购人提出涉及乙方的主要条款，投标人在投标文件中应对其进行确认或拒绝。如投标人在其投标文件中未做拒绝或提出修改要求的，采购人将视作认同</w:t>
      </w:r>
      <w:r>
        <w:rPr>
          <w:rFonts w:hint="eastAsia" w:ascii="宋体" w:hAnsi="宋体" w:eastAsia="宋体" w:cs="宋体"/>
          <w:sz w:val="24"/>
          <w:highlight w:val="none"/>
        </w:rPr>
        <w:t>。</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1.2“合同价格”系指根据合同规定，在供应商全面正确地履行合同义务时，采购人应支付给供应商的款项。</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1.3“服务”系指招标文件规定供应商须承担的安装、调试、技术协助、校准、培训以及其它类似的义务。</w:t>
      </w:r>
    </w:p>
    <w:p>
      <w:pPr>
        <w:spacing w:line="360" w:lineRule="auto"/>
        <w:ind w:firstLine="480" w:firstLineChars="200"/>
        <w:rPr>
          <w:rFonts w:hint="eastAsia" w:ascii="宋体" w:hAnsi="宋体"/>
          <w:color w:val="auto"/>
          <w:sz w:val="24"/>
          <w:highlight w:val="none"/>
        </w:rPr>
      </w:pPr>
      <w:r>
        <w:rPr>
          <w:rFonts w:hint="default" w:ascii="宋体" w:hAnsi="宋体"/>
          <w:color w:val="auto"/>
          <w:sz w:val="24"/>
          <w:highlight w:val="none"/>
          <w:lang w:val="en-US"/>
        </w:rPr>
        <w:t>1</w:t>
      </w:r>
      <w:r>
        <w:rPr>
          <w:rFonts w:ascii="宋体" w:hAnsi="宋体"/>
          <w:color w:val="auto"/>
          <w:sz w:val="24"/>
          <w:highlight w:val="none"/>
        </w:rPr>
        <w:t>.4 “</w:t>
      </w:r>
      <w:r>
        <w:rPr>
          <w:rFonts w:hint="eastAsia" w:ascii="宋体" w:hAnsi="宋体"/>
          <w:color w:val="auto"/>
          <w:sz w:val="24"/>
          <w:highlight w:val="none"/>
        </w:rPr>
        <w:t>甲方</w:t>
      </w:r>
      <w:r>
        <w:rPr>
          <w:rFonts w:ascii="宋体" w:hAnsi="宋体"/>
          <w:color w:val="auto"/>
          <w:sz w:val="24"/>
          <w:highlight w:val="none"/>
        </w:rPr>
        <w:t>”系指与</w:t>
      </w:r>
      <w:r>
        <w:rPr>
          <w:rFonts w:hint="eastAsia" w:ascii="宋体" w:hAnsi="宋体"/>
          <w:color w:val="auto"/>
          <w:sz w:val="24"/>
          <w:highlight w:val="none"/>
        </w:rPr>
        <w:t>中标供应商</w:t>
      </w:r>
      <w:r>
        <w:rPr>
          <w:rFonts w:ascii="宋体" w:hAnsi="宋体"/>
          <w:color w:val="auto"/>
          <w:sz w:val="24"/>
          <w:highlight w:val="none"/>
        </w:rPr>
        <w:t>签署合同的采购人</w:t>
      </w:r>
      <w:r>
        <w:rPr>
          <w:rFonts w:hint="eastAsia" w:ascii="宋体" w:hAnsi="宋体"/>
          <w:color w:val="auto"/>
          <w:sz w:val="24"/>
          <w:highlight w:val="none"/>
        </w:rPr>
        <w:t>；采购人委托采购代理机构代表其与乙方签订合同的，采购人的授权委托书作为合同附件。</w:t>
      </w:r>
    </w:p>
    <w:p>
      <w:pPr>
        <w:pStyle w:val="61"/>
        <w:rPr>
          <w:rFonts w:hint="eastAsia"/>
          <w:highlight w:val="none"/>
          <w:lang w:eastAsia="zh-CN"/>
        </w:rPr>
      </w:pPr>
      <w:r>
        <w:rPr>
          <w:rFonts w:hint="default" w:ascii="宋体" w:hAnsi="宋体"/>
          <w:color w:val="auto"/>
          <w:sz w:val="24"/>
          <w:highlight w:val="none"/>
          <w:lang w:val="en-US"/>
        </w:rPr>
        <w:t>1</w:t>
      </w:r>
      <w:r>
        <w:rPr>
          <w:rFonts w:ascii="宋体" w:hAnsi="宋体"/>
          <w:color w:val="auto"/>
          <w:sz w:val="24"/>
          <w:highlight w:val="none"/>
        </w:rPr>
        <w:t>.5 “乙方”系指根据合同约定提供服务的中标供应商</w:t>
      </w:r>
      <w:r>
        <w:rPr>
          <w:rFonts w:hint="eastAsia" w:ascii="宋体" w:hAnsi="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1.6“现场”系指将要进行系统安装和运转的地点。</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1.7“验收”系指采购人依据技术规格规定接受合同所依据的程序和条件。</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2．适用范围</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本合同条款适用与本次采购活动。项目实施范围详见附件——招标文件和投标文件及补充文件、采购设计图</w:t>
      </w:r>
      <w:r>
        <w:rPr>
          <w:rFonts w:hint="eastAsia" w:ascii="宋体" w:hAnsi="宋体" w:cs="宋体"/>
          <w:sz w:val="24"/>
          <w:highlight w:val="none"/>
          <w:lang w:eastAsia="zh-CN"/>
        </w:rPr>
        <w:t>（</w:t>
      </w:r>
      <w:r>
        <w:rPr>
          <w:rFonts w:hint="eastAsia" w:ascii="宋体" w:hAnsi="宋体" w:cs="宋体"/>
          <w:sz w:val="24"/>
          <w:highlight w:val="none"/>
          <w:lang w:val="en-US" w:eastAsia="zh-CN"/>
        </w:rPr>
        <w:t>若有</w:t>
      </w:r>
      <w:r>
        <w:rPr>
          <w:rFonts w:hint="eastAsia" w:ascii="宋体" w:hAnsi="宋体" w:cs="宋体"/>
          <w:sz w:val="24"/>
          <w:highlight w:val="none"/>
          <w:lang w:eastAsia="zh-CN"/>
        </w:rPr>
        <w:t>）</w:t>
      </w:r>
      <w:r>
        <w:rPr>
          <w:rFonts w:hint="eastAsia" w:ascii="宋体" w:hAnsi="宋体" w:eastAsia="宋体" w:cs="宋体"/>
          <w:sz w:val="24"/>
          <w:highlight w:val="none"/>
        </w:rPr>
        <w:t xml:space="preserve">、承诺书等。 </w:t>
      </w:r>
    </w:p>
    <w:p>
      <w:pPr>
        <w:numPr>
          <w:ilvl w:val="0"/>
          <w:numId w:val="5"/>
        </w:numPr>
        <w:spacing w:line="360" w:lineRule="auto"/>
        <w:rPr>
          <w:rFonts w:hint="eastAsia" w:ascii="宋体" w:hAnsi="宋体" w:eastAsia="宋体" w:cs="宋体"/>
          <w:b/>
          <w:sz w:val="24"/>
          <w:highlight w:val="none"/>
        </w:rPr>
      </w:pPr>
      <w:r>
        <w:rPr>
          <w:rFonts w:hint="eastAsia" w:ascii="宋体" w:hAnsi="宋体" w:eastAsia="宋体" w:cs="宋体"/>
          <w:b/>
          <w:sz w:val="24"/>
          <w:highlight w:val="none"/>
          <w:lang w:eastAsia="zh-CN"/>
        </w:rPr>
        <w:t>采购</w:t>
      </w:r>
      <w:r>
        <w:rPr>
          <w:rFonts w:hint="eastAsia" w:ascii="宋体" w:hAnsi="宋体" w:eastAsia="宋体" w:cs="宋体"/>
          <w:b/>
          <w:sz w:val="24"/>
          <w:highlight w:val="none"/>
        </w:rPr>
        <w:t>内容</w:t>
      </w:r>
    </w:p>
    <w:p>
      <w:pPr>
        <w:spacing w:line="360" w:lineRule="auto"/>
        <w:ind w:firstLine="480" w:firstLineChars="200"/>
        <w:rPr>
          <w:rFonts w:hint="eastAsia" w:ascii="宋体" w:hAnsi="宋体" w:eastAsia="宋体" w:cs="宋体"/>
          <w:i w:val="0"/>
          <w:iCs w:val="0"/>
          <w:color w:val="auto"/>
          <w:sz w:val="24"/>
          <w:szCs w:val="24"/>
          <w:highlight w:val="none"/>
          <w:lang w:val="en-US" w:eastAsia="zh-CN"/>
        </w:rPr>
      </w:pPr>
      <w:r>
        <w:rPr>
          <w:rFonts w:hint="default" w:ascii="宋体" w:hAnsi="宋体" w:cs="宋体"/>
          <w:i w:val="0"/>
          <w:iCs w:val="0"/>
          <w:color w:val="auto"/>
          <w:sz w:val="24"/>
          <w:szCs w:val="24"/>
          <w:highlight w:val="none"/>
          <w:lang w:val="en-US" w:eastAsia="zh-CN"/>
        </w:rPr>
        <w:t>3</w:t>
      </w:r>
      <w:r>
        <w:rPr>
          <w:rFonts w:hint="eastAsia" w:ascii="宋体" w:hAnsi="宋体" w:eastAsia="宋体" w:cs="宋体"/>
          <w:i w:val="0"/>
          <w:iCs w:val="0"/>
          <w:color w:val="auto"/>
          <w:sz w:val="24"/>
          <w:szCs w:val="24"/>
          <w:highlight w:val="none"/>
          <w:lang w:val="en-US" w:eastAsia="zh-CN"/>
        </w:rPr>
        <w:t>.1 本次甲方向乙方采购合同货物的具体信息如下：</w:t>
      </w:r>
    </w:p>
    <w:tbl>
      <w:tblPr>
        <w:tblStyle w:val="62"/>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1198"/>
        <w:gridCol w:w="1486"/>
        <w:gridCol w:w="1486"/>
        <w:gridCol w:w="1142"/>
        <w:gridCol w:w="812"/>
        <w:gridCol w:w="1290"/>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lang w:eastAsia="zh-CN"/>
              </w:rPr>
            </w:pPr>
            <w:r>
              <w:rPr>
                <w:rFonts w:hint="eastAsia" w:ascii="宋体" w:hAnsi="宋体" w:eastAsia="宋体" w:cs="宋体"/>
                <w:i w:val="0"/>
                <w:iCs w:val="0"/>
                <w:color w:val="auto"/>
                <w:sz w:val="24"/>
                <w:szCs w:val="24"/>
                <w:highlight w:val="none"/>
                <w:lang w:eastAsia="zh-CN"/>
              </w:rPr>
              <w:t>序号</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产品名称</w:t>
            </w:r>
          </w:p>
        </w:tc>
        <w:tc>
          <w:tcPr>
            <w:tcW w:w="14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lang w:eastAsia="zh-CN"/>
              </w:rPr>
            </w:pPr>
            <w:r>
              <w:rPr>
                <w:rFonts w:hint="eastAsia" w:ascii="宋体" w:hAnsi="宋体" w:eastAsia="宋体" w:cs="宋体"/>
                <w:i w:val="0"/>
                <w:iCs w:val="0"/>
                <w:color w:val="auto"/>
                <w:sz w:val="24"/>
                <w:szCs w:val="24"/>
                <w:highlight w:val="none"/>
                <w:lang w:eastAsia="zh-CN"/>
              </w:rPr>
              <w:t>品牌</w:t>
            </w:r>
          </w:p>
        </w:tc>
        <w:tc>
          <w:tcPr>
            <w:tcW w:w="14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型号</w:t>
            </w:r>
          </w:p>
        </w:tc>
        <w:tc>
          <w:tcPr>
            <w:tcW w:w="11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单价</w:t>
            </w:r>
          </w:p>
        </w:tc>
        <w:tc>
          <w:tcPr>
            <w:tcW w:w="8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数量</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lang w:eastAsia="zh-CN"/>
              </w:rPr>
            </w:pPr>
            <w:r>
              <w:rPr>
                <w:rFonts w:hint="eastAsia" w:ascii="宋体" w:hAnsi="宋体" w:eastAsia="宋体" w:cs="宋体"/>
                <w:i w:val="0"/>
                <w:iCs w:val="0"/>
                <w:color w:val="auto"/>
                <w:sz w:val="24"/>
                <w:szCs w:val="24"/>
                <w:highlight w:val="none"/>
              </w:rPr>
              <w:t>总价</w:t>
            </w:r>
            <w:r>
              <w:rPr>
                <w:rFonts w:hint="eastAsia" w:ascii="宋体" w:hAnsi="宋体" w:eastAsia="宋体" w:cs="宋体"/>
                <w:i w:val="0"/>
                <w:iCs w:val="0"/>
                <w:color w:val="auto"/>
                <w:sz w:val="24"/>
                <w:szCs w:val="24"/>
                <w:highlight w:val="none"/>
                <w:lang w:eastAsia="zh-CN"/>
              </w:rPr>
              <w:t>（元）</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lang w:eastAsia="zh-CN"/>
              </w:rPr>
            </w:pPr>
            <w:r>
              <w:rPr>
                <w:rFonts w:hint="eastAsia" w:ascii="宋体" w:hAnsi="宋体" w:eastAsia="宋体" w:cs="宋体"/>
                <w:i w:val="0"/>
                <w:iCs w:val="0"/>
                <w:color w:val="auto"/>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1</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4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4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1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2</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4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4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1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lang w:val="en-US" w:eastAsia="zh-CN"/>
              </w:rPr>
            </w:pPr>
            <w:r>
              <w:rPr>
                <w:rFonts w:hint="eastAsia" w:ascii="宋体" w:hAnsi="宋体" w:cs="宋体"/>
                <w:i w:val="0"/>
                <w:iCs w:val="0"/>
                <w:color w:val="auto"/>
                <w:sz w:val="24"/>
                <w:szCs w:val="24"/>
                <w:highlight w:val="none"/>
                <w:lang w:val="en-US" w:eastAsia="zh-CN"/>
              </w:rPr>
              <w:t>……</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4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4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1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right"/>
              <w:textAlignment w:val="auto"/>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合计：人民币</w:t>
            </w:r>
            <w:r>
              <w:rPr>
                <w:rFonts w:hint="default" w:ascii="宋体" w:hAnsi="宋体" w:cs="宋体"/>
                <w:i w:val="0"/>
                <w:iCs w:val="0"/>
                <w:color w:val="auto"/>
                <w:sz w:val="24"/>
                <w:szCs w:val="24"/>
                <w:highlight w:val="none"/>
                <w:u w:val="single"/>
                <w:lang w:val="en-US"/>
              </w:rPr>
              <w:t xml:space="preserve">     </w:t>
            </w:r>
            <w:r>
              <w:rPr>
                <w:rFonts w:hint="eastAsia" w:ascii="宋体" w:hAnsi="宋体" w:eastAsia="宋体" w:cs="宋体"/>
                <w:i w:val="0"/>
                <w:iCs w:val="0"/>
                <w:color w:val="auto"/>
                <w:sz w:val="24"/>
                <w:szCs w:val="24"/>
                <w:highlight w:val="none"/>
              </w:rPr>
              <w:t>元整（大写人民币</w:t>
            </w:r>
            <w:r>
              <w:rPr>
                <w:rFonts w:hint="default" w:ascii="宋体" w:hAnsi="宋体" w:cs="宋体"/>
                <w:i w:val="0"/>
                <w:iCs w:val="0"/>
                <w:color w:val="auto"/>
                <w:sz w:val="24"/>
                <w:szCs w:val="24"/>
                <w:highlight w:val="none"/>
                <w:u w:val="single"/>
                <w:lang w:val="en-US"/>
              </w:rPr>
              <w:t xml:space="preserve">      </w:t>
            </w:r>
            <w:r>
              <w:rPr>
                <w:rFonts w:hint="eastAsia" w:ascii="宋体" w:hAnsi="宋体" w:eastAsia="宋体" w:cs="宋体"/>
                <w:i w:val="0"/>
                <w:iCs w:val="0"/>
                <w:color w:val="auto"/>
                <w:sz w:val="24"/>
                <w:szCs w:val="24"/>
                <w:highlight w:val="none"/>
              </w:rPr>
              <w:t>元）</w:t>
            </w:r>
          </w:p>
        </w:tc>
      </w:tr>
    </w:tbl>
    <w:p>
      <w:pPr>
        <w:spacing w:line="360" w:lineRule="auto"/>
        <w:ind w:firstLine="480" w:firstLineChars="200"/>
        <w:rPr>
          <w:rFonts w:hint="eastAsia" w:ascii="宋体" w:hAnsi="宋体" w:eastAsia="宋体" w:cs="宋体"/>
          <w:i w:val="0"/>
          <w:iCs w:val="0"/>
          <w:color w:val="auto"/>
          <w:sz w:val="24"/>
          <w:szCs w:val="24"/>
          <w:highlight w:val="none"/>
          <w:lang w:val="en-US" w:eastAsia="zh-CN"/>
        </w:rPr>
      </w:pPr>
      <w:r>
        <w:rPr>
          <w:rFonts w:hint="eastAsia" w:ascii="宋体" w:hAnsi="宋体" w:eastAsia="宋体" w:cs="宋体"/>
          <w:i w:val="0"/>
          <w:iCs w:val="0"/>
          <w:color w:val="auto"/>
          <w:sz w:val="24"/>
          <w:szCs w:val="24"/>
          <w:highlight w:val="none"/>
          <w:lang w:val="en-US" w:eastAsia="zh-CN"/>
        </w:rPr>
        <w:t>（注：1.如果合同货物有其余需要明确的信息，请在此一并约定；2.如果合同货物品目较多，可将其作为合同附件。）</w:t>
      </w:r>
    </w:p>
    <w:p>
      <w:pPr>
        <w:spacing w:line="360" w:lineRule="auto"/>
        <w:ind w:firstLine="480" w:firstLineChars="200"/>
        <w:rPr>
          <w:rFonts w:hint="eastAsia" w:ascii="宋体" w:hAnsi="宋体" w:eastAsia="宋体" w:cs="宋体"/>
          <w:i w:val="0"/>
          <w:iCs w:val="0"/>
          <w:color w:val="auto"/>
          <w:sz w:val="24"/>
          <w:szCs w:val="24"/>
          <w:highlight w:val="none"/>
          <w:lang w:val="en-US" w:eastAsia="zh-CN"/>
        </w:rPr>
      </w:pPr>
      <w:r>
        <w:rPr>
          <w:rFonts w:hint="default" w:ascii="宋体" w:hAnsi="宋体" w:cs="宋体"/>
          <w:i w:val="0"/>
          <w:iCs w:val="0"/>
          <w:color w:val="auto"/>
          <w:sz w:val="24"/>
          <w:szCs w:val="24"/>
          <w:highlight w:val="none"/>
          <w:lang w:val="en-US" w:eastAsia="zh-CN"/>
        </w:rPr>
        <w:t>3</w:t>
      </w:r>
      <w:r>
        <w:rPr>
          <w:rFonts w:hint="eastAsia" w:ascii="宋体" w:hAnsi="宋体" w:eastAsia="宋体" w:cs="宋体"/>
          <w:i w:val="0"/>
          <w:iCs w:val="0"/>
          <w:color w:val="auto"/>
          <w:sz w:val="24"/>
          <w:szCs w:val="24"/>
          <w:highlight w:val="none"/>
          <w:lang w:val="en-US" w:eastAsia="zh-CN"/>
        </w:rPr>
        <w:t>.2 合同总价包括但不限于：设备购置费、辅助材料费、运杂费、安装调试费、保险费、培训费、税金等相关费税。</w:t>
      </w:r>
    </w:p>
    <w:p>
      <w:pPr>
        <w:spacing w:line="360" w:lineRule="auto"/>
        <w:rPr>
          <w:rFonts w:hint="eastAsia" w:ascii="宋体" w:hAnsi="宋体" w:eastAsia="宋体" w:cs="宋体"/>
          <w:b/>
          <w:sz w:val="24"/>
          <w:highlight w:val="none"/>
        </w:rPr>
      </w:pPr>
      <w:r>
        <w:rPr>
          <w:rFonts w:hint="default" w:ascii="宋体" w:hAnsi="宋体" w:cs="宋体"/>
          <w:b/>
          <w:sz w:val="24"/>
          <w:highlight w:val="none"/>
          <w:lang w:val="en-US"/>
        </w:rPr>
        <w:t>4</w:t>
      </w:r>
      <w:r>
        <w:rPr>
          <w:rFonts w:hint="eastAsia" w:ascii="宋体" w:hAnsi="宋体" w:eastAsia="宋体" w:cs="宋体"/>
          <w:b/>
          <w:sz w:val="24"/>
          <w:highlight w:val="none"/>
        </w:rPr>
        <w:t>．供货</w:t>
      </w:r>
    </w:p>
    <w:p>
      <w:pPr>
        <w:spacing w:line="360" w:lineRule="auto"/>
        <w:ind w:firstLine="480" w:firstLineChars="200"/>
        <w:rPr>
          <w:rFonts w:hint="eastAsia" w:ascii="宋体" w:hAnsi="宋体" w:eastAsia="宋体" w:cs="宋体"/>
          <w:sz w:val="24"/>
          <w:highlight w:val="none"/>
        </w:rPr>
      </w:pPr>
      <w:r>
        <w:rPr>
          <w:rFonts w:hint="default" w:ascii="宋体" w:hAnsi="宋体" w:cs="宋体"/>
          <w:sz w:val="24"/>
          <w:highlight w:val="none"/>
          <w:lang w:val="en-US"/>
        </w:rPr>
        <w:t>4</w:t>
      </w:r>
      <w:r>
        <w:rPr>
          <w:rFonts w:hint="eastAsia" w:ascii="宋体" w:hAnsi="宋体" w:eastAsia="宋体" w:cs="宋体"/>
          <w:sz w:val="24"/>
          <w:highlight w:val="none"/>
        </w:rPr>
        <w:t>.1 乙方提供的设备及有关产品部件等货物必须是</w:t>
      </w:r>
      <w:r>
        <w:rPr>
          <w:rFonts w:hint="eastAsia" w:ascii="宋体" w:hAnsi="宋体" w:eastAsia="宋体" w:cs="宋体"/>
          <w:sz w:val="24"/>
          <w:szCs w:val="28"/>
          <w:highlight w:val="none"/>
        </w:rPr>
        <w:t>符合国家技术规范和质量标准</w:t>
      </w:r>
      <w:r>
        <w:rPr>
          <w:rFonts w:hint="eastAsia" w:ascii="宋体" w:hAnsi="宋体" w:eastAsia="宋体" w:cs="宋体"/>
          <w:sz w:val="24"/>
          <w:highlight w:val="none"/>
        </w:rPr>
        <w:t>，经国家“3C”认证或通过国家有关部门检测的原产地合格产品。采购前需经甲方和监理单位的认可。</w:t>
      </w:r>
    </w:p>
    <w:p>
      <w:pPr>
        <w:spacing w:line="360" w:lineRule="auto"/>
        <w:ind w:firstLine="480" w:firstLineChars="200"/>
        <w:rPr>
          <w:rFonts w:hint="eastAsia" w:ascii="宋体" w:hAnsi="宋体" w:eastAsia="宋体" w:cs="宋体"/>
          <w:sz w:val="24"/>
          <w:highlight w:val="none"/>
        </w:rPr>
      </w:pPr>
      <w:r>
        <w:rPr>
          <w:rFonts w:hint="default" w:ascii="宋体" w:hAnsi="宋体" w:cs="宋体"/>
          <w:sz w:val="24"/>
          <w:highlight w:val="none"/>
          <w:lang w:val="en-US"/>
        </w:rPr>
        <w:t>4</w:t>
      </w:r>
      <w:r>
        <w:rPr>
          <w:rFonts w:hint="eastAsia" w:ascii="宋体" w:hAnsi="宋体" w:eastAsia="宋体" w:cs="宋体"/>
          <w:sz w:val="24"/>
          <w:highlight w:val="none"/>
        </w:rPr>
        <w:t>.2 乙方在投标文件中所列设备的名称、型号应与安装实施中实际使用的设备完全一致，都必须是报价中的产地，并提供相关证明，需原装封箱包装。如发现实物与投标报价书等资料不符，甲方有权更换，其一切后果及费用由乙方承担。如发现不符合质量要求或破裂、损坏等情况由乙方负责调换或补足，并不得影响工期。</w:t>
      </w:r>
    </w:p>
    <w:p>
      <w:pPr>
        <w:spacing w:line="360" w:lineRule="auto"/>
        <w:ind w:firstLine="480" w:firstLineChars="200"/>
        <w:rPr>
          <w:rFonts w:hint="eastAsia" w:ascii="宋体" w:hAnsi="宋体" w:eastAsia="宋体" w:cs="宋体"/>
          <w:sz w:val="24"/>
          <w:highlight w:val="none"/>
        </w:rPr>
      </w:pPr>
      <w:r>
        <w:rPr>
          <w:rFonts w:hint="default" w:ascii="宋体" w:hAnsi="宋体" w:cs="宋体"/>
          <w:sz w:val="24"/>
          <w:highlight w:val="none"/>
          <w:lang w:val="en-US"/>
        </w:rPr>
        <w:t>4</w:t>
      </w:r>
      <w:r>
        <w:rPr>
          <w:rFonts w:hint="eastAsia" w:ascii="宋体" w:hAnsi="宋体" w:eastAsia="宋体" w:cs="宋体"/>
          <w:sz w:val="24"/>
          <w:highlight w:val="none"/>
        </w:rPr>
        <w:t>.3</w:t>
      </w:r>
      <w:r>
        <w:rPr>
          <w:rFonts w:hint="eastAsia" w:ascii="宋体" w:hAnsi="宋体" w:eastAsia="宋体" w:cs="宋体"/>
          <w:kern w:val="0"/>
          <w:sz w:val="24"/>
          <w:highlight w:val="none"/>
          <w:lang w:val="zh-CN"/>
        </w:rPr>
        <w:t>乙方</w:t>
      </w:r>
      <w:r>
        <w:rPr>
          <w:rFonts w:hint="eastAsia" w:ascii="宋体" w:hAnsi="宋体" w:eastAsia="宋体" w:cs="宋体"/>
          <w:sz w:val="24"/>
          <w:szCs w:val="21"/>
          <w:highlight w:val="none"/>
        </w:rPr>
        <w:t>对所提供的产品、技术和服务等拥有</w:t>
      </w:r>
      <w:r>
        <w:rPr>
          <w:rFonts w:hint="eastAsia" w:ascii="宋体" w:hAnsi="宋体" w:eastAsia="宋体" w:cs="宋体"/>
          <w:sz w:val="24"/>
          <w:highlight w:val="none"/>
        </w:rPr>
        <w:t>合法的占有和处置权，并对涉及项目的</w:t>
      </w:r>
      <w:r>
        <w:rPr>
          <w:rFonts w:hint="eastAsia" w:ascii="宋体" w:hAnsi="宋体" w:eastAsia="宋体" w:cs="宋体"/>
          <w:sz w:val="24"/>
          <w:szCs w:val="21"/>
          <w:highlight w:val="none"/>
        </w:rPr>
        <w:t>所有内容可能侵权行为指控负责，保证不伤害</w:t>
      </w:r>
      <w:r>
        <w:rPr>
          <w:rFonts w:hint="eastAsia" w:ascii="宋体" w:hAnsi="宋体" w:eastAsia="宋体" w:cs="宋体"/>
          <w:sz w:val="24"/>
          <w:highlight w:val="none"/>
        </w:rPr>
        <w:t>甲方</w:t>
      </w:r>
      <w:r>
        <w:rPr>
          <w:rFonts w:hint="eastAsia" w:ascii="宋体" w:hAnsi="宋体" w:eastAsia="宋体" w:cs="宋体"/>
          <w:sz w:val="24"/>
          <w:szCs w:val="21"/>
          <w:highlight w:val="none"/>
        </w:rPr>
        <w:t>的利益。在法律范围内，如果出现文字、图片、商标和技术等侵权行为而造成的纠纷和产生的一切费用，</w:t>
      </w:r>
      <w:r>
        <w:rPr>
          <w:rFonts w:hint="eastAsia" w:ascii="宋体" w:hAnsi="宋体" w:eastAsia="宋体" w:cs="宋体"/>
          <w:sz w:val="24"/>
          <w:highlight w:val="none"/>
        </w:rPr>
        <w:t>甲方</w:t>
      </w:r>
      <w:r>
        <w:rPr>
          <w:rFonts w:hint="eastAsia" w:ascii="宋体" w:hAnsi="宋体" w:eastAsia="宋体" w:cs="宋体"/>
          <w:sz w:val="24"/>
          <w:szCs w:val="21"/>
          <w:highlight w:val="none"/>
        </w:rPr>
        <w:t>概不负责，由此给</w:t>
      </w:r>
      <w:r>
        <w:rPr>
          <w:rFonts w:hint="eastAsia" w:ascii="宋体" w:hAnsi="宋体" w:eastAsia="宋体" w:cs="宋体"/>
          <w:sz w:val="24"/>
          <w:highlight w:val="none"/>
        </w:rPr>
        <w:t>甲方</w:t>
      </w:r>
      <w:r>
        <w:rPr>
          <w:rFonts w:hint="eastAsia" w:ascii="宋体" w:hAnsi="宋体" w:eastAsia="宋体" w:cs="宋体"/>
          <w:sz w:val="24"/>
          <w:szCs w:val="21"/>
          <w:highlight w:val="none"/>
        </w:rPr>
        <w:t>造成损失的，</w:t>
      </w:r>
      <w:r>
        <w:rPr>
          <w:rFonts w:hint="eastAsia" w:ascii="宋体" w:hAnsi="宋体" w:eastAsia="宋体" w:cs="宋体"/>
          <w:kern w:val="0"/>
          <w:sz w:val="24"/>
          <w:highlight w:val="none"/>
          <w:lang w:val="zh-CN"/>
        </w:rPr>
        <w:t>乙方</w:t>
      </w:r>
      <w:r>
        <w:rPr>
          <w:rFonts w:hint="eastAsia" w:ascii="宋体" w:hAnsi="宋体" w:eastAsia="宋体" w:cs="宋体"/>
          <w:sz w:val="24"/>
          <w:highlight w:val="none"/>
        </w:rPr>
        <w:t>要承担相应后果，</w:t>
      </w:r>
      <w:r>
        <w:rPr>
          <w:rFonts w:hint="eastAsia" w:ascii="宋体" w:hAnsi="宋体" w:eastAsia="宋体" w:cs="宋体"/>
          <w:kern w:val="0"/>
          <w:sz w:val="24"/>
          <w:highlight w:val="none"/>
          <w:lang w:val="zh-CN"/>
        </w:rPr>
        <w:t>并负责赔偿。乙方</w:t>
      </w:r>
      <w:r>
        <w:rPr>
          <w:rFonts w:hint="eastAsia" w:ascii="宋体" w:hAnsi="宋体" w:eastAsia="宋体" w:cs="宋体"/>
          <w:sz w:val="24"/>
          <w:highlight w:val="none"/>
        </w:rPr>
        <w:t>为执行本项目合同而提供的技术资料等归甲方所有。</w:t>
      </w:r>
    </w:p>
    <w:p>
      <w:pPr>
        <w:spacing w:line="360" w:lineRule="auto"/>
        <w:ind w:firstLine="480" w:firstLineChars="200"/>
        <w:rPr>
          <w:rFonts w:hint="eastAsia" w:ascii="宋体" w:hAnsi="宋体" w:eastAsia="宋体" w:cs="宋体"/>
          <w:sz w:val="24"/>
          <w:highlight w:val="none"/>
        </w:rPr>
      </w:pPr>
      <w:r>
        <w:rPr>
          <w:rFonts w:hint="default" w:ascii="宋体" w:hAnsi="宋体" w:cs="宋体"/>
          <w:sz w:val="24"/>
          <w:highlight w:val="none"/>
          <w:lang w:val="en-US"/>
        </w:rPr>
        <w:t>4</w:t>
      </w:r>
      <w:r>
        <w:rPr>
          <w:rFonts w:hint="eastAsia" w:ascii="宋体" w:hAnsi="宋体" w:eastAsia="宋体" w:cs="宋体"/>
          <w:sz w:val="24"/>
          <w:highlight w:val="none"/>
        </w:rPr>
        <w:t>.4 乙方所提供的设备交货时间必须按照本项目的工程安装进度进场。</w:t>
      </w:r>
    </w:p>
    <w:p>
      <w:pPr>
        <w:spacing w:line="360" w:lineRule="auto"/>
        <w:rPr>
          <w:rFonts w:hint="eastAsia" w:ascii="宋体" w:hAnsi="宋体" w:eastAsia="宋体" w:cs="宋体"/>
          <w:b/>
          <w:sz w:val="24"/>
          <w:highlight w:val="none"/>
        </w:rPr>
      </w:pPr>
      <w:r>
        <w:rPr>
          <w:rFonts w:hint="default" w:ascii="宋体" w:hAnsi="宋体" w:cs="宋体"/>
          <w:b/>
          <w:sz w:val="24"/>
          <w:highlight w:val="none"/>
          <w:lang w:val="en-US"/>
        </w:rPr>
        <w:t>5</w:t>
      </w:r>
      <w:r>
        <w:rPr>
          <w:rFonts w:hint="eastAsia" w:ascii="宋体" w:hAnsi="宋体" w:eastAsia="宋体" w:cs="宋体"/>
          <w:b/>
          <w:sz w:val="24"/>
          <w:highlight w:val="none"/>
        </w:rPr>
        <w:t>．安装调试和系统接入</w:t>
      </w:r>
    </w:p>
    <w:p>
      <w:pPr>
        <w:spacing w:line="360" w:lineRule="auto"/>
        <w:ind w:firstLine="480" w:firstLineChars="200"/>
        <w:rPr>
          <w:rFonts w:hint="eastAsia" w:ascii="宋体" w:hAnsi="宋体" w:eastAsia="宋体" w:cs="宋体"/>
          <w:sz w:val="24"/>
          <w:highlight w:val="none"/>
        </w:rPr>
      </w:pPr>
      <w:r>
        <w:rPr>
          <w:rFonts w:hint="default" w:ascii="宋体" w:hAnsi="宋体" w:cs="宋体"/>
          <w:sz w:val="24"/>
          <w:highlight w:val="none"/>
          <w:lang w:val="en-US"/>
        </w:rPr>
        <w:t>5</w:t>
      </w:r>
      <w:r>
        <w:rPr>
          <w:rFonts w:hint="eastAsia" w:ascii="宋体" w:hAnsi="宋体" w:eastAsia="宋体" w:cs="宋体"/>
          <w:sz w:val="24"/>
          <w:highlight w:val="none"/>
        </w:rPr>
        <w:t>.1 甲方提供堆放材料和工具场地，设备和材料的堆放安全由乙方负责。</w:t>
      </w:r>
    </w:p>
    <w:p>
      <w:pPr>
        <w:spacing w:line="360" w:lineRule="auto"/>
        <w:ind w:firstLine="480" w:firstLineChars="200"/>
        <w:rPr>
          <w:rFonts w:hint="eastAsia" w:ascii="宋体" w:hAnsi="宋体" w:eastAsia="宋体" w:cs="宋体"/>
          <w:sz w:val="24"/>
          <w:highlight w:val="none"/>
        </w:rPr>
      </w:pPr>
      <w:r>
        <w:rPr>
          <w:rFonts w:hint="default" w:ascii="宋体" w:hAnsi="宋体" w:cs="宋体"/>
          <w:sz w:val="24"/>
          <w:highlight w:val="none"/>
          <w:lang w:val="en-US"/>
        </w:rPr>
        <w:t>5</w:t>
      </w:r>
      <w:r>
        <w:rPr>
          <w:rFonts w:hint="eastAsia" w:ascii="宋体" w:hAnsi="宋体" w:eastAsia="宋体" w:cs="宋体"/>
          <w:sz w:val="24"/>
          <w:highlight w:val="none"/>
        </w:rPr>
        <w:t>.2 甲方提供工程所需的水源和电源，费用由乙方承担。</w:t>
      </w:r>
    </w:p>
    <w:p>
      <w:pPr>
        <w:spacing w:line="360" w:lineRule="auto"/>
        <w:ind w:firstLine="480" w:firstLineChars="200"/>
        <w:rPr>
          <w:rFonts w:hint="eastAsia" w:ascii="宋体" w:hAnsi="宋体" w:eastAsia="宋体" w:cs="宋体"/>
          <w:sz w:val="24"/>
          <w:highlight w:val="none"/>
        </w:rPr>
      </w:pPr>
      <w:r>
        <w:rPr>
          <w:rFonts w:hint="default" w:ascii="宋体" w:hAnsi="宋体" w:cs="宋体"/>
          <w:sz w:val="24"/>
          <w:highlight w:val="none"/>
          <w:lang w:val="en-US"/>
        </w:rPr>
        <w:t>5</w:t>
      </w:r>
      <w:r>
        <w:rPr>
          <w:rFonts w:hint="eastAsia" w:ascii="宋体" w:hAnsi="宋体" w:eastAsia="宋体" w:cs="宋体"/>
          <w:sz w:val="24"/>
          <w:highlight w:val="none"/>
        </w:rPr>
        <w:t>.3 乙方项目实施人员须服从甲方、监理管理人员管理，项目质量纳入现场监理。乙方项目实施人员必须遵守现场的各项规章制度。</w:t>
      </w:r>
    </w:p>
    <w:p>
      <w:pPr>
        <w:spacing w:line="360" w:lineRule="auto"/>
        <w:ind w:firstLine="480" w:firstLineChars="200"/>
        <w:rPr>
          <w:rFonts w:hint="eastAsia" w:ascii="宋体" w:hAnsi="宋体" w:eastAsia="宋体" w:cs="宋体"/>
          <w:sz w:val="24"/>
          <w:highlight w:val="none"/>
        </w:rPr>
      </w:pPr>
      <w:r>
        <w:rPr>
          <w:rFonts w:hint="default" w:ascii="宋体" w:hAnsi="宋体" w:cs="宋体"/>
          <w:sz w:val="24"/>
          <w:highlight w:val="none"/>
          <w:lang w:val="en-US"/>
        </w:rPr>
        <w:t>5</w:t>
      </w:r>
      <w:r>
        <w:rPr>
          <w:rFonts w:hint="eastAsia" w:ascii="宋体" w:hAnsi="宋体" w:eastAsia="宋体" w:cs="宋体"/>
          <w:sz w:val="24"/>
          <w:highlight w:val="none"/>
        </w:rPr>
        <w:t>.4 乙方应根据项目情况提供安装、到货计划，安装的实施进度计划，经甲、乙双方共同确定后作为双方共同执行的合同条款，乙方应按计划完工交付验收，若超过计划完工日15天以上的天数按超期处罚。</w:t>
      </w:r>
    </w:p>
    <w:p>
      <w:pPr>
        <w:spacing w:line="360" w:lineRule="auto"/>
        <w:rPr>
          <w:rFonts w:hint="eastAsia" w:ascii="宋体" w:hAnsi="宋体" w:eastAsia="宋体" w:cs="宋体"/>
          <w:b/>
          <w:sz w:val="24"/>
          <w:highlight w:val="none"/>
        </w:rPr>
      </w:pPr>
      <w:r>
        <w:rPr>
          <w:rFonts w:hint="default" w:ascii="宋体" w:hAnsi="宋体" w:cs="宋体"/>
          <w:b/>
          <w:sz w:val="24"/>
          <w:highlight w:val="none"/>
          <w:lang w:val="en-US"/>
        </w:rPr>
        <w:t>6</w:t>
      </w:r>
      <w:r>
        <w:rPr>
          <w:rFonts w:hint="eastAsia" w:ascii="宋体" w:hAnsi="宋体" w:eastAsia="宋体" w:cs="宋体"/>
          <w:b/>
          <w:sz w:val="24"/>
          <w:highlight w:val="none"/>
        </w:rPr>
        <w:t>．培训保修</w:t>
      </w:r>
    </w:p>
    <w:p>
      <w:pPr>
        <w:spacing w:line="360" w:lineRule="auto"/>
        <w:ind w:firstLine="480" w:firstLineChars="200"/>
        <w:rPr>
          <w:rFonts w:hint="eastAsia" w:ascii="宋体" w:hAnsi="宋体" w:eastAsia="宋体" w:cs="宋体"/>
          <w:sz w:val="24"/>
          <w:highlight w:val="none"/>
        </w:rPr>
      </w:pPr>
      <w:r>
        <w:rPr>
          <w:rFonts w:hint="default" w:ascii="宋体" w:hAnsi="宋体" w:cs="宋体"/>
          <w:sz w:val="24"/>
          <w:highlight w:val="none"/>
          <w:lang w:val="en-US"/>
        </w:rPr>
        <w:t>6</w:t>
      </w:r>
      <w:r>
        <w:rPr>
          <w:rFonts w:hint="eastAsia" w:ascii="宋体" w:hAnsi="宋体" w:eastAsia="宋体" w:cs="宋体"/>
          <w:sz w:val="24"/>
          <w:highlight w:val="none"/>
        </w:rPr>
        <w:t>.1 乙方对甲方提供操作维护、管理等培训，至熟练操作为止。</w:t>
      </w:r>
    </w:p>
    <w:p>
      <w:pPr>
        <w:spacing w:line="360" w:lineRule="auto"/>
        <w:ind w:firstLine="480" w:firstLineChars="200"/>
        <w:rPr>
          <w:rFonts w:hint="eastAsia" w:ascii="宋体" w:hAnsi="宋体" w:eastAsia="宋体" w:cs="宋体"/>
          <w:sz w:val="24"/>
          <w:highlight w:val="none"/>
        </w:rPr>
      </w:pPr>
      <w:r>
        <w:rPr>
          <w:rFonts w:hint="default" w:ascii="宋体" w:hAnsi="宋体" w:cs="宋体"/>
          <w:sz w:val="24"/>
          <w:highlight w:val="none"/>
          <w:lang w:val="en-US"/>
        </w:rPr>
        <w:t>6</w:t>
      </w:r>
      <w:r>
        <w:rPr>
          <w:rFonts w:hint="eastAsia" w:ascii="宋体" w:hAnsi="宋体" w:eastAsia="宋体" w:cs="宋体"/>
          <w:sz w:val="24"/>
          <w:highlight w:val="none"/>
        </w:rPr>
        <w:t>.2 乙方提供免费维修（即质保期）：</w:t>
      </w:r>
      <w:r>
        <w:rPr>
          <w:rFonts w:hint="eastAsia" w:ascii="宋体" w:hAnsi="宋体" w:cs="宋体"/>
          <w:sz w:val="24"/>
          <w:highlight w:val="none"/>
          <w:lang w:eastAsia="zh-CN"/>
        </w:rPr>
        <w:t>按投标文件</w:t>
      </w:r>
      <w:r>
        <w:rPr>
          <w:rFonts w:hint="eastAsia" w:ascii="宋体" w:hAnsi="宋体" w:eastAsia="宋体" w:cs="宋体"/>
          <w:sz w:val="24"/>
          <w:highlight w:val="none"/>
        </w:rPr>
        <w:t>要求提供不少于</w:t>
      </w:r>
      <w:r>
        <w:rPr>
          <w:rFonts w:hint="default" w:ascii="宋体" w:hAnsi="宋体" w:cs="宋体"/>
          <w:sz w:val="24"/>
          <w:highlight w:val="none"/>
          <w:u w:val="single"/>
          <w:lang w:val="en-US"/>
        </w:rPr>
        <w:t xml:space="preserve">  </w:t>
      </w:r>
      <w:r>
        <w:rPr>
          <w:rFonts w:hint="eastAsia" w:ascii="宋体" w:hAnsi="宋体" w:eastAsia="宋体" w:cs="宋体"/>
          <w:sz w:val="24"/>
          <w:highlight w:val="none"/>
        </w:rPr>
        <w:t>年7×24免费设备保修和售后现场技术服务，</w:t>
      </w:r>
      <w:r>
        <w:rPr>
          <w:rFonts w:hint="eastAsia" w:ascii="宋体" w:hAnsi="宋体" w:cs="宋体"/>
          <w:sz w:val="24"/>
          <w:highlight w:val="none"/>
          <w:lang w:eastAsia="zh-CN"/>
        </w:rPr>
        <w:t>进行质保服务。</w:t>
      </w:r>
    </w:p>
    <w:p>
      <w:pPr>
        <w:spacing w:line="360" w:lineRule="auto"/>
        <w:rPr>
          <w:rFonts w:hint="eastAsia" w:ascii="宋体" w:hAnsi="宋体" w:eastAsia="宋体" w:cs="宋体"/>
          <w:sz w:val="24"/>
          <w:highlight w:val="none"/>
        </w:rPr>
      </w:pPr>
      <w:r>
        <w:rPr>
          <w:rFonts w:hint="default" w:ascii="宋体" w:hAnsi="宋体" w:cs="宋体"/>
          <w:b/>
          <w:sz w:val="24"/>
          <w:highlight w:val="none"/>
          <w:lang w:val="en-US"/>
        </w:rPr>
        <w:t>7</w:t>
      </w:r>
      <w:r>
        <w:rPr>
          <w:rFonts w:hint="eastAsia" w:ascii="宋体" w:hAnsi="宋体" w:eastAsia="宋体" w:cs="宋体"/>
          <w:b/>
          <w:sz w:val="24"/>
          <w:highlight w:val="none"/>
        </w:rPr>
        <w:t>．验收</w:t>
      </w:r>
    </w:p>
    <w:p>
      <w:pPr>
        <w:pStyle w:val="4"/>
        <w:keepNext/>
        <w:keepLines/>
        <w:pageBreakBefore w:val="0"/>
        <w:widowControl w:val="0"/>
        <w:kinsoku/>
        <w:wordWrap/>
        <w:overflowPunct/>
        <w:topLinePunct w:val="0"/>
        <w:autoSpaceDE/>
        <w:autoSpaceDN/>
        <w:bidi w:val="0"/>
        <w:adjustRightInd/>
        <w:snapToGrid/>
        <w:ind w:left="0" w:firstLine="480" w:firstLineChars="200"/>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7.1货物交付前，乙方应对货物的质量、数量等方面进行详细、全面的检验，并向甲方出具证明货物符合合同约定的文件；货物交付时，甲方在</w:t>
      </w:r>
      <w:r>
        <w:rPr>
          <w:rFonts w:hint="eastAsia" w:ascii="宋体" w:hAnsi="宋体" w:eastAsia="宋体" w:cs="宋体"/>
          <w:b/>
          <w:bCs/>
          <w:kern w:val="2"/>
          <w:sz w:val="24"/>
          <w:szCs w:val="24"/>
          <w:highlight w:val="none"/>
          <w:u w:val="single"/>
          <w:lang w:val="en-US" w:eastAsia="zh-CN" w:bidi="ar-SA"/>
        </w:rPr>
        <w:t xml:space="preserve">   </w:t>
      </w:r>
      <w:r>
        <w:rPr>
          <w:rFonts w:hint="eastAsia" w:ascii="宋体" w:hAnsi="宋体" w:eastAsia="宋体" w:cs="宋体"/>
          <w:b/>
          <w:bCs/>
          <w:kern w:val="2"/>
          <w:sz w:val="24"/>
          <w:szCs w:val="24"/>
          <w:highlight w:val="none"/>
          <w:lang w:val="en-US" w:eastAsia="zh-CN" w:bidi="ar-SA"/>
        </w:rPr>
        <w:t>日</w:t>
      </w:r>
      <w:r>
        <w:rPr>
          <w:rFonts w:hint="eastAsia" w:ascii="宋体" w:hAnsi="宋体" w:eastAsia="宋体" w:cs="宋体"/>
          <w:b w:val="0"/>
          <w:bCs w:val="0"/>
          <w:kern w:val="2"/>
          <w:sz w:val="24"/>
          <w:szCs w:val="24"/>
          <w:highlight w:val="none"/>
          <w:lang w:val="en-US" w:eastAsia="zh-CN" w:bidi="ar-SA"/>
        </w:rPr>
        <w:t>内组织验收，并可依法邀请相关方参加，验收应出具验收书。</w:t>
      </w:r>
    </w:p>
    <w:p>
      <w:pPr>
        <w:pStyle w:val="4"/>
        <w:keepNext/>
        <w:keepLines/>
        <w:pageBreakBefore w:val="0"/>
        <w:widowControl w:val="0"/>
        <w:kinsoku/>
        <w:wordWrap/>
        <w:overflowPunct/>
        <w:topLinePunct w:val="0"/>
        <w:autoSpaceDE/>
        <w:autoSpaceDN/>
        <w:bidi w:val="0"/>
        <w:adjustRightInd/>
        <w:snapToGrid/>
        <w:ind w:left="0" w:firstLine="480" w:firstLineChars="200"/>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numPr>
          <w:ilvl w:val="0"/>
          <w:numId w:val="6"/>
        </w:numPr>
        <w:spacing w:line="360" w:lineRule="auto"/>
        <w:rPr>
          <w:rFonts w:hint="eastAsia" w:ascii="宋体" w:hAnsi="宋体" w:eastAsia="宋体" w:cs="宋体"/>
          <w:b/>
          <w:sz w:val="24"/>
          <w:highlight w:val="none"/>
        </w:rPr>
      </w:pPr>
      <w:r>
        <w:rPr>
          <w:rFonts w:hint="eastAsia" w:ascii="宋体" w:hAnsi="宋体" w:cs="宋体"/>
          <w:b/>
          <w:sz w:val="24"/>
          <w:highlight w:val="none"/>
          <w:lang w:eastAsia="zh-CN"/>
        </w:rPr>
        <w:t>项目</w:t>
      </w:r>
      <w:r>
        <w:rPr>
          <w:rFonts w:hint="eastAsia" w:ascii="宋体" w:hAnsi="宋体" w:eastAsia="宋体" w:cs="宋体"/>
          <w:b/>
          <w:sz w:val="24"/>
          <w:highlight w:val="none"/>
        </w:rPr>
        <w:t>价款及调整</w:t>
      </w:r>
    </w:p>
    <w:p>
      <w:pPr>
        <w:spacing w:line="360" w:lineRule="auto"/>
        <w:ind w:firstLine="480" w:firstLineChars="2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本</w:t>
      </w:r>
      <w:r>
        <w:rPr>
          <w:rFonts w:hint="eastAsia" w:ascii="宋体" w:hAnsi="宋体" w:cs="宋体"/>
          <w:kern w:val="0"/>
          <w:sz w:val="24"/>
          <w:highlight w:val="none"/>
          <w:lang w:val="zh-CN"/>
        </w:rPr>
        <w:t>次项目</w:t>
      </w:r>
      <w:r>
        <w:rPr>
          <w:rFonts w:hint="eastAsia" w:ascii="宋体" w:hAnsi="宋体" w:eastAsia="宋体" w:cs="宋体"/>
          <w:kern w:val="0"/>
          <w:sz w:val="24"/>
          <w:highlight w:val="none"/>
          <w:lang w:val="zh-CN"/>
        </w:rPr>
        <w:t>招标采取固定总价承包，未经甲方认可，不得以任何理由予以变更，除以下列明的价款调整和计算方法之外，所有费用包干，不予调整。乙方应按甲方提供的要求报价，缺项、漏项和设备选型偏离视作报价已包含在其它子项中，不予以调整。允许乙方对招标文件提供的技术方案在投标价格不增加且能扩大使用功能的前提下，可提出合理化建议或优化方案，做出其优越性、先进性等详细说明。</w:t>
      </w:r>
    </w:p>
    <w:p>
      <w:pPr>
        <w:spacing w:line="360" w:lineRule="auto"/>
        <w:rPr>
          <w:rFonts w:hint="eastAsia" w:ascii="宋体" w:hAnsi="宋体" w:eastAsia="宋体" w:cs="宋体"/>
          <w:b/>
          <w:sz w:val="24"/>
          <w:highlight w:val="none"/>
          <w:lang w:eastAsia="zh-CN"/>
        </w:rPr>
      </w:pPr>
      <w:r>
        <w:rPr>
          <w:rFonts w:hint="default" w:ascii="宋体" w:hAnsi="宋体" w:cs="宋体"/>
          <w:b/>
          <w:sz w:val="24"/>
          <w:highlight w:val="none"/>
          <w:lang w:val="en-US"/>
        </w:rPr>
        <w:t>9</w:t>
      </w:r>
      <w:r>
        <w:rPr>
          <w:rFonts w:hint="eastAsia" w:ascii="宋体" w:hAnsi="宋体" w:eastAsia="宋体" w:cs="宋体"/>
          <w:b/>
          <w:sz w:val="24"/>
          <w:highlight w:val="none"/>
        </w:rPr>
        <w:t>．</w:t>
      </w:r>
      <w:r>
        <w:rPr>
          <w:rFonts w:hint="eastAsia" w:ascii="宋体" w:hAnsi="宋体" w:cs="宋体"/>
          <w:b/>
          <w:sz w:val="24"/>
          <w:highlight w:val="none"/>
          <w:lang w:eastAsia="zh-CN"/>
        </w:rPr>
        <w:t>付款方式、比例</w:t>
      </w:r>
    </w:p>
    <w:p>
      <w:pPr>
        <w:pStyle w:val="958"/>
        <w:spacing w:before="0" w:beforeAutospacing="0" w:after="0" w:afterAutospacing="0" w:line="360" w:lineRule="auto"/>
        <w:ind w:firstLine="480"/>
        <w:rPr>
          <w:rFonts w:cs="Times New Roman"/>
          <w:color w:val="auto"/>
          <w:highlight w:val="none"/>
        </w:rPr>
      </w:pPr>
      <w:r>
        <w:rPr>
          <w:rFonts w:hint="eastAsia" w:cs="Times New Roman"/>
          <w:color w:val="auto"/>
          <w:highlight w:val="none"/>
          <w:lang w:val="en-US" w:eastAsia="zh-CN"/>
        </w:rPr>
        <w:t>9.</w:t>
      </w:r>
      <w:r>
        <w:rPr>
          <w:rFonts w:cs="Times New Roman"/>
          <w:color w:val="auto"/>
          <w:highlight w:val="none"/>
        </w:rPr>
        <w:t>1</w:t>
      </w:r>
      <w:r>
        <w:rPr>
          <w:rFonts w:hint="eastAsia" w:cs="Times New Roman"/>
          <w:color w:val="auto"/>
          <w:highlight w:val="none"/>
          <w:lang w:val="en-US" w:eastAsia="zh-CN"/>
        </w:rPr>
        <w:t xml:space="preserve"> </w:t>
      </w:r>
      <w:r>
        <w:rPr>
          <w:rFonts w:hint="eastAsia" w:cs="Times New Roman"/>
          <w:color w:val="auto"/>
          <w:highlight w:val="none"/>
        </w:rPr>
        <w:t>甲方应严格履行合同，及时组织验收，验收合格后及时将合同款支付完毕。对于满足合同约定支付条件的，甲方自收到发票后5</w:t>
      </w:r>
      <w:r>
        <w:rPr>
          <w:rFonts w:cs="Times New Roman"/>
          <w:color w:val="auto"/>
          <w:highlight w:val="none"/>
        </w:rPr>
        <w:t>个工作日内将资金支付到合同约定的乙方账户，有条件的甲方可以即时支付。甲方不得以机构变动、人员更替、政策调整、单位放假等为由延迟付款。</w:t>
      </w:r>
    </w:p>
    <w:p>
      <w:pPr>
        <w:spacing w:line="360" w:lineRule="auto"/>
        <w:ind w:firstLine="480" w:firstLineChars="200"/>
        <w:rPr>
          <w:rFonts w:ascii="宋体" w:hAnsi="宋体"/>
          <w:b/>
          <w:bCs/>
          <w:color w:val="auto"/>
          <w:sz w:val="24"/>
          <w:highlight w:val="none"/>
        </w:rPr>
      </w:pPr>
      <w:r>
        <w:rPr>
          <w:rFonts w:hint="eastAsia" w:ascii="宋体" w:hAnsi="宋体"/>
          <w:color w:val="auto"/>
          <w:sz w:val="24"/>
          <w:highlight w:val="none"/>
          <w:lang w:val="en-US" w:eastAsia="zh-CN"/>
        </w:rPr>
        <w:t>9.</w:t>
      </w:r>
      <w:r>
        <w:rPr>
          <w:rFonts w:ascii="宋体" w:hAnsi="宋体"/>
          <w:color w:val="auto"/>
          <w:sz w:val="24"/>
          <w:highlight w:val="none"/>
        </w:rPr>
        <w:t>2</w:t>
      </w:r>
      <w:r>
        <w:rPr>
          <w:rFonts w:hint="eastAsia" w:ascii="宋体" w:hAnsi="宋体"/>
          <w:color w:val="auto"/>
          <w:sz w:val="24"/>
          <w:highlight w:val="none"/>
        </w:rPr>
        <w:t>合同预付款比例为合同金额的</w:t>
      </w:r>
      <w:r>
        <w:rPr>
          <w:rFonts w:ascii="宋体" w:hAnsi="宋体"/>
          <w:color w:val="auto"/>
          <w:sz w:val="24"/>
          <w:highlight w:val="none"/>
        </w:rPr>
        <w:t>40％；项目分年安排预算的，每年预付款比例为项目年度计划支付资金额的40％；采购项目实施以人工投入为主的，预付款比例为合同金额的2</w:t>
      </w:r>
      <w:r>
        <w:rPr>
          <w:rFonts w:hint="eastAsia" w:ascii="宋体" w:hAnsi="宋体"/>
          <w:color w:val="auto"/>
          <w:sz w:val="24"/>
          <w:highlight w:val="none"/>
        </w:rPr>
        <w:t>5</w:t>
      </w:r>
      <w:r>
        <w:rPr>
          <w:rFonts w:ascii="宋体" w:hAnsi="宋体"/>
          <w:color w:val="auto"/>
          <w:sz w:val="24"/>
          <w:highlight w:val="none"/>
        </w:rPr>
        <w:t>%。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w:t>
      </w:r>
      <w:r>
        <w:rPr>
          <w:rFonts w:ascii="宋体" w:hAnsi="宋体"/>
          <w:b/>
          <w:bCs/>
          <w:color w:val="auto"/>
          <w:sz w:val="24"/>
          <w:highlight w:val="none"/>
        </w:rPr>
        <w:t>甲方根据项目特点、供应商诚信等因素，可以要求乙方提交银行、保险公司等金融机构出具的预付款保函或其他担保措施。政府采购预付款应在合同生效以及具备实施条件后</w:t>
      </w:r>
      <w:r>
        <w:rPr>
          <w:rFonts w:hint="eastAsia" w:ascii="宋体" w:hAnsi="宋体"/>
          <w:b/>
          <w:bCs/>
          <w:color w:val="auto"/>
          <w:sz w:val="24"/>
          <w:highlight w:val="none"/>
        </w:rPr>
        <w:t>5</w:t>
      </w:r>
      <w:r>
        <w:rPr>
          <w:rFonts w:ascii="宋体" w:hAnsi="宋体"/>
          <w:b/>
          <w:bCs/>
          <w:color w:val="auto"/>
          <w:sz w:val="24"/>
          <w:highlight w:val="none"/>
        </w:rPr>
        <w:t>个工作日内支付。</w:t>
      </w:r>
      <w:r>
        <w:rPr>
          <w:rFonts w:hint="eastAsia" w:ascii="宋体" w:hAnsi="宋体"/>
          <w:b/>
          <w:bCs/>
          <w:color w:val="auto"/>
          <w:sz w:val="24"/>
          <w:highlight w:val="none"/>
        </w:rPr>
        <w:t>政府采购工程以及与工程建设有关的货物、服务，采用招标方式采购的，预付款从其相关规定。乙方可登录政采云前台大厅选择金融服务</w:t>
      </w:r>
      <w:r>
        <w:rPr>
          <w:rFonts w:ascii="宋体" w:hAnsi="宋体"/>
          <w:b/>
          <w:bCs/>
          <w:color w:val="auto"/>
          <w:sz w:val="24"/>
          <w:highlight w:val="none"/>
        </w:rPr>
        <w:t xml:space="preserve"> - </w:t>
      </w:r>
      <w:r>
        <w:rPr>
          <w:rFonts w:hint="eastAsia" w:ascii="宋体" w:hAnsi="宋体"/>
          <w:b/>
          <w:bCs/>
          <w:color w:val="auto"/>
          <w:sz w:val="24"/>
          <w:highlight w:val="none"/>
        </w:rPr>
        <w:t>【保函保险服务】出具预付款保函，具体步骤：选择产品—填写供应商信息—选择中标项目—确认信息—等待保险</w:t>
      </w:r>
      <w:r>
        <w:rPr>
          <w:rFonts w:ascii="宋体" w:hAnsi="宋体"/>
          <w:b/>
          <w:bCs/>
          <w:color w:val="auto"/>
          <w:sz w:val="24"/>
          <w:highlight w:val="none"/>
        </w:rPr>
        <w:t>/保函受理—确认保单—支付保费—成功出单。政</w:t>
      </w:r>
      <w:r>
        <w:rPr>
          <w:rFonts w:hint="eastAsia" w:ascii="宋体" w:hAnsi="宋体"/>
          <w:b/>
          <w:bCs/>
          <w:color w:val="auto"/>
          <w:sz w:val="24"/>
          <w:highlight w:val="none"/>
        </w:rPr>
        <w:t>采云金融专线</w:t>
      </w:r>
      <w:r>
        <w:rPr>
          <w:rFonts w:ascii="宋体" w:hAnsi="宋体"/>
          <w:b/>
          <w:bCs/>
          <w:color w:val="auto"/>
          <w:sz w:val="24"/>
          <w:highlight w:val="none"/>
        </w:rPr>
        <w:t>400-903-9583。</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9.3</w:t>
      </w:r>
      <w:r>
        <w:rPr>
          <w:rFonts w:hint="eastAsia" w:ascii="宋体" w:hAnsi="宋体"/>
          <w:color w:val="auto"/>
          <w:sz w:val="24"/>
          <w:highlight w:val="none"/>
        </w:rPr>
        <w:t>甲方迟延支付乙方款项的，向乙方支付逾期利息。双方可约定逾期利率，约定利率不得低于合同订立时</w:t>
      </w:r>
      <w:r>
        <w:rPr>
          <w:rFonts w:ascii="宋体" w:hAnsi="宋体"/>
          <w:color w:val="auto"/>
          <w:sz w:val="24"/>
          <w:highlight w:val="none"/>
        </w:rPr>
        <w:t>1年</w:t>
      </w:r>
      <w:r>
        <w:rPr>
          <w:rFonts w:hint="eastAsia" w:ascii="宋体" w:hAnsi="宋体"/>
          <w:color w:val="auto"/>
          <w:sz w:val="24"/>
          <w:highlight w:val="none"/>
        </w:rPr>
        <w:t>期贷款市场报价利率；未作约定的，按照每日利率万分之五支付逾期利息。</w:t>
      </w:r>
    </w:p>
    <w:p>
      <w:pPr>
        <w:pStyle w:val="129"/>
        <w:spacing w:before="0" w:line="360" w:lineRule="auto"/>
        <w:ind w:firstLine="482" w:firstLineChars="200"/>
        <w:rPr>
          <w:rFonts w:hint="default" w:ascii="宋体" w:hAnsi="宋体" w:eastAsia="宋体" w:cs="宋体"/>
          <w:b/>
          <w:color w:val="000000"/>
          <w:sz w:val="24"/>
          <w:szCs w:val="24"/>
          <w:highlight w:val="none"/>
          <w:lang w:val="en-US"/>
        </w:rPr>
      </w:pPr>
      <w:r>
        <w:rPr>
          <w:rFonts w:hint="eastAsia" w:ascii="宋体" w:hAnsi="宋体" w:cs="宋体"/>
          <w:b/>
          <w:color w:val="000000"/>
          <w:sz w:val="24"/>
          <w:szCs w:val="24"/>
          <w:highlight w:val="none"/>
          <w:lang w:val="en-US" w:eastAsia="zh-CN"/>
        </w:rPr>
        <w:t>9.4.付款比例、时间</w:t>
      </w:r>
    </w:p>
    <w:p>
      <w:pPr>
        <w:autoSpaceDE w:val="0"/>
        <w:autoSpaceDN w:val="0"/>
        <w:adjustRightInd w:val="0"/>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lang w:val="zh-CN"/>
        </w:rPr>
        <w:t>本次项目合同总价为人民币</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元），采用(分期付款)方式</w:t>
      </w:r>
      <w:r>
        <w:rPr>
          <w:rFonts w:hint="eastAsia" w:ascii="宋体" w:hAnsi="宋体" w:eastAsia="宋体" w:cs="宋体"/>
          <w:kern w:val="0"/>
          <w:sz w:val="24"/>
          <w:highlight w:val="none"/>
        </w:rPr>
        <w:t>：</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0"/>
        <w:gridCol w:w="1382"/>
        <w:gridCol w:w="1785"/>
        <w:gridCol w:w="1785"/>
        <w:gridCol w:w="3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付款期数</w:t>
            </w:r>
          </w:p>
        </w:tc>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付款比例</w:t>
            </w:r>
            <w:r>
              <w:rPr>
                <w:rFonts w:hint="eastAsia" w:ascii="宋体" w:hAnsi="宋体" w:cs="宋体"/>
                <w:kern w:val="0"/>
                <w:sz w:val="24"/>
                <w:szCs w:val="24"/>
                <w:highlight w:val="none"/>
                <w:lang w:val="zh-CN"/>
              </w:rPr>
              <w:t>（</w:t>
            </w:r>
            <w:r>
              <w:rPr>
                <w:rFonts w:hint="default" w:ascii="宋体" w:hAnsi="宋体" w:cs="宋体"/>
                <w:kern w:val="0"/>
                <w:sz w:val="24"/>
                <w:szCs w:val="24"/>
                <w:highlight w:val="none"/>
                <w:lang w:val="en-US"/>
              </w:rPr>
              <w:t>%</w:t>
            </w:r>
            <w:r>
              <w:rPr>
                <w:rFonts w:hint="eastAsia" w:ascii="宋体" w:hAnsi="宋体" w:cs="宋体"/>
                <w:kern w:val="0"/>
                <w:sz w:val="24"/>
                <w:szCs w:val="24"/>
                <w:highlight w:val="none"/>
                <w:lang w:val="zh-CN"/>
              </w:rPr>
              <w:t>）</w:t>
            </w:r>
          </w:p>
        </w:tc>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付款大写金额（元）</w:t>
            </w:r>
          </w:p>
        </w:tc>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付款小写金额（元）</w:t>
            </w:r>
          </w:p>
        </w:tc>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付款时间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第一期</w:t>
            </w:r>
          </w:p>
          <w:p>
            <w:pPr>
              <w:autoSpaceDE w:val="0"/>
              <w:autoSpaceDN w:val="0"/>
              <w:adjustRightInd w:val="0"/>
              <w:spacing w:line="360" w:lineRule="auto"/>
              <w:jc w:val="center"/>
              <w:rPr>
                <w:rFonts w:hint="eastAsia" w:ascii="宋体" w:hAnsi="宋体" w:eastAsia="宋体" w:cs="宋体"/>
                <w:kern w:val="0"/>
                <w:sz w:val="24"/>
                <w:szCs w:val="24"/>
                <w:highlight w:val="none"/>
                <w:lang w:val="zh-CN"/>
              </w:rPr>
            </w:pPr>
            <w:r>
              <w:rPr>
                <w:rFonts w:hint="eastAsia" w:ascii="宋体" w:hAnsi="宋体" w:cs="宋体"/>
                <w:kern w:val="0"/>
                <w:sz w:val="24"/>
                <w:szCs w:val="24"/>
                <w:highlight w:val="none"/>
                <w:lang w:val="zh-CN"/>
              </w:rPr>
              <w:t>（</w:t>
            </w:r>
            <w:r>
              <w:rPr>
                <w:rFonts w:hint="eastAsia" w:ascii="宋体" w:hAnsi="宋体" w:cs="宋体"/>
                <w:kern w:val="0"/>
                <w:sz w:val="24"/>
                <w:szCs w:val="24"/>
                <w:highlight w:val="none"/>
                <w:lang w:val="en-US" w:eastAsia="zh-CN"/>
              </w:rPr>
              <w:t>预付款</w:t>
            </w:r>
            <w:r>
              <w:rPr>
                <w:rFonts w:hint="eastAsia" w:ascii="宋体" w:hAnsi="宋体" w:cs="宋体"/>
                <w:kern w:val="0"/>
                <w:sz w:val="24"/>
                <w:szCs w:val="24"/>
                <w:highlight w:val="none"/>
                <w:lang w:val="zh-CN"/>
              </w:rPr>
              <w:t>）</w:t>
            </w:r>
          </w:p>
        </w:tc>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en-US"/>
              </w:rPr>
            </w:pPr>
            <w:r>
              <w:rPr>
                <w:rFonts w:hint="eastAsia" w:ascii="宋体" w:hAnsi="宋体" w:eastAsia="宋体" w:cs="宋体"/>
                <w:kern w:val="0"/>
                <w:sz w:val="24"/>
                <w:szCs w:val="24"/>
                <w:highlight w:val="none"/>
                <w:lang w:val="en-US"/>
              </w:rPr>
              <w:t>40</w:t>
            </w:r>
          </w:p>
        </w:tc>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p>
        </w:tc>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p>
        </w:tc>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en-US"/>
              </w:rPr>
            </w:pPr>
            <w:r>
              <w:rPr>
                <w:rFonts w:hint="eastAsia" w:ascii="宋体" w:hAnsi="宋体" w:eastAsia="宋体" w:cs="宋体"/>
                <w:b w:val="0"/>
                <w:bCs w:val="0"/>
                <w:i w:val="0"/>
                <w:iCs w:val="0"/>
                <w:color w:val="auto"/>
                <w:kern w:val="2"/>
                <w:sz w:val="24"/>
                <w:szCs w:val="24"/>
                <w:highlight w:val="none"/>
                <w:lang w:val="en-US" w:eastAsia="zh-CN" w:bidi="ar"/>
              </w:rPr>
              <w:t>合同生效以及具备实施条件后</w:t>
            </w:r>
            <w:r>
              <w:rPr>
                <w:rFonts w:hint="eastAsia" w:ascii="宋体" w:hAnsi="宋体" w:cs="宋体"/>
                <w:b w:val="0"/>
                <w:bCs w:val="0"/>
                <w:i w:val="0"/>
                <w:iCs w:val="0"/>
                <w:color w:val="auto"/>
                <w:kern w:val="2"/>
                <w:sz w:val="24"/>
                <w:szCs w:val="24"/>
                <w:highlight w:val="none"/>
                <w:lang w:val="en-US" w:eastAsia="zh-CN" w:bidi="ar"/>
              </w:rPr>
              <w:t>7</w:t>
            </w:r>
            <w:r>
              <w:rPr>
                <w:rFonts w:hint="eastAsia" w:ascii="宋体" w:hAnsi="宋体" w:eastAsia="宋体" w:cs="宋体"/>
                <w:b w:val="0"/>
                <w:bCs w:val="0"/>
                <w:i w:val="0"/>
                <w:iCs w:val="0"/>
                <w:color w:val="auto"/>
                <w:kern w:val="2"/>
                <w:sz w:val="24"/>
                <w:szCs w:val="24"/>
                <w:highlight w:val="none"/>
                <w:lang w:val="en-US" w:eastAsia="zh-CN" w:bidi="ar"/>
              </w:rPr>
              <w:t>个工作日内支付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r>
              <w:rPr>
                <w:rFonts w:hint="eastAsia" w:ascii="宋体" w:hAnsi="宋体" w:cs="宋体"/>
                <w:kern w:val="0"/>
                <w:sz w:val="24"/>
                <w:szCs w:val="24"/>
                <w:highlight w:val="none"/>
                <w:lang w:val="en-US" w:eastAsia="zh-CN"/>
              </w:rPr>
              <w:t>第二期</w:t>
            </w:r>
          </w:p>
        </w:tc>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en-US"/>
              </w:rPr>
            </w:pPr>
            <w:r>
              <w:rPr>
                <w:rFonts w:hint="eastAsia" w:ascii="宋体" w:hAnsi="宋体" w:cs="宋体"/>
                <w:kern w:val="0"/>
                <w:sz w:val="24"/>
                <w:szCs w:val="24"/>
                <w:highlight w:val="none"/>
                <w:lang w:val="en-US" w:eastAsia="zh-CN"/>
              </w:rPr>
              <w:t>40</w:t>
            </w:r>
          </w:p>
        </w:tc>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p>
        </w:tc>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p>
        </w:tc>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r>
              <w:rPr>
                <w:rFonts w:hint="eastAsia" w:ascii="宋体" w:hAnsi="宋体" w:cs="宋体"/>
                <w:kern w:val="0"/>
                <w:sz w:val="24"/>
                <w:szCs w:val="24"/>
                <w:highlight w:val="none"/>
                <w:lang w:val="en-US" w:eastAsia="zh-CN"/>
              </w:rPr>
              <w:t>到货初验合格后15个工作日内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第</w:t>
            </w:r>
            <w:r>
              <w:rPr>
                <w:rFonts w:hint="eastAsia" w:ascii="宋体" w:hAnsi="宋体" w:cs="宋体"/>
                <w:kern w:val="0"/>
                <w:sz w:val="24"/>
                <w:szCs w:val="24"/>
                <w:highlight w:val="none"/>
                <w:lang w:val="en-US" w:eastAsia="zh-CN"/>
              </w:rPr>
              <w:t>三</w:t>
            </w:r>
            <w:r>
              <w:rPr>
                <w:rFonts w:hint="eastAsia" w:ascii="宋体" w:hAnsi="宋体" w:eastAsia="宋体" w:cs="宋体"/>
                <w:kern w:val="0"/>
                <w:sz w:val="24"/>
                <w:szCs w:val="24"/>
                <w:highlight w:val="none"/>
                <w:lang w:val="zh-CN"/>
              </w:rPr>
              <w:t>期</w:t>
            </w:r>
          </w:p>
        </w:tc>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en-US"/>
              </w:rPr>
            </w:pPr>
            <w:r>
              <w:rPr>
                <w:rFonts w:hint="eastAsia" w:ascii="宋体" w:hAnsi="宋体" w:cs="宋体"/>
                <w:kern w:val="0"/>
                <w:sz w:val="24"/>
                <w:szCs w:val="24"/>
                <w:highlight w:val="none"/>
                <w:lang w:val="en-US" w:eastAsia="zh-CN"/>
              </w:rPr>
              <w:t>20</w:t>
            </w:r>
          </w:p>
        </w:tc>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p>
        </w:tc>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p>
        </w:tc>
        <w:tc>
          <w:tcPr>
            <w:tcW w:w="0" w:type="auto"/>
            <w:noWrap w:val="0"/>
            <w:vAlign w:val="center"/>
          </w:tcPr>
          <w:p>
            <w:pPr>
              <w:autoSpaceDE w:val="0"/>
              <w:autoSpaceDN w:val="0"/>
              <w:adjustRightInd w:val="0"/>
              <w:spacing w:line="360" w:lineRule="auto"/>
              <w:jc w:val="center"/>
              <w:rPr>
                <w:rFonts w:hint="eastAsia" w:ascii="宋体" w:hAnsi="宋体" w:eastAsia="宋体" w:cs="宋体"/>
                <w:b w:val="0"/>
                <w:bCs w:val="0"/>
                <w:i w:val="0"/>
                <w:iCs w:val="0"/>
                <w:color w:val="auto"/>
                <w:kern w:val="2"/>
                <w:sz w:val="24"/>
                <w:szCs w:val="24"/>
                <w:highlight w:val="none"/>
                <w:lang w:val="en-US" w:eastAsia="zh-CN" w:bidi="ar"/>
              </w:rPr>
            </w:pPr>
            <w:r>
              <w:rPr>
                <w:rFonts w:hint="eastAsia" w:ascii="宋体" w:hAnsi="宋体" w:cs="宋体"/>
                <w:kern w:val="0"/>
                <w:sz w:val="24"/>
                <w:szCs w:val="24"/>
                <w:highlight w:val="none"/>
                <w:lang w:val="en-US" w:eastAsia="zh-CN"/>
              </w:rPr>
              <w:t>终验合格后15个工作日内</w:t>
            </w:r>
          </w:p>
        </w:tc>
      </w:tr>
    </w:tbl>
    <w:p>
      <w:pPr>
        <w:pStyle w:val="33"/>
        <w:spacing w:line="360" w:lineRule="auto"/>
        <w:rPr>
          <w:rFonts w:hint="eastAsia" w:ascii="宋体" w:hAnsi="宋体" w:eastAsia="宋体" w:cs="宋体"/>
          <w:b/>
          <w:sz w:val="24"/>
          <w:highlight w:val="none"/>
          <w:lang w:val="zh-CN"/>
        </w:rPr>
      </w:pPr>
      <w:r>
        <w:rPr>
          <w:rFonts w:hint="default" w:hAnsi="宋体" w:cs="宋体"/>
          <w:b/>
          <w:sz w:val="24"/>
          <w:highlight w:val="none"/>
          <w:lang w:val="en-US"/>
        </w:rPr>
        <w:t>10</w:t>
      </w:r>
      <w:r>
        <w:rPr>
          <w:rFonts w:hint="eastAsia" w:ascii="宋体" w:hAnsi="宋体" w:eastAsia="宋体" w:cs="宋体"/>
          <w:sz w:val="24"/>
          <w:highlight w:val="none"/>
        </w:rPr>
        <w:t xml:space="preserve">. </w:t>
      </w:r>
      <w:r>
        <w:rPr>
          <w:rFonts w:hint="eastAsia" w:ascii="宋体" w:hAnsi="宋体" w:eastAsia="宋体" w:cs="宋体"/>
          <w:b/>
          <w:sz w:val="24"/>
          <w:highlight w:val="none"/>
          <w:lang w:val="zh-CN"/>
        </w:rPr>
        <w:t>履约保证金缴纳及退付</w:t>
      </w:r>
    </w:p>
    <w:p>
      <w:pPr>
        <w:pStyle w:val="129"/>
        <w:adjustRightInd w:val="0"/>
        <w:snapToGrid w:val="0"/>
        <w:spacing w:before="0" w:line="360" w:lineRule="auto"/>
        <w:ind w:firstLine="480"/>
        <w:rPr>
          <w:rFonts w:hint="eastAsia" w:ascii="宋体" w:hAnsi="宋体" w:eastAsia="宋体" w:cs="宋体"/>
          <w:highlight w:val="none"/>
        </w:rPr>
      </w:pPr>
      <w:r>
        <w:rPr>
          <w:rFonts w:hint="default" w:ascii="宋体" w:hAnsi="宋体" w:cs="宋体"/>
          <w:kern w:val="0"/>
          <w:highlight w:val="none"/>
          <w:lang w:val="en-US"/>
        </w:rPr>
        <w:t>10</w:t>
      </w:r>
      <w:r>
        <w:rPr>
          <w:rFonts w:hint="eastAsia" w:ascii="宋体" w:hAnsi="宋体" w:eastAsia="宋体" w:cs="宋体"/>
          <w:kern w:val="0"/>
          <w:highlight w:val="none"/>
          <w:lang w:val="zh-CN"/>
        </w:rPr>
        <w:t>.1 签订合同后</w:t>
      </w:r>
      <w:r>
        <w:rPr>
          <w:rFonts w:hint="default" w:ascii="宋体" w:hAnsi="宋体" w:cs="宋体"/>
          <w:kern w:val="0"/>
          <w:highlight w:val="none"/>
          <w:lang w:val="en-US"/>
        </w:rPr>
        <w:t>5</w:t>
      </w:r>
      <w:r>
        <w:rPr>
          <w:rFonts w:hint="eastAsia" w:ascii="宋体" w:hAnsi="宋体" w:eastAsia="宋体" w:cs="宋体"/>
          <w:kern w:val="0"/>
          <w:highlight w:val="none"/>
          <w:lang w:val="zh-CN"/>
        </w:rPr>
        <w:t>个工作日内，中标人</w:t>
      </w:r>
      <w:r>
        <w:rPr>
          <w:rFonts w:hint="eastAsia" w:ascii="宋体" w:hAnsi="宋体" w:cs="宋体"/>
          <w:kern w:val="0"/>
          <w:highlight w:val="none"/>
          <w:lang w:val="zh-CN"/>
        </w:rPr>
        <w:t>（乙方）</w:t>
      </w:r>
      <w:r>
        <w:rPr>
          <w:rFonts w:hint="eastAsia" w:ascii="宋体" w:hAnsi="宋体" w:eastAsia="宋体" w:cs="宋体"/>
          <w:kern w:val="0"/>
          <w:highlight w:val="none"/>
          <w:lang w:val="zh-CN"/>
        </w:rPr>
        <w:t>须向采购人</w:t>
      </w:r>
      <w:r>
        <w:rPr>
          <w:rFonts w:hint="eastAsia" w:ascii="宋体" w:hAnsi="宋体" w:cs="宋体"/>
          <w:kern w:val="0"/>
          <w:highlight w:val="none"/>
          <w:lang w:val="zh-CN"/>
        </w:rPr>
        <w:t>（甲方）</w:t>
      </w:r>
      <w:r>
        <w:rPr>
          <w:rFonts w:hint="eastAsia" w:ascii="宋体" w:hAnsi="宋体" w:eastAsia="宋体" w:cs="宋体"/>
          <w:kern w:val="0"/>
          <w:highlight w:val="none"/>
          <w:lang w:val="zh-CN"/>
        </w:rPr>
        <w:t>缴纳政府采购合同总额</w:t>
      </w:r>
      <w:r>
        <w:rPr>
          <w:rFonts w:hint="eastAsia" w:ascii="宋体" w:hAnsi="宋体" w:cs="宋体"/>
          <w:kern w:val="0"/>
          <w:highlight w:val="none"/>
          <w:lang w:val="en-US" w:eastAsia="zh-CN"/>
        </w:rPr>
        <w:t>1</w:t>
      </w:r>
      <w:r>
        <w:rPr>
          <w:rFonts w:hint="eastAsia" w:ascii="宋体" w:hAnsi="宋体" w:eastAsia="宋体" w:cs="宋体"/>
          <w:kern w:val="0"/>
          <w:highlight w:val="none"/>
          <w:lang w:val="zh-CN"/>
        </w:rPr>
        <w:t>％的履约保证金，缴纳金额:</w:t>
      </w:r>
      <w:r>
        <w:rPr>
          <w:rFonts w:hint="eastAsia" w:ascii="宋体" w:hAnsi="宋体" w:eastAsia="宋体" w:cs="宋体"/>
          <w:kern w:val="0"/>
          <w:highlight w:val="none"/>
          <w:u w:val="single"/>
          <w:lang w:val="zh-CN"/>
        </w:rPr>
        <w:t xml:space="preserve">            </w:t>
      </w:r>
      <w:r>
        <w:rPr>
          <w:rFonts w:hint="eastAsia" w:ascii="宋体" w:hAnsi="宋体" w:eastAsia="宋体" w:cs="宋体"/>
          <w:kern w:val="0"/>
          <w:highlight w:val="none"/>
          <w:lang w:val="zh-CN"/>
        </w:rPr>
        <w:t>（￥</w:t>
      </w:r>
      <w:r>
        <w:rPr>
          <w:rFonts w:hint="eastAsia" w:ascii="宋体" w:hAnsi="宋体" w:eastAsia="宋体" w:cs="宋体"/>
          <w:kern w:val="0"/>
          <w:highlight w:val="none"/>
          <w:u w:val="single"/>
          <w:lang w:val="zh-CN"/>
        </w:rPr>
        <w:t xml:space="preserve">    </w:t>
      </w:r>
      <w:r>
        <w:rPr>
          <w:rFonts w:hint="eastAsia" w:ascii="宋体" w:hAnsi="宋体" w:eastAsia="宋体" w:cs="宋体"/>
          <w:kern w:val="0"/>
          <w:highlight w:val="none"/>
          <w:lang w:val="zh-CN"/>
        </w:rPr>
        <w:t>元）。</w:t>
      </w:r>
      <w:r>
        <w:rPr>
          <w:rFonts w:hint="eastAsia" w:ascii="宋体" w:hAnsi="宋体" w:eastAsia="宋体" w:cs="宋体"/>
          <w:highlight w:val="none"/>
        </w:rPr>
        <w:t>履约保证金在项目验收</w:t>
      </w:r>
      <w:r>
        <w:rPr>
          <w:rFonts w:hint="eastAsia" w:ascii="宋体" w:hAnsi="宋体" w:cs="宋体"/>
          <w:highlight w:val="none"/>
          <w:lang w:eastAsia="zh-CN"/>
        </w:rPr>
        <w:t>（终验）</w:t>
      </w:r>
      <w:r>
        <w:rPr>
          <w:rFonts w:hint="eastAsia" w:ascii="宋体" w:hAnsi="宋体" w:eastAsia="宋体" w:cs="宋体"/>
          <w:highlight w:val="none"/>
        </w:rPr>
        <w:t>合格后，若无质量和服务等问题，在5个工作日内采购人应将履约保证金原额（无息）归还中标人；</w:t>
      </w:r>
    </w:p>
    <w:p>
      <w:pPr>
        <w:pStyle w:val="129"/>
        <w:adjustRightInd w:val="0"/>
        <w:snapToGrid w:val="0"/>
        <w:spacing w:before="0" w:line="360" w:lineRule="auto"/>
        <w:ind w:firstLine="480"/>
        <w:rPr>
          <w:rFonts w:hint="eastAsia" w:ascii="宋体" w:hAnsi="宋体" w:eastAsia="宋体" w:cs="宋体"/>
          <w:kern w:val="0"/>
          <w:highlight w:val="none"/>
          <w:lang w:val="zh-CN"/>
        </w:rPr>
      </w:pPr>
      <w:r>
        <w:rPr>
          <w:rFonts w:hint="default" w:ascii="宋体" w:hAnsi="宋体" w:cs="宋体"/>
          <w:kern w:val="0"/>
          <w:highlight w:val="none"/>
          <w:lang w:val="en-US"/>
        </w:rPr>
        <w:t>10</w:t>
      </w:r>
      <w:r>
        <w:rPr>
          <w:rFonts w:hint="eastAsia" w:ascii="宋体" w:hAnsi="宋体" w:eastAsia="宋体" w:cs="宋体"/>
          <w:kern w:val="0"/>
          <w:highlight w:val="none"/>
          <w:lang w:val="zh-CN"/>
        </w:rPr>
        <w:t>.</w:t>
      </w:r>
      <w:r>
        <w:rPr>
          <w:rFonts w:hint="default" w:ascii="宋体" w:hAnsi="宋体" w:cs="宋体"/>
          <w:kern w:val="0"/>
          <w:highlight w:val="none"/>
          <w:lang w:val="en-US" w:eastAsia="zh-CN"/>
        </w:rPr>
        <w:t>2</w:t>
      </w:r>
      <w:r>
        <w:rPr>
          <w:rFonts w:hint="eastAsia" w:ascii="宋体" w:hAnsi="宋体" w:eastAsia="宋体" w:cs="宋体"/>
          <w:kern w:val="0"/>
          <w:highlight w:val="none"/>
          <w:lang w:val="zh-CN"/>
        </w:rPr>
        <w:t>履约保证金可以用支票、汇票、本票或者银行、保险公司出具的保函等非现金形式交纳。</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1</w:t>
      </w:r>
      <w:r>
        <w:rPr>
          <w:rFonts w:hint="default" w:ascii="宋体" w:hAnsi="宋体" w:cs="宋体"/>
          <w:b/>
          <w:sz w:val="24"/>
          <w:highlight w:val="none"/>
          <w:lang w:val="en-US"/>
        </w:rPr>
        <w:t>1</w:t>
      </w:r>
      <w:r>
        <w:rPr>
          <w:rFonts w:hint="eastAsia" w:ascii="宋体" w:hAnsi="宋体" w:eastAsia="宋体" w:cs="宋体"/>
          <w:b/>
          <w:sz w:val="24"/>
          <w:highlight w:val="none"/>
        </w:rPr>
        <w:t>．延期交付与核定损失额</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如果</w:t>
      </w:r>
      <w:r>
        <w:rPr>
          <w:rFonts w:hint="eastAsia" w:ascii="宋体" w:hAnsi="宋体" w:eastAsia="宋体" w:cs="宋体"/>
          <w:kern w:val="0"/>
          <w:sz w:val="24"/>
          <w:highlight w:val="none"/>
          <w:lang w:val="zh-CN"/>
        </w:rPr>
        <w:t>乙方</w:t>
      </w:r>
      <w:r>
        <w:rPr>
          <w:rFonts w:hint="eastAsia" w:ascii="宋体" w:hAnsi="宋体" w:eastAsia="宋体" w:cs="宋体"/>
          <w:sz w:val="24"/>
          <w:highlight w:val="none"/>
        </w:rPr>
        <w:t>在正常情况下未能按合同规定的时间按期交付使用或未能按合同规定履行其义务，</w:t>
      </w:r>
      <w:r>
        <w:rPr>
          <w:rFonts w:hint="eastAsia" w:ascii="宋体" w:hAnsi="宋体" w:eastAsia="宋体" w:cs="宋体"/>
          <w:kern w:val="0"/>
          <w:sz w:val="24"/>
          <w:highlight w:val="none"/>
          <w:lang w:val="zh-CN"/>
        </w:rPr>
        <w:t>乙方</w:t>
      </w:r>
      <w:r>
        <w:rPr>
          <w:rFonts w:hint="eastAsia" w:ascii="宋体" w:hAnsi="宋体" w:eastAsia="宋体" w:cs="宋体"/>
          <w:sz w:val="24"/>
          <w:highlight w:val="none"/>
        </w:rPr>
        <w:t>将承担相应后果，甲方有权从履约</w:t>
      </w:r>
      <w:r>
        <w:rPr>
          <w:rFonts w:hint="eastAsia" w:ascii="宋体" w:hAnsi="宋体" w:eastAsia="宋体" w:cs="宋体"/>
          <w:kern w:val="0"/>
          <w:sz w:val="24"/>
          <w:highlight w:val="none"/>
          <w:lang w:val="zh-CN"/>
        </w:rPr>
        <w:t>保证金中取得补偿。</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1</w:t>
      </w:r>
      <w:r>
        <w:rPr>
          <w:rFonts w:hint="default" w:ascii="宋体" w:hAnsi="宋体" w:cs="宋体"/>
          <w:b/>
          <w:sz w:val="24"/>
          <w:highlight w:val="none"/>
          <w:lang w:val="en-US"/>
        </w:rPr>
        <w:t>2</w:t>
      </w:r>
      <w:r>
        <w:rPr>
          <w:rFonts w:hint="eastAsia" w:ascii="宋体" w:hAnsi="宋体" w:eastAsia="宋体" w:cs="宋体"/>
          <w:b/>
          <w:sz w:val="24"/>
          <w:highlight w:val="none"/>
        </w:rPr>
        <w:t>．不可抗力</w:t>
      </w:r>
    </w:p>
    <w:p>
      <w:pPr>
        <w:autoSpaceDE w:val="0"/>
        <w:autoSpaceDN w:val="0"/>
        <w:adjustRightInd w:val="0"/>
        <w:spacing w:line="360" w:lineRule="auto"/>
        <w:ind w:firstLine="480" w:firstLineChars="200"/>
        <w:jc w:val="left"/>
        <w:rPr>
          <w:rFonts w:hint="eastAsia" w:ascii="宋体" w:hAnsi="宋体" w:eastAsia="宋体" w:cs="宋体"/>
          <w:b/>
          <w:bCs/>
          <w:kern w:val="0"/>
          <w:sz w:val="24"/>
          <w:highlight w:val="none"/>
          <w:lang w:val="zh-CN"/>
        </w:rPr>
      </w:pPr>
      <w:r>
        <w:rPr>
          <w:rFonts w:hint="eastAsia" w:ascii="宋体" w:hAnsi="宋体" w:eastAsia="宋体" w:cs="宋体"/>
          <w:sz w:val="24"/>
          <w:highlight w:val="none"/>
        </w:rPr>
        <w:t>签约双方任一方由于不可抗力事故的影响而不能执行合同时，履行合同的期限应予以延长。不可抗力事故系指甲乙双方在缔结合同时所不能预见的，并且它的发生及其后果无法避免和无法克服的事故。</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w:t>
      </w:r>
      <w:r>
        <w:rPr>
          <w:rFonts w:hint="default" w:ascii="宋体" w:hAnsi="宋体" w:cs="宋体"/>
          <w:b/>
          <w:kern w:val="0"/>
          <w:sz w:val="24"/>
          <w:highlight w:val="none"/>
          <w:lang w:val="en-US"/>
        </w:rPr>
        <w:t>3</w:t>
      </w:r>
      <w:r>
        <w:rPr>
          <w:rFonts w:hint="eastAsia" w:ascii="宋体" w:hAnsi="宋体" w:eastAsia="宋体" w:cs="宋体"/>
          <w:b/>
          <w:kern w:val="0"/>
          <w:sz w:val="24"/>
          <w:highlight w:val="none"/>
          <w:lang w:val="zh-CN"/>
        </w:rPr>
        <w:t>. 乙方的责任与义务</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3</w:t>
      </w:r>
      <w:r>
        <w:rPr>
          <w:rFonts w:hint="eastAsia" w:ascii="宋体" w:hAnsi="宋体" w:eastAsia="宋体" w:cs="宋体"/>
          <w:kern w:val="0"/>
          <w:sz w:val="24"/>
          <w:highlight w:val="none"/>
          <w:lang w:val="zh-CN"/>
        </w:rPr>
        <w:t>.1 根据投标文件的承诺向甲方委派</w:t>
      </w:r>
      <w:r>
        <w:rPr>
          <w:rFonts w:hint="eastAsia" w:ascii="宋体" w:hAnsi="宋体" w:eastAsia="宋体" w:cs="宋体"/>
          <w:sz w:val="24"/>
          <w:highlight w:val="none"/>
        </w:rPr>
        <w:t>项目负责人、技术负责人</w:t>
      </w:r>
      <w:r>
        <w:rPr>
          <w:rFonts w:hint="eastAsia" w:ascii="宋体" w:hAnsi="宋体" w:eastAsia="宋体" w:cs="宋体"/>
          <w:kern w:val="0"/>
          <w:sz w:val="24"/>
          <w:highlight w:val="none"/>
          <w:lang w:val="zh-CN"/>
        </w:rPr>
        <w:t>和专业技术人员。</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3</w:t>
      </w:r>
      <w:r>
        <w:rPr>
          <w:rFonts w:hint="eastAsia" w:ascii="宋体" w:hAnsi="宋体" w:eastAsia="宋体" w:cs="宋体"/>
          <w:kern w:val="0"/>
          <w:sz w:val="24"/>
          <w:highlight w:val="none"/>
          <w:lang w:val="zh-CN"/>
        </w:rPr>
        <w:t>.2 在履行本合同义务的期间，应运用合理的技能，认真、勤奋的工作。</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3</w:t>
      </w:r>
      <w:r>
        <w:rPr>
          <w:rFonts w:hint="eastAsia" w:ascii="宋体" w:hAnsi="宋体" w:eastAsia="宋体" w:cs="宋体"/>
          <w:kern w:val="0"/>
          <w:sz w:val="24"/>
          <w:highlight w:val="none"/>
          <w:lang w:val="zh-CN"/>
        </w:rPr>
        <w:t>.3 在本合同期内或合同终止后，未征得有关方同意，不得泄漏与本项目、本合同有关的技术、资料等，不得以任何形式侵害甲方的知识产权。</w:t>
      </w:r>
    </w:p>
    <w:p>
      <w:pPr>
        <w:autoSpaceDE w:val="0"/>
        <w:autoSpaceDN w:val="0"/>
        <w:adjustRightInd w:val="0"/>
        <w:spacing w:line="360" w:lineRule="auto"/>
        <w:ind w:firstLine="480"/>
        <w:rPr>
          <w:rFonts w:hint="eastAsia" w:ascii="宋体" w:hAnsi="宋体" w:eastAsia="宋体" w:cs="宋体"/>
          <w:sz w:val="24"/>
          <w:highlight w:val="none"/>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3</w:t>
      </w:r>
      <w:r>
        <w:rPr>
          <w:rFonts w:hint="eastAsia" w:ascii="宋体" w:hAnsi="宋体" w:eastAsia="宋体" w:cs="宋体"/>
          <w:kern w:val="0"/>
          <w:sz w:val="24"/>
          <w:highlight w:val="none"/>
          <w:lang w:val="zh-CN"/>
        </w:rPr>
        <w:t xml:space="preserve">.4 </w:t>
      </w:r>
      <w:r>
        <w:rPr>
          <w:rFonts w:hint="eastAsia" w:ascii="宋体" w:hAnsi="宋体" w:eastAsia="宋体" w:cs="宋体"/>
          <w:sz w:val="24"/>
          <w:highlight w:val="none"/>
        </w:rPr>
        <w:t>负责本系统项目建设及整体联动，负责处理好与其他项目实施单位的协调。</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3</w:t>
      </w:r>
      <w:r>
        <w:rPr>
          <w:rFonts w:hint="eastAsia" w:ascii="宋体" w:hAnsi="宋体" w:eastAsia="宋体" w:cs="宋体"/>
          <w:kern w:val="0"/>
          <w:sz w:val="24"/>
          <w:highlight w:val="none"/>
          <w:lang w:val="zh-CN"/>
        </w:rPr>
        <w:t>.5 项目建设有关事项包括：项目规划、设计标准、规范和使用功能要求，向甲方的建议权；</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3</w:t>
      </w:r>
      <w:r>
        <w:rPr>
          <w:rFonts w:hint="eastAsia" w:ascii="宋体" w:hAnsi="宋体" w:eastAsia="宋体" w:cs="宋体"/>
          <w:kern w:val="0"/>
          <w:sz w:val="24"/>
          <w:highlight w:val="none"/>
          <w:lang w:val="zh-CN"/>
        </w:rPr>
        <w:t>.6 项目设计中的技术问题，按照安全和优化的原则，提出建议，并向甲方提出书面报告。如果由于拟提出的建议会提高项目造价，或延长工期，应当事先取的甲方的同意；</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3</w:t>
      </w:r>
      <w:r>
        <w:rPr>
          <w:rFonts w:hint="eastAsia" w:ascii="宋体" w:hAnsi="宋体" w:eastAsia="宋体" w:cs="宋体"/>
          <w:kern w:val="0"/>
          <w:sz w:val="24"/>
          <w:highlight w:val="none"/>
          <w:lang w:val="zh-CN"/>
        </w:rPr>
        <w:t>.7 项目实施组织设计和技术方案，按照保质量、保工期和降低成本的原则，向甲方提出书面报告。如果由于拟提出的建议会提高项目造价，或延长工期，应当事先取得甲方的同意。</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w:t>
      </w:r>
      <w:r>
        <w:rPr>
          <w:rFonts w:hint="default" w:ascii="宋体" w:hAnsi="宋体" w:cs="宋体"/>
          <w:b/>
          <w:kern w:val="0"/>
          <w:sz w:val="24"/>
          <w:highlight w:val="none"/>
          <w:lang w:val="en-US"/>
        </w:rPr>
        <w:t>4</w:t>
      </w:r>
      <w:r>
        <w:rPr>
          <w:rFonts w:hint="eastAsia" w:ascii="宋体" w:hAnsi="宋体" w:eastAsia="宋体" w:cs="宋体"/>
          <w:b/>
          <w:kern w:val="0"/>
          <w:sz w:val="24"/>
          <w:highlight w:val="none"/>
          <w:lang w:val="zh-CN"/>
        </w:rPr>
        <w:t>. 甲方的责任与义务</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4</w:t>
      </w:r>
      <w:r>
        <w:rPr>
          <w:rFonts w:hint="eastAsia" w:ascii="宋体" w:hAnsi="宋体" w:eastAsia="宋体" w:cs="宋体"/>
          <w:kern w:val="0"/>
          <w:sz w:val="24"/>
          <w:highlight w:val="none"/>
          <w:lang w:val="zh-CN"/>
        </w:rPr>
        <w:t>.1甲方应当主要负责项目建设的所有外部关系的联系与协调，为乙方工作提供良好的外部条件。</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4</w:t>
      </w:r>
      <w:r>
        <w:rPr>
          <w:rFonts w:hint="eastAsia" w:ascii="宋体" w:hAnsi="宋体" w:eastAsia="宋体" w:cs="宋体"/>
          <w:kern w:val="0"/>
          <w:sz w:val="24"/>
          <w:highlight w:val="none"/>
          <w:lang w:val="zh-CN"/>
        </w:rPr>
        <w:t>.2 甲方应当按合同条款双方约定的内容和时间，向乙方提供与项目建设有关的项目等资料。</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4</w:t>
      </w:r>
      <w:r>
        <w:rPr>
          <w:rFonts w:hint="eastAsia" w:ascii="宋体" w:hAnsi="宋体" w:eastAsia="宋体" w:cs="宋体"/>
          <w:kern w:val="0"/>
          <w:sz w:val="24"/>
          <w:highlight w:val="none"/>
          <w:lang w:val="zh-CN"/>
        </w:rPr>
        <w:t>.3 甲方应当按合同条款约定的时间就乙方书面提交并要求做出决定的一切事宜做出书面决定。逾期应视为甲方同意。</w:t>
      </w:r>
    </w:p>
    <w:p>
      <w:pPr>
        <w:autoSpaceDE w:val="0"/>
        <w:autoSpaceDN w:val="0"/>
        <w:adjustRightInd w:val="0"/>
        <w:spacing w:line="360" w:lineRule="auto"/>
        <w:ind w:firstLine="48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4</w:t>
      </w:r>
      <w:r>
        <w:rPr>
          <w:rFonts w:hint="eastAsia" w:ascii="宋体" w:hAnsi="宋体" w:eastAsia="宋体" w:cs="宋体"/>
          <w:kern w:val="0"/>
          <w:sz w:val="24"/>
          <w:highlight w:val="none"/>
          <w:lang w:val="zh-CN"/>
        </w:rPr>
        <w:t>.4 甲方应授权一名熟悉本项目情况、能迅速做出决定的项目代表，负责与乙方联系。更换代表，要提前通知乙方。</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4</w:t>
      </w:r>
      <w:r>
        <w:rPr>
          <w:rFonts w:hint="eastAsia" w:ascii="宋体" w:hAnsi="宋体" w:eastAsia="宋体" w:cs="宋体"/>
          <w:kern w:val="0"/>
          <w:sz w:val="24"/>
          <w:highlight w:val="none"/>
          <w:lang w:val="zh-CN"/>
        </w:rPr>
        <w:t>.5 甲方有与乙方订立补充合同的签订权。</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4</w:t>
      </w:r>
      <w:r>
        <w:rPr>
          <w:rFonts w:hint="eastAsia" w:ascii="宋体" w:hAnsi="宋体" w:eastAsia="宋体" w:cs="宋体"/>
          <w:kern w:val="0"/>
          <w:sz w:val="24"/>
          <w:highlight w:val="none"/>
          <w:lang w:val="zh-CN"/>
        </w:rPr>
        <w:t>.6 甲方有对项目规模、设计标准、规范和设计使用功能要求的认定权，以及对项目建设、设计变更的审批权。</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4</w:t>
      </w:r>
      <w:r>
        <w:rPr>
          <w:rFonts w:hint="eastAsia" w:ascii="宋体" w:hAnsi="宋体" w:eastAsia="宋体" w:cs="宋体"/>
          <w:kern w:val="0"/>
          <w:sz w:val="24"/>
          <w:highlight w:val="none"/>
          <w:lang w:val="zh-CN"/>
        </w:rPr>
        <w:t>.7 甲方有权要求乙方提交工作月度报告及专项报告等。</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w:t>
      </w:r>
      <w:r>
        <w:rPr>
          <w:rFonts w:hint="default" w:ascii="宋体" w:hAnsi="宋体" w:cs="宋体"/>
          <w:b/>
          <w:kern w:val="0"/>
          <w:sz w:val="24"/>
          <w:highlight w:val="none"/>
          <w:lang w:val="en-US"/>
        </w:rPr>
        <w:t>5</w:t>
      </w:r>
      <w:r>
        <w:rPr>
          <w:rFonts w:hint="eastAsia" w:ascii="宋体" w:hAnsi="宋体" w:eastAsia="宋体" w:cs="宋体"/>
          <w:b/>
          <w:kern w:val="0"/>
          <w:sz w:val="24"/>
          <w:highlight w:val="none"/>
          <w:lang w:val="zh-CN"/>
        </w:rPr>
        <w:t xml:space="preserve">.安全施工 </w:t>
      </w:r>
    </w:p>
    <w:p>
      <w:pPr>
        <w:adjustRightInd w:val="0"/>
        <w:snapToGrid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遵</w:t>
      </w:r>
      <w:r>
        <w:rPr>
          <w:rFonts w:hint="eastAsia" w:ascii="宋体" w:hAnsi="宋体" w:eastAsia="宋体" w:cs="宋体"/>
          <w:kern w:val="0"/>
          <w:sz w:val="24"/>
          <w:highlight w:val="none"/>
          <w:lang w:val="zh-CN"/>
        </w:rPr>
        <w:t>守国家《安全生产法》及《建筑工程安全管理条例》，执行JGJ59-99标准，并参照通用条款第20、21、22条，安全生产措施费专款专用并已包含在报价中，在施工过程中由于乙方原因而发生的人员伤亡、财产损</w:t>
      </w:r>
      <w:r>
        <w:rPr>
          <w:rFonts w:hint="eastAsia" w:ascii="宋体" w:hAnsi="宋体" w:eastAsia="宋体" w:cs="宋体"/>
          <w:sz w:val="24"/>
          <w:szCs w:val="24"/>
          <w:highlight w:val="none"/>
        </w:rPr>
        <w:t xml:space="preserve">失以及其他一切事故，其责任、费用全部由乙方承担。          </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w:t>
      </w:r>
      <w:r>
        <w:rPr>
          <w:rFonts w:hint="default" w:ascii="宋体" w:hAnsi="宋体" w:cs="宋体"/>
          <w:b/>
          <w:kern w:val="0"/>
          <w:sz w:val="24"/>
          <w:highlight w:val="none"/>
          <w:lang w:val="en-US"/>
        </w:rPr>
        <w:t>6</w:t>
      </w:r>
      <w:r>
        <w:rPr>
          <w:rFonts w:hint="eastAsia" w:ascii="宋体" w:hAnsi="宋体" w:eastAsia="宋体" w:cs="宋体"/>
          <w:b/>
          <w:kern w:val="0"/>
          <w:sz w:val="24"/>
          <w:highlight w:val="none"/>
          <w:lang w:val="zh-CN"/>
        </w:rPr>
        <w:t>. 合同生效、变更和终止</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6</w:t>
      </w:r>
      <w:r>
        <w:rPr>
          <w:rFonts w:hint="eastAsia" w:ascii="宋体" w:hAnsi="宋体" w:eastAsia="宋体" w:cs="宋体"/>
          <w:kern w:val="0"/>
          <w:sz w:val="24"/>
          <w:highlight w:val="none"/>
          <w:lang w:val="zh-CN"/>
        </w:rPr>
        <w:t xml:space="preserve">.1 </w:t>
      </w:r>
      <w:r>
        <w:rPr>
          <w:rFonts w:hint="eastAsia" w:ascii="宋体" w:hAnsi="宋体" w:eastAsia="宋体" w:cs="宋体"/>
          <w:sz w:val="24"/>
          <w:highlight w:val="none"/>
        </w:rPr>
        <w:t>本合同经甲乙双方法定代表人或其委托人签字盖章，并且乙方向甲方缴纳合同约定金额的履约保证金，</w:t>
      </w:r>
      <w:r>
        <w:rPr>
          <w:rFonts w:hint="eastAsia" w:ascii="宋体" w:hAnsi="宋体" w:eastAsia="宋体" w:cs="宋体"/>
          <w:sz w:val="24"/>
          <w:highlight w:val="none"/>
          <w:lang w:val="zh-CN"/>
        </w:rPr>
        <w:t>合同由甲方自行在政采云平台备案生效</w:t>
      </w:r>
      <w:r>
        <w:rPr>
          <w:rFonts w:hint="eastAsia" w:ascii="宋体" w:hAnsi="宋体" w:eastAsia="宋体" w:cs="宋体"/>
          <w:sz w:val="24"/>
          <w:highlight w:val="none"/>
        </w:rPr>
        <w:t>。</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6</w:t>
      </w:r>
      <w:r>
        <w:rPr>
          <w:rFonts w:hint="eastAsia" w:ascii="宋体" w:hAnsi="宋体" w:eastAsia="宋体" w:cs="宋体"/>
          <w:kern w:val="0"/>
          <w:sz w:val="24"/>
          <w:highlight w:val="none"/>
          <w:lang w:val="zh-CN"/>
        </w:rPr>
        <w:t>.2 在乙方的责任期即合同的有效期内，如因</w:t>
      </w:r>
      <w:r>
        <w:rPr>
          <w:rFonts w:hint="eastAsia" w:ascii="宋体" w:hAnsi="宋体" w:eastAsia="宋体" w:cs="宋体"/>
          <w:sz w:val="24"/>
          <w:highlight w:val="none"/>
        </w:rPr>
        <w:t>甲方</w:t>
      </w:r>
      <w:r>
        <w:rPr>
          <w:rFonts w:hint="eastAsia" w:ascii="宋体" w:hAnsi="宋体" w:eastAsia="宋体" w:cs="宋体"/>
          <w:kern w:val="0"/>
          <w:sz w:val="24"/>
          <w:highlight w:val="none"/>
          <w:lang w:val="zh-CN"/>
        </w:rPr>
        <w:t>的原因，导致项目建设进度的推迟或延误而超过约定的日期，</w:t>
      </w:r>
      <w:r>
        <w:rPr>
          <w:rFonts w:hint="eastAsia" w:ascii="宋体" w:hAnsi="宋体" w:eastAsia="宋体" w:cs="宋体"/>
          <w:sz w:val="24"/>
          <w:highlight w:val="none"/>
        </w:rPr>
        <w:t>甲乙</w:t>
      </w:r>
      <w:r>
        <w:rPr>
          <w:rFonts w:hint="eastAsia" w:ascii="宋体" w:hAnsi="宋体" w:eastAsia="宋体" w:cs="宋体"/>
          <w:kern w:val="0"/>
          <w:sz w:val="24"/>
          <w:highlight w:val="none"/>
          <w:lang w:val="zh-CN"/>
        </w:rPr>
        <w:t>双方应协商，重新约定相应延长的合同期。因乙方的责任，导致项目建设进度的推迟或延误而超过约定的日期</w:t>
      </w:r>
      <w:r>
        <w:rPr>
          <w:rFonts w:hint="eastAsia" w:ascii="宋体" w:hAnsi="宋体" w:eastAsia="宋体" w:cs="宋体"/>
          <w:sz w:val="24"/>
          <w:highlight w:val="none"/>
          <w:lang w:val="zh-CN"/>
        </w:rPr>
        <w:t>按</w:t>
      </w:r>
      <w:r>
        <w:rPr>
          <w:rFonts w:hint="eastAsia" w:ascii="宋体" w:hAnsi="宋体" w:eastAsia="宋体" w:cs="宋体"/>
          <w:bCs/>
          <w:kern w:val="0"/>
          <w:sz w:val="24"/>
          <w:highlight w:val="none"/>
          <w:lang w:val="zh-CN"/>
        </w:rPr>
        <w:t>违约责任处罚。</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6</w:t>
      </w:r>
      <w:r>
        <w:rPr>
          <w:rFonts w:hint="eastAsia" w:ascii="宋体" w:hAnsi="宋体" w:eastAsia="宋体" w:cs="宋体"/>
          <w:kern w:val="0"/>
          <w:sz w:val="24"/>
          <w:highlight w:val="none"/>
          <w:lang w:val="zh-CN"/>
        </w:rPr>
        <w:t>.3 在合同签订后，实际情况发生变化，使得乙方不能全部或部分执行项目时，乙方应当立即通知甲方。该项目的完成时间应延长。当恢复执行项目时，是否需增加时间用于恢复执行，由双方协商确定。</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6</w:t>
      </w:r>
      <w:r>
        <w:rPr>
          <w:rFonts w:hint="eastAsia" w:ascii="宋体" w:hAnsi="宋体" w:eastAsia="宋体" w:cs="宋体"/>
          <w:kern w:val="0"/>
          <w:sz w:val="24"/>
          <w:highlight w:val="none"/>
          <w:lang w:val="zh-CN"/>
        </w:rPr>
        <w:t>.4 当事人一方要求变更或解除合同时，应当在30天前通知对方，因变更或解除合同使一方遭受损失的，除依法可以免除责任的外，应由责任方负责赔偿。变更或解除合同的通知或协议应当采取书面形式，协议未达成之前，原合同仍然有效。</w:t>
      </w:r>
    </w:p>
    <w:p>
      <w:pPr>
        <w:spacing w:line="360" w:lineRule="auto"/>
        <w:ind w:firstLine="480" w:firstLineChars="200"/>
        <w:rPr>
          <w:rFonts w:hint="eastAsia" w:ascii="宋体" w:hAnsi="宋体" w:eastAsia="宋体" w:cs="宋体"/>
          <w:b w:val="0"/>
          <w:bCs w:val="0"/>
          <w:snapToGrid w:val="0"/>
          <w:color w:val="000000"/>
          <w:kern w:val="0"/>
          <w:sz w:val="24"/>
          <w:szCs w:val="24"/>
          <w:highlight w:val="none"/>
          <w:lang w:eastAsia="zh-CN"/>
        </w:rPr>
      </w:pPr>
      <w:r>
        <w:rPr>
          <w:rFonts w:hint="default" w:ascii="宋体" w:hAnsi="宋体" w:eastAsia="宋体" w:cs="宋体"/>
          <w:b w:val="0"/>
          <w:bCs w:val="0"/>
          <w:snapToGrid w:val="0"/>
          <w:color w:val="000000"/>
          <w:kern w:val="0"/>
          <w:sz w:val="24"/>
          <w:szCs w:val="24"/>
          <w:highlight w:val="none"/>
          <w:lang w:val="en-US"/>
        </w:rPr>
        <w:t>16.5</w:t>
      </w:r>
      <w:r>
        <w:rPr>
          <w:rFonts w:hint="eastAsia" w:ascii="宋体" w:hAnsi="宋体" w:eastAsia="宋体" w:cs="宋体"/>
          <w:b w:val="0"/>
          <w:bCs w:val="0"/>
          <w:snapToGrid w:val="0"/>
          <w:color w:val="000000"/>
          <w:kern w:val="0"/>
          <w:sz w:val="24"/>
          <w:szCs w:val="24"/>
          <w:highlight w:val="none"/>
        </w:rPr>
        <w:t xml:space="preserve">. </w:t>
      </w:r>
      <w:r>
        <w:rPr>
          <w:rFonts w:hint="eastAsia" w:ascii="宋体" w:hAnsi="宋体" w:eastAsia="宋体" w:cs="宋体"/>
          <w:b w:val="0"/>
          <w:bCs w:val="0"/>
          <w:snapToGrid w:val="0"/>
          <w:color w:val="000000"/>
          <w:kern w:val="0"/>
          <w:sz w:val="24"/>
          <w:szCs w:val="24"/>
          <w:highlight w:val="none"/>
          <w:lang w:eastAsia="zh-CN"/>
        </w:rPr>
        <w:t>合同转让和分包</w:t>
      </w:r>
    </w:p>
    <w:p>
      <w:pPr>
        <w:snapToGrid w:val="0"/>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合同的权利义务依法不得转让，但经甲方同意，乙方可以依法采取分包方式履行合同，即：依法可以将合同项下的部分非主体、非关键性</w:t>
      </w:r>
      <w:r>
        <w:rPr>
          <w:rFonts w:hint="eastAsia" w:ascii="宋体" w:hAnsi="宋体" w:eastAsia="宋体" w:cs="宋体"/>
          <w:snapToGrid w:val="0"/>
          <w:color w:val="000000"/>
          <w:kern w:val="0"/>
          <w:sz w:val="24"/>
          <w:szCs w:val="24"/>
          <w:highlight w:val="none"/>
          <w:lang w:eastAsia="zh-CN"/>
        </w:rPr>
        <w:t>的</w:t>
      </w:r>
      <w:r>
        <w:rPr>
          <w:rFonts w:hint="eastAsia" w:ascii="宋体" w:hAnsi="宋体" w:cs="宋体"/>
          <w:snapToGrid w:val="0"/>
          <w:color w:val="000000"/>
          <w:kern w:val="0"/>
          <w:sz w:val="24"/>
          <w:szCs w:val="24"/>
          <w:highlight w:val="none"/>
          <w:u w:val="single"/>
          <w:lang w:eastAsia="zh-CN"/>
        </w:rPr>
        <w:t>系统集成</w:t>
      </w:r>
      <w:r>
        <w:rPr>
          <w:rFonts w:hint="eastAsia" w:ascii="宋体" w:hAnsi="宋体" w:eastAsia="宋体" w:cs="宋体"/>
          <w:snapToGrid w:val="0"/>
          <w:color w:val="000000"/>
          <w:kern w:val="0"/>
          <w:sz w:val="24"/>
          <w:szCs w:val="24"/>
          <w:highlight w:val="none"/>
        </w:rPr>
        <w:t>工作分包给他人完成，接受分包的人应当具备相应的资格条件，并不得再次分包，且乙方应就分包项目向甲方负责，并与分包供应商就分包项目向甲方承担连带责任。</w:t>
      </w:r>
    </w:p>
    <w:p>
      <w:pPr>
        <w:snapToGrid w:val="0"/>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分包内容：</w:t>
      </w:r>
      <w:r>
        <w:rPr>
          <w:rFonts w:hint="eastAsia" w:ascii="宋体" w:hAnsi="宋体" w:eastAsia="宋体" w:cs="宋体"/>
          <w:snapToGrid w:val="0"/>
          <w:color w:val="000000"/>
          <w:kern w:val="0"/>
          <w:sz w:val="24"/>
          <w:szCs w:val="24"/>
          <w:highlight w:val="none"/>
          <w:u w:val="single"/>
        </w:rPr>
        <w:t xml:space="preserve">                 </w:t>
      </w:r>
      <w:r>
        <w:rPr>
          <w:rFonts w:hint="eastAsia" w:ascii="宋体" w:hAnsi="宋体" w:eastAsia="宋体" w:cs="宋体"/>
          <w:snapToGrid w:val="0"/>
          <w:color w:val="000000"/>
          <w:kern w:val="0"/>
          <w:sz w:val="24"/>
          <w:szCs w:val="24"/>
          <w:highlight w:val="none"/>
        </w:rPr>
        <w:t>，分包合同（如有）</w:t>
      </w:r>
      <w:r>
        <w:rPr>
          <w:rFonts w:hint="eastAsia" w:ascii="宋体" w:hAnsi="宋体" w:eastAsia="宋体" w:cs="宋体"/>
          <w:snapToGrid w:val="0"/>
          <w:color w:val="000000"/>
          <w:kern w:val="0"/>
          <w:sz w:val="24"/>
          <w:szCs w:val="24"/>
          <w:highlight w:val="none"/>
          <w:lang w:eastAsia="zh-CN"/>
        </w:rPr>
        <w:t>附页</w:t>
      </w:r>
      <w:r>
        <w:rPr>
          <w:rFonts w:hint="eastAsia" w:ascii="宋体" w:hAnsi="宋体" w:eastAsia="宋体" w:cs="宋体"/>
          <w:snapToGrid w:val="0"/>
          <w:color w:val="000000"/>
          <w:kern w:val="0"/>
          <w:sz w:val="24"/>
          <w:szCs w:val="24"/>
          <w:highlight w:val="none"/>
        </w:rPr>
        <w:t>。</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w:t>
      </w:r>
      <w:r>
        <w:rPr>
          <w:rFonts w:hint="default" w:ascii="宋体" w:hAnsi="宋体" w:cs="宋体"/>
          <w:b/>
          <w:kern w:val="0"/>
          <w:sz w:val="24"/>
          <w:highlight w:val="none"/>
          <w:lang w:val="en-US"/>
        </w:rPr>
        <w:t>7</w:t>
      </w:r>
      <w:r>
        <w:rPr>
          <w:rFonts w:hint="eastAsia" w:ascii="宋体" w:hAnsi="宋体" w:eastAsia="宋体" w:cs="宋体"/>
          <w:b/>
          <w:kern w:val="0"/>
          <w:sz w:val="24"/>
          <w:highlight w:val="none"/>
          <w:lang w:val="zh-CN"/>
        </w:rPr>
        <w:t>. 违约责任</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7</w:t>
      </w:r>
      <w:r>
        <w:rPr>
          <w:rFonts w:hint="eastAsia" w:ascii="宋体" w:hAnsi="宋体" w:eastAsia="宋体" w:cs="宋体"/>
          <w:kern w:val="0"/>
          <w:sz w:val="24"/>
          <w:highlight w:val="none"/>
          <w:lang w:val="zh-CN"/>
        </w:rPr>
        <w:t>.1</w:t>
      </w:r>
      <w:r>
        <w:rPr>
          <w:rFonts w:hint="eastAsia" w:ascii="宋体" w:hAnsi="宋体" w:eastAsia="宋体" w:cs="宋体"/>
          <w:sz w:val="24"/>
          <w:highlight w:val="none"/>
        </w:rPr>
        <w:t>乙方必须在整个项目安装调试开通全部完成后半个月内，会同甲方、及有关部门共同按有关规范验收，如因产品质量和项目实施质量问题，不能按期验收或验收不合格，乙方应负责返工所造成的经济损失。由此而造成推迟交货的时间按超期天数计算，每超过一天乙方按本项目总价款的2‰赔偿甲方的经济损失。如因甲方原因造成不能按期完工，工期相应顺延。</w:t>
      </w:r>
    </w:p>
    <w:p>
      <w:pPr>
        <w:spacing w:line="360" w:lineRule="auto"/>
        <w:ind w:firstLine="480" w:firstLineChars="200"/>
        <w:rPr>
          <w:rFonts w:hint="eastAsia" w:ascii="宋体" w:hAnsi="宋体" w:eastAsia="宋体" w:cs="宋体"/>
          <w:kern w:val="0"/>
          <w:sz w:val="24"/>
          <w:highlight w:val="none"/>
          <w:lang w:val="zh-CN"/>
        </w:rPr>
      </w:pPr>
      <w:r>
        <w:rPr>
          <w:rFonts w:hint="eastAsia" w:ascii="宋体" w:hAnsi="宋体" w:eastAsia="宋体" w:cs="宋体"/>
          <w:sz w:val="24"/>
          <w:highlight w:val="none"/>
        </w:rPr>
        <w:t>1</w:t>
      </w:r>
      <w:r>
        <w:rPr>
          <w:rFonts w:hint="default" w:ascii="宋体" w:hAnsi="宋体" w:cs="宋体"/>
          <w:sz w:val="24"/>
          <w:highlight w:val="none"/>
          <w:lang w:val="en-US"/>
        </w:rPr>
        <w:t>7</w:t>
      </w:r>
      <w:r>
        <w:rPr>
          <w:rFonts w:hint="eastAsia" w:ascii="宋体" w:hAnsi="宋体" w:eastAsia="宋体" w:cs="宋体"/>
          <w:sz w:val="24"/>
          <w:highlight w:val="none"/>
        </w:rPr>
        <w:t>.2 如</w:t>
      </w:r>
      <w:r>
        <w:rPr>
          <w:rFonts w:hint="eastAsia" w:ascii="宋体" w:hAnsi="宋体" w:eastAsia="宋体" w:cs="宋体"/>
          <w:kern w:val="0"/>
          <w:sz w:val="24"/>
          <w:highlight w:val="none"/>
          <w:lang w:val="zh-CN"/>
        </w:rPr>
        <w:t>在合同规定的工期内，达不到项目规定的技术指标，乙方应当承担违约责任。承担方式和违约金额如下：超期30天内，每天扣合同金额的0.5‰；累计超期30天，甲方有权终止执行合同，并没收履约保证金。</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zh-CN"/>
        </w:rPr>
        <w:t>1</w:t>
      </w:r>
      <w:r>
        <w:rPr>
          <w:rFonts w:hint="default" w:ascii="宋体" w:hAnsi="宋体" w:cs="宋体"/>
          <w:sz w:val="24"/>
          <w:highlight w:val="none"/>
          <w:lang w:val="en-US"/>
        </w:rPr>
        <w:t>7</w:t>
      </w:r>
      <w:r>
        <w:rPr>
          <w:rFonts w:hint="eastAsia" w:ascii="宋体" w:hAnsi="宋体" w:eastAsia="宋体" w:cs="宋体"/>
          <w:sz w:val="24"/>
          <w:highlight w:val="none"/>
          <w:lang w:val="zh-CN"/>
        </w:rPr>
        <w:t>.3 如因乙方原因达不到合格等级的，则必须无条件返工至合格，并全额没收履约保证金。</w:t>
      </w:r>
    </w:p>
    <w:p>
      <w:pPr>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sz w:val="24"/>
          <w:highlight w:val="none"/>
        </w:rPr>
        <w:t>1</w:t>
      </w:r>
      <w:r>
        <w:rPr>
          <w:rFonts w:hint="default" w:ascii="宋体" w:hAnsi="宋体" w:cs="宋体"/>
          <w:sz w:val="24"/>
          <w:highlight w:val="none"/>
          <w:lang w:val="en-US"/>
        </w:rPr>
        <w:t>7</w:t>
      </w:r>
      <w:r>
        <w:rPr>
          <w:rFonts w:hint="eastAsia" w:ascii="宋体" w:hAnsi="宋体" w:eastAsia="宋体" w:cs="宋体"/>
          <w:sz w:val="24"/>
          <w:highlight w:val="none"/>
        </w:rPr>
        <w:t>.4 乙方承诺的项目</w:t>
      </w:r>
      <w:r>
        <w:rPr>
          <w:rFonts w:hint="eastAsia" w:ascii="宋体" w:hAnsi="宋体" w:cs="宋体"/>
          <w:sz w:val="24"/>
          <w:highlight w:val="none"/>
          <w:lang w:eastAsia="zh-CN"/>
        </w:rPr>
        <w:t>经理、项目负责人、项目技术人员</w:t>
      </w:r>
      <w:r>
        <w:rPr>
          <w:rFonts w:hint="eastAsia" w:ascii="宋体" w:hAnsi="宋体" w:eastAsia="宋体" w:cs="宋体"/>
          <w:sz w:val="24"/>
          <w:highlight w:val="none"/>
        </w:rPr>
        <w:t>必须全部按投标承诺名单及时到位，项目负责人月到位率不足80%的，甲方有权中止合同，没收履约保证金，同时乙方赔偿甲方由此造成的损失；项目经理月到位率达不到90%的，或者投标承诺的项目班子管理人员擅自更换的，每人次扣除人员履约保证金的1%；项目班子管理人员(除项目负责人外)月到位率达不到90%的，每人次扣除人员履约保证金的1%。乙方应严格依法经营，严禁将项目转包。发现私自转包或挂靠经营现象，所有履约保证金归甲方，同时赔偿甲方损失，并责令退出工地。</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w:t>
      </w:r>
      <w:r>
        <w:rPr>
          <w:rFonts w:hint="default" w:ascii="宋体" w:hAnsi="宋体" w:cs="宋体"/>
          <w:sz w:val="24"/>
          <w:highlight w:val="none"/>
          <w:lang w:val="en-US"/>
        </w:rPr>
        <w:t>7</w:t>
      </w:r>
      <w:r>
        <w:rPr>
          <w:rFonts w:hint="eastAsia" w:ascii="宋体" w:hAnsi="宋体" w:eastAsia="宋体" w:cs="宋体"/>
          <w:sz w:val="24"/>
          <w:highlight w:val="none"/>
        </w:rPr>
        <w:t>.5因乙方原因造成采购单位</w:t>
      </w:r>
      <w:r>
        <w:rPr>
          <w:rFonts w:hint="eastAsia" w:ascii="宋体" w:hAnsi="宋体" w:cs="宋体"/>
          <w:sz w:val="24"/>
          <w:highlight w:val="none"/>
          <w:lang w:eastAsia="zh-CN"/>
        </w:rPr>
        <w:t>平台系统</w:t>
      </w:r>
      <w:r>
        <w:rPr>
          <w:rFonts w:hint="eastAsia" w:ascii="宋体" w:hAnsi="宋体" w:eastAsia="宋体" w:cs="宋体"/>
          <w:sz w:val="24"/>
          <w:highlight w:val="none"/>
        </w:rPr>
        <w:t>不能正常运行，酿成重大事故（正常工作日系统中断一天或一天以上）的，将承担全部法律责任，并赔偿经济损失，赔偿金额最高为项目总价的50%。</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sz w:val="24"/>
          <w:highlight w:val="none"/>
        </w:rPr>
        <w:t>1</w:t>
      </w:r>
      <w:r>
        <w:rPr>
          <w:rFonts w:hint="default" w:ascii="宋体" w:hAnsi="宋体" w:cs="宋体"/>
          <w:sz w:val="24"/>
          <w:highlight w:val="none"/>
          <w:lang w:val="en-US"/>
        </w:rPr>
        <w:t>7</w:t>
      </w:r>
      <w:r>
        <w:rPr>
          <w:rFonts w:hint="eastAsia" w:ascii="宋体" w:hAnsi="宋体" w:eastAsia="宋体" w:cs="宋体"/>
          <w:sz w:val="24"/>
          <w:highlight w:val="none"/>
        </w:rPr>
        <w:t xml:space="preserve">.6 </w:t>
      </w:r>
      <w:r>
        <w:rPr>
          <w:rFonts w:hint="eastAsia" w:ascii="宋体" w:hAnsi="宋体" w:eastAsia="宋体" w:cs="宋体"/>
          <w:kern w:val="0"/>
          <w:sz w:val="24"/>
          <w:highlight w:val="none"/>
          <w:lang w:val="zh-CN"/>
        </w:rPr>
        <w:t>履行本合同的过程中，确因在现有水平和条件下难以克服的技术困难，导致部分或全部失败所造成的损失，风险责任由乙方全部承担。</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sz w:val="24"/>
          <w:highlight w:val="none"/>
        </w:rPr>
        <w:t>1</w:t>
      </w:r>
      <w:r>
        <w:rPr>
          <w:rFonts w:hint="default" w:ascii="宋体" w:hAnsi="宋体" w:cs="宋体"/>
          <w:sz w:val="24"/>
          <w:highlight w:val="none"/>
          <w:lang w:val="en-US"/>
        </w:rPr>
        <w:t>7</w:t>
      </w:r>
      <w:r>
        <w:rPr>
          <w:rFonts w:hint="eastAsia" w:ascii="宋体" w:hAnsi="宋体" w:eastAsia="宋体" w:cs="宋体"/>
          <w:sz w:val="24"/>
          <w:highlight w:val="none"/>
        </w:rPr>
        <w:t xml:space="preserve">.7 </w:t>
      </w:r>
      <w:r>
        <w:rPr>
          <w:rFonts w:hint="eastAsia" w:ascii="宋体" w:hAnsi="宋体" w:eastAsia="宋体" w:cs="宋体"/>
          <w:kern w:val="0"/>
          <w:sz w:val="24"/>
          <w:highlight w:val="none"/>
          <w:lang w:val="zh-CN"/>
        </w:rPr>
        <w:t>因不可抗力导致合同不能全部或部分履行，</w:t>
      </w:r>
      <w:r>
        <w:rPr>
          <w:rFonts w:hint="eastAsia" w:ascii="宋体" w:hAnsi="宋体" w:eastAsia="宋体" w:cs="宋体"/>
          <w:sz w:val="24"/>
          <w:highlight w:val="none"/>
        </w:rPr>
        <w:t>甲、</w:t>
      </w:r>
      <w:r>
        <w:rPr>
          <w:rFonts w:hint="eastAsia" w:ascii="宋体" w:hAnsi="宋体" w:eastAsia="宋体" w:cs="宋体"/>
          <w:kern w:val="0"/>
          <w:sz w:val="24"/>
          <w:highlight w:val="none"/>
          <w:lang w:val="zh-CN"/>
        </w:rPr>
        <w:t>乙双方协商解决。</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w:t>
      </w:r>
      <w:r>
        <w:rPr>
          <w:rFonts w:hint="default" w:ascii="宋体" w:hAnsi="宋体" w:cs="宋体"/>
          <w:b/>
          <w:kern w:val="0"/>
          <w:sz w:val="24"/>
          <w:highlight w:val="none"/>
          <w:lang w:val="en-US"/>
        </w:rPr>
        <w:t>8</w:t>
      </w:r>
      <w:r>
        <w:rPr>
          <w:rFonts w:hint="eastAsia" w:ascii="宋体" w:hAnsi="宋体" w:eastAsia="宋体" w:cs="宋体"/>
          <w:b/>
          <w:kern w:val="0"/>
          <w:sz w:val="24"/>
          <w:highlight w:val="none"/>
          <w:lang w:val="zh-CN"/>
        </w:rPr>
        <w:t>.项目质量</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8</w:t>
      </w:r>
      <w:r>
        <w:rPr>
          <w:rFonts w:hint="eastAsia" w:ascii="宋体" w:hAnsi="宋体" w:eastAsia="宋体" w:cs="宋体"/>
          <w:kern w:val="0"/>
          <w:sz w:val="24"/>
          <w:highlight w:val="none"/>
          <w:lang w:val="zh-CN"/>
        </w:rPr>
        <w:t>.1 乙方保证按ISO9001系列标准或相应的质量管理和质量保证体系，对项目安装、调试、检验等各个环节进行严格的质量和质量控制。</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8</w:t>
      </w:r>
      <w:r>
        <w:rPr>
          <w:rFonts w:hint="eastAsia" w:ascii="宋体" w:hAnsi="宋体" w:eastAsia="宋体" w:cs="宋体"/>
          <w:kern w:val="0"/>
          <w:sz w:val="24"/>
          <w:highlight w:val="none"/>
          <w:lang w:val="zh-CN"/>
        </w:rPr>
        <w:t>.2 乙方须严格按设计方案和国家现行项目实施验收规范有关规定，精心组织施工、记录、检验。</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8</w:t>
      </w:r>
      <w:r>
        <w:rPr>
          <w:rFonts w:hint="eastAsia" w:ascii="宋体" w:hAnsi="宋体" w:eastAsia="宋体" w:cs="宋体"/>
          <w:kern w:val="0"/>
          <w:sz w:val="24"/>
          <w:highlight w:val="none"/>
          <w:lang w:val="zh-CN"/>
        </w:rPr>
        <w:t>.3 项目的质量、技术标准如在招标文件和投标文件中无相应说明，则按中华人民共和国有关部门颁布的最新的国家或专业（部）标准或相应的国际标准执行。没有国家或专业（部）标准的，按企业标准执行。</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8</w:t>
      </w:r>
      <w:r>
        <w:rPr>
          <w:rFonts w:hint="eastAsia" w:ascii="宋体" w:hAnsi="宋体" w:eastAsia="宋体" w:cs="宋体"/>
          <w:kern w:val="0"/>
          <w:sz w:val="24"/>
          <w:highlight w:val="none"/>
          <w:lang w:val="zh-CN"/>
        </w:rPr>
        <w:t>.4 项目竣工验收：应按设计方案、技术交底、会审纪要、设计变更通知单、国家和（部）颁发的有关规范和质量检验评定标准、相关的国际标准为依据，并有相关专业测试单位出具相应的测验结论报告。</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8</w:t>
      </w:r>
      <w:r>
        <w:rPr>
          <w:rFonts w:hint="eastAsia" w:ascii="宋体" w:hAnsi="宋体" w:eastAsia="宋体" w:cs="宋体"/>
          <w:kern w:val="0"/>
          <w:sz w:val="24"/>
          <w:highlight w:val="none"/>
          <w:lang w:val="zh-CN"/>
        </w:rPr>
        <w:t>.5 项目实施过程中应严格做好安全防范措施，如乙方项目实施人员在施工中违反操作规定造成人员伤亡事故或施工现场防范措施设置不明造成人员伤害事故，一切责任均有乙方负责。</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w:t>
      </w:r>
      <w:r>
        <w:rPr>
          <w:rFonts w:hint="default" w:ascii="宋体" w:hAnsi="宋体" w:cs="宋体"/>
          <w:b/>
          <w:kern w:val="0"/>
          <w:sz w:val="24"/>
          <w:highlight w:val="none"/>
          <w:lang w:val="en-US"/>
        </w:rPr>
        <w:t>9</w:t>
      </w:r>
      <w:r>
        <w:rPr>
          <w:rFonts w:hint="eastAsia" w:ascii="宋体" w:hAnsi="宋体" w:eastAsia="宋体" w:cs="宋体"/>
          <w:b/>
          <w:kern w:val="0"/>
          <w:sz w:val="24"/>
          <w:highlight w:val="none"/>
          <w:lang w:val="zh-CN"/>
        </w:rPr>
        <w:t>. 争议处理</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9</w:t>
      </w:r>
      <w:r>
        <w:rPr>
          <w:rFonts w:hint="eastAsia" w:ascii="宋体" w:hAnsi="宋体" w:eastAsia="宋体" w:cs="宋体"/>
          <w:kern w:val="0"/>
          <w:sz w:val="24"/>
          <w:highlight w:val="none"/>
          <w:lang w:val="zh-CN"/>
        </w:rPr>
        <w:t>.1 合同在履行过程中发生争议时，甲方与乙方及时协商解决。协商不成时，</w:t>
      </w:r>
      <w:r>
        <w:rPr>
          <w:rFonts w:hint="eastAsia" w:ascii="宋体" w:hAnsi="宋体" w:eastAsia="宋体" w:cs="宋体"/>
          <w:sz w:val="24"/>
          <w:szCs w:val="24"/>
          <w:highlight w:val="none"/>
        </w:rPr>
        <w:t>依法向人民法院起诉。</w:t>
      </w:r>
    </w:p>
    <w:p>
      <w:pPr>
        <w:spacing w:line="360" w:lineRule="auto"/>
        <w:ind w:firstLine="480" w:firstLineChars="200"/>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9</w:t>
      </w:r>
      <w:r>
        <w:rPr>
          <w:rFonts w:hint="eastAsia" w:ascii="宋体" w:hAnsi="宋体" w:eastAsia="宋体" w:cs="宋体"/>
          <w:kern w:val="0"/>
          <w:sz w:val="24"/>
          <w:highlight w:val="none"/>
          <w:lang w:val="zh-CN"/>
        </w:rPr>
        <w:t>.2 对于因违反或终止合同而引起的损失、损害的赔偿，由甲方与乙方友好协商</w:t>
      </w:r>
    </w:p>
    <w:p>
      <w:pPr>
        <w:spacing w:line="360" w:lineRule="auto"/>
        <w:rPr>
          <w:rFonts w:hint="eastAsia" w:ascii="宋体" w:hAnsi="宋体" w:eastAsia="宋体" w:cs="宋体"/>
          <w:b/>
          <w:kern w:val="0"/>
          <w:sz w:val="24"/>
          <w:highlight w:val="none"/>
          <w:lang w:val="zh-CN"/>
        </w:rPr>
      </w:pPr>
      <w:r>
        <w:rPr>
          <w:rFonts w:hint="eastAsia" w:ascii="宋体" w:hAnsi="宋体" w:eastAsia="宋体" w:cs="宋体"/>
          <w:kern w:val="0"/>
          <w:sz w:val="24"/>
          <w:highlight w:val="none"/>
          <w:lang w:val="zh-CN"/>
        </w:rPr>
        <w:t>解决，经协商仍未能达成一致的，</w:t>
      </w:r>
      <w:r>
        <w:rPr>
          <w:rFonts w:hint="eastAsia" w:ascii="宋体" w:hAnsi="宋体" w:eastAsia="宋体" w:cs="宋体"/>
          <w:sz w:val="24"/>
          <w:szCs w:val="24"/>
          <w:highlight w:val="none"/>
        </w:rPr>
        <w:t>依法向人民法院起诉。</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default" w:ascii="宋体" w:hAnsi="宋体" w:cs="宋体"/>
          <w:b/>
          <w:kern w:val="0"/>
          <w:sz w:val="24"/>
          <w:highlight w:val="none"/>
          <w:lang w:val="en-US"/>
        </w:rPr>
        <w:t>20</w:t>
      </w:r>
      <w:r>
        <w:rPr>
          <w:rFonts w:hint="eastAsia" w:ascii="宋体" w:hAnsi="宋体" w:eastAsia="宋体" w:cs="宋体"/>
          <w:b/>
          <w:kern w:val="0"/>
          <w:sz w:val="24"/>
          <w:highlight w:val="none"/>
          <w:lang w:val="zh-CN"/>
        </w:rPr>
        <w:t>. 其他</w:t>
      </w:r>
    </w:p>
    <w:p>
      <w:pPr>
        <w:autoSpaceDE w:val="0"/>
        <w:autoSpaceDN w:val="0"/>
        <w:adjustRightInd w:val="0"/>
        <w:spacing w:line="360" w:lineRule="auto"/>
        <w:jc w:val="left"/>
        <w:rPr>
          <w:rFonts w:hint="eastAsia" w:ascii="宋体" w:hAnsi="宋体" w:eastAsia="宋体" w:cs="宋体"/>
          <w:kern w:val="0"/>
          <w:sz w:val="24"/>
          <w:highlight w:val="none"/>
          <w:lang w:val="zh-CN"/>
        </w:rPr>
      </w:pPr>
      <w:r>
        <w:rPr>
          <w:rFonts w:hint="eastAsia" w:ascii="宋体" w:hAnsi="宋体" w:eastAsia="宋体" w:cs="宋体"/>
          <w:b/>
          <w:kern w:val="0"/>
          <w:sz w:val="24"/>
          <w:highlight w:val="none"/>
          <w:lang w:val="zh-CN"/>
        </w:rPr>
        <w:t xml:space="preserve">    </w:t>
      </w:r>
      <w:r>
        <w:rPr>
          <w:rFonts w:hint="default" w:ascii="宋体" w:hAnsi="宋体" w:cs="宋体"/>
          <w:b w:val="0"/>
          <w:bCs/>
          <w:kern w:val="0"/>
          <w:sz w:val="24"/>
          <w:highlight w:val="none"/>
          <w:lang w:val="en-US"/>
        </w:rPr>
        <w:t>20</w:t>
      </w:r>
      <w:r>
        <w:rPr>
          <w:rFonts w:hint="eastAsia" w:ascii="宋体" w:hAnsi="宋体" w:eastAsia="宋体" w:cs="宋体"/>
          <w:kern w:val="0"/>
          <w:sz w:val="24"/>
          <w:highlight w:val="none"/>
          <w:lang w:val="zh-CN"/>
        </w:rPr>
        <w:t>.1 本合同（□是  □否）为可融资合同（若为可融资合同，则甲方必须将采购资金支付到合同中指定的融资银行及收款账号，开户银行：</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账号：</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）。关于中小企业信用融资事项可可在“政采云”平台申请政采贷。</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default" w:ascii="宋体" w:hAnsi="宋体" w:cs="宋体"/>
          <w:kern w:val="0"/>
          <w:sz w:val="24"/>
          <w:highlight w:val="none"/>
          <w:lang w:val="en-US"/>
        </w:rPr>
        <w:t>20</w:t>
      </w:r>
      <w:r>
        <w:rPr>
          <w:rFonts w:hint="eastAsia" w:ascii="宋体" w:hAnsi="宋体" w:eastAsia="宋体" w:cs="宋体"/>
          <w:kern w:val="0"/>
          <w:sz w:val="24"/>
          <w:highlight w:val="none"/>
          <w:lang w:val="zh-CN"/>
        </w:rPr>
        <w:t xml:space="preserve">.2 </w:t>
      </w:r>
      <w:r>
        <w:rPr>
          <w:rFonts w:hint="eastAsia" w:ascii="宋体" w:hAnsi="宋体" w:eastAsia="宋体" w:cs="宋体"/>
          <w:kern w:val="0"/>
          <w:sz w:val="24"/>
          <w:szCs w:val="24"/>
          <w:highlight w:val="none"/>
          <w:lang w:val="zh-CN"/>
        </w:rPr>
        <w:t>未经过甲方的书面同意，乙方不得</w:t>
      </w:r>
      <w:r>
        <w:rPr>
          <w:rFonts w:hint="eastAsia" w:ascii="宋体" w:hAnsi="宋体" w:cs="宋体"/>
          <w:kern w:val="0"/>
          <w:sz w:val="24"/>
          <w:szCs w:val="24"/>
          <w:highlight w:val="none"/>
          <w:lang w:val="zh-CN"/>
        </w:rPr>
        <w:t>将招标文件允许分包内容之外的</w:t>
      </w:r>
      <w:r>
        <w:rPr>
          <w:rFonts w:hint="eastAsia" w:ascii="宋体" w:hAnsi="宋体" w:eastAsia="宋体" w:cs="宋体"/>
          <w:kern w:val="0"/>
          <w:sz w:val="24"/>
          <w:szCs w:val="24"/>
          <w:highlight w:val="none"/>
          <w:lang w:val="zh-CN"/>
        </w:rPr>
        <w:t>转让</w:t>
      </w:r>
      <w:r>
        <w:rPr>
          <w:rFonts w:hint="eastAsia" w:ascii="宋体" w:hAnsi="宋体" w:cs="宋体"/>
          <w:kern w:val="0"/>
          <w:sz w:val="24"/>
          <w:szCs w:val="24"/>
          <w:highlight w:val="none"/>
          <w:lang w:val="zh-CN"/>
        </w:rPr>
        <w:t>、分包给</w:t>
      </w:r>
      <w:r>
        <w:rPr>
          <w:rFonts w:hint="eastAsia" w:ascii="宋体" w:hAnsi="宋体" w:eastAsia="宋体" w:cs="宋体"/>
          <w:kern w:val="0"/>
          <w:sz w:val="24"/>
          <w:szCs w:val="24"/>
          <w:highlight w:val="none"/>
          <w:lang w:val="zh-CN"/>
        </w:rPr>
        <w:t>其他单位完成。</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default" w:ascii="宋体" w:hAnsi="宋体" w:cs="宋体"/>
          <w:kern w:val="0"/>
          <w:sz w:val="24"/>
          <w:highlight w:val="none"/>
          <w:lang w:val="en-US"/>
        </w:rPr>
        <w:t>20</w:t>
      </w:r>
      <w:r>
        <w:rPr>
          <w:rFonts w:hint="eastAsia" w:ascii="宋体" w:hAnsi="宋体" w:eastAsia="宋体" w:cs="宋体"/>
          <w:kern w:val="0"/>
          <w:sz w:val="24"/>
          <w:highlight w:val="none"/>
          <w:lang w:val="zh-CN"/>
        </w:rPr>
        <w:t>.3 乙方不得参与可能与合同规定的与甲方的利益相冲突的任何活动。</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default" w:ascii="宋体" w:hAnsi="宋体" w:cs="宋体"/>
          <w:kern w:val="0"/>
          <w:sz w:val="24"/>
          <w:highlight w:val="none"/>
          <w:lang w:val="en-US"/>
        </w:rPr>
        <w:t>20</w:t>
      </w:r>
      <w:r>
        <w:rPr>
          <w:rFonts w:hint="eastAsia" w:ascii="宋体" w:hAnsi="宋体" w:eastAsia="宋体" w:cs="宋体"/>
          <w:kern w:val="0"/>
          <w:sz w:val="24"/>
          <w:highlight w:val="none"/>
          <w:lang w:val="zh-CN"/>
        </w:rPr>
        <w:t>.4 乙方人员在甲方场地工作时，应遵守甲方相关规章、制度。</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default" w:ascii="宋体" w:hAnsi="宋体" w:cs="宋体"/>
          <w:kern w:val="0"/>
          <w:sz w:val="24"/>
          <w:highlight w:val="none"/>
          <w:lang w:val="en-US"/>
        </w:rPr>
        <w:t>20</w:t>
      </w:r>
      <w:r>
        <w:rPr>
          <w:rFonts w:hint="eastAsia" w:ascii="宋体" w:hAnsi="宋体" w:eastAsia="宋体" w:cs="宋体"/>
          <w:kern w:val="0"/>
          <w:sz w:val="24"/>
          <w:highlight w:val="none"/>
          <w:lang w:val="zh-CN"/>
        </w:rPr>
        <w:t xml:space="preserve">.5 </w:t>
      </w:r>
      <w:r>
        <w:rPr>
          <w:rFonts w:hint="eastAsia" w:ascii="宋体" w:hAnsi="宋体" w:eastAsia="宋体" w:cs="宋体"/>
          <w:sz w:val="24"/>
          <w:highlight w:val="none"/>
        </w:rPr>
        <w:t>本合同任何一方给另一方的通知，都应以书面或电传/传真/电报的形式发送，而另一方应以书面形式确认并发送到对方明确的地址。</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default" w:ascii="宋体" w:hAnsi="宋体" w:cs="宋体"/>
          <w:kern w:val="0"/>
          <w:sz w:val="24"/>
          <w:highlight w:val="none"/>
          <w:lang w:val="en-US"/>
        </w:rPr>
        <w:t>20</w:t>
      </w:r>
      <w:r>
        <w:rPr>
          <w:rFonts w:hint="eastAsia" w:ascii="宋体" w:hAnsi="宋体" w:eastAsia="宋体" w:cs="宋体"/>
          <w:kern w:val="0"/>
          <w:sz w:val="24"/>
          <w:highlight w:val="none"/>
          <w:lang w:val="zh-CN"/>
        </w:rPr>
        <w:t xml:space="preserve">.6 </w:t>
      </w:r>
      <w:r>
        <w:rPr>
          <w:rFonts w:hint="eastAsia" w:ascii="宋体" w:hAnsi="宋体" w:eastAsia="宋体" w:cs="宋体"/>
          <w:sz w:val="24"/>
          <w:highlight w:val="none"/>
        </w:rPr>
        <w:t>合同履行期内甲乙双方均不得随意变更或解除合同。合同若有未尽事宜，需经双方共同协商，订立补充协议，补充协议与本合同有同等法律效力。</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default" w:ascii="宋体" w:hAnsi="宋体" w:cs="宋体"/>
          <w:kern w:val="0"/>
          <w:sz w:val="24"/>
          <w:highlight w:val="none"/>
          <w:lang w:val="en-US"/>
        </w:rPr>
        <w:t>20</w:t>
      </w:r>
      <w:r>
        <w:rPr>
          <w:rFonts w:hint="eastAsia" w:ascii="宋体" w:hAnsi="宋体" w:eastAsia="宋体" w:cs="宋体"/>
          <w:kern w:val="0"/>
          <w:sz w:val="24"/>
          <w:highlight w:val="none"/>
          <w:lang w:val="zh-CN"/>
        </w:rPr>
        <w:t xml:space="preserve">.7 </w:t>
      </w:r>
      <w:r>
        <w:rPr>
          <w:rFonts w:hint="eastAsia" w:ascii="宋体" w:hAnsi="宋体" w:eastAsia="宋体" w:cs="宋体"/>
          <w:sz w:val="24"/>
          <w:highlight w:val="none"/>
        </w:rPr>
        <w:t>招标文件[编号：</w:t>
      </w:r>
      <w:r>
        <w:rPr>
          <w:rFonts w:hint="eastAsia" w:ascii="宋体" w:hAnsi="宋体" w:cs="宋体"/>
          <w:sz w:val="24"/>
          <w:highlight w:val="none"/>
          <w:lang w:eastAsia="zh-CN"/>
        </w:rPr>
        <w:t>XHZFCG-2023-G-18</w:t>
      </w:r>
      <w:r>
        <w:rPr>
          <w:rFonts w:hint="eastAsia" w:ascii="宋体" w:hAnsi="宋体" w:eastAsia="宋体" w:cs="宋体"/>
          <w:sz w:val="24"/>
          <w:highlight w:val="none"/>
        </w:rPr>
        <w:t>]、投标文件及评标过程中形成的文字资料、询标纪要均作为本合同的组成部分，具有同等效力。</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default" w:ascii="宋体" w:hAnsi="宋体" w:cs="宋体"/>
          <w:kern w:val="0"/>
          <w:sz w:val="24"/>
          <w:highlight w:val="none"/>
          <w:lang w:val="en-US"/>
        </w:rPr>
        <w:t>20</w:t>
      </w:r>
      <w:r>
        <w:rPr>
          <w:rFonts w:hint="eastAsia" w:ascii="宋体" w:hAnsi="宋体" w:eastAsia="宋体" w:cs="宋体"/>
          <w:kern w:val="0"/>
          <w:sz w:val="24"/>
          <w:highlight w:val="none"/>
          <w:lang w:val="zh-CN"/>
        </w:rPr>
        <w:t xml:space="preserve">.8 </w:t>
      </w:r>
      <w:r>
        <w:rPr>
          <w:rFonts w:hint="eastAsia" w:ascii="宋体" w:hAnsi="宋体" w:eastAsia="宋体" w:cs="宋体"/>
          <w:sz w:val="24"/>
          <w:highlight w:val="none"/>
        </w:rPr>
        <w:t>本合同经甲乙双方法定代表人或其委托人签字盖章，并且乙方向甲方缴纳合同约定金额的履约保证金，</w:t>
      </w:r>
      <w:r>
        <w:rPr>
          <w:rFonts w:hint="eastAsia" w:ascii="宋体" w:hAnsi="宋体" w:eastAsia="宋体" w:cs="宋体"/>
          <w:sz w:val="24"/>
          <w:highlight w:val="none"/>
          <w:lang w:val="zh-CN"/>
        </w:rPr>
        <w:t>合同由甲方自行在政采云平台备案生效。</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default" w:ascii="宋体" w:hAnsi="宋体" w:cs="宋体"/>
          <w:kern w:val="0"/>
          <w:sz w:val="24"/>
          <w:highlight w:val="none"/>
          <w:lang w:val="en-US"/>
        </w:rPr>
        <w:t>20</w:t>
      </w:r>
      <w:r>
        <w:rPr>
          <w:rFonts w:hint="eastAsia" w:ascii="宋体" w:hAnsi="宋体" w:eastAsia="宋体" w:cs="宋体"/>
          <w:kern w:val="0"/>
          <w:sz w:val="24"/>
          <w:highlight w:val="none"/>
          <w:lang w:val="zh-CN"/>
        </w:rPr>
        <w:t xml:space="preserve">.9 </w:t>
      </w:r>
      <w:r>
        <w:rPr>
          <w:rFonts w:hint="eastAsia" w:ascii="宋体" w:hAnsi="宋体" w:eastAsia="宋体" w:cs="宋体"/>
          <w:sz w:val="24"/>
          <w:highlight w:val="none"/>
        </w:rPr>
        <w:t>本合同一式</w:t>
      </w:r>
      <w:r>
        <w:rPr>
          <w:rFonts w:hint="eastAsia" w:ascii="宋体" w:hAnsi="宋体" w:cs="宋体"/>
          <w:sz w:val="24"/>
          <w:highlight w:val="none"/>
          <w:lang w:eastAsia="zh-CN"/>
        </w:rPr>
        <w:t>柒</w:t>
      </w:r>
      <w:r>
        <w:rPr>
          <w:rFonts w:hint="eastAsia" w:ascii="宋体" w:hAnsi="宋体" w:eastAsia="宋体" w:cs="宋体"/>
          <w:sz w:val="24"/>
          <w:highlight w:val="none"/>
        </w:rPr>
        <w:t>份，甲方、乙方各执贰份，采购机构执壹份。</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default" w:ascii="宋体" w:hAnsi="宋体" w:cs="宋体"/>
          <w:sz w:val="24"/>
          <w:highlight w:val="none"/>
          <w:lang w:val="en-US"/>
        </w:rPr>
        <w:t>20</w:t>
      </w:r>
      <w:r>
        <w:rPr>
          <w:rFonts w:hint="eastAsia" w:ascii="宋体" w:hAnsi="宋体" w:eastAsia="宋体" w:cs="宋体"/>
          <w:sz w:val="24"/>
          <w:highlight w:val="none"/>
        </w:rPr>
        <w:t>.10 适用法律：本合同应按照中华人民共和国的法律进行解释。</w:t>
      </w:r>
    </w:p>
    <w:p>
      <w:pPr>
        <w:autoSpaceDE w:val="0"/>
        <w:autoSpaceDN w:val="0"/>
        <w:adjustRightInd w:val="0"/>
        <w:spacing w:line="360" w:lineRule="auto"/>
        <w:ind w:firstLine="360" w:firstLineChars="150"/>
        <w:jc w:val="left"/>
        <w:rPr>
          <w:rFonts w:hint="eastAsia" w:ascii="宋体" w:hAnsi="宋体" w:eastAsia="宋体" w:cs="宋体"/>
          <w:sz w:val="24"/>
          <w:highlight w:val="none"/>
        </w:rPr>
      </w:pPr>
      <w:r>
        <w:rPr>
          <w:rFonts w:hint="eastAsia" w:ascii="宋体" w:hAnsi="宋体" w:eastAsia="宋体" w:cs="宋体"/>
          <w:sz w:val="24"/>
          <w:highlight w:val="none"/>
        </w:rPr>
        <w:t xml:space="preserve"> </w:t>
      </w:r>
      <w:r>
        <w:rPr>
          <w:rFonts w:hint="default" w:ascii="宋体" w:hAnsi="宋体" w:cs="宋体"/>
          <w:sz w:val="24"/>
          <w:highlight w:val="none"/>
          <w:lang w:val="en-US"/>
        </w:rPr>
        <w:t>20</w:t>
      </w:r>
      <w:r>
        <w:rPr>
          <w:rFonts w:hint="eastAsia" w:ascii="宋体" w:hAnsi="宋体" w:eastAsia="宋体" w:cs="宋体"/>
          <w:sz w:val="24"/>
          <w:highlight w:val="none"/>
        </w:rPr>
        <w:t xml:space="preserve">.11 以上是合同的主要条款，合同条款包括但不止于以上条款（如安全生产责任状以及廉政合同等）。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甲方（盖章）：                             乙方（盖章）：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法定代表人：                              法定代表人：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或受委托人（签字）：                      或受委托人（签字）：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联系人：                                  联系人：</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地址：                                    地址：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电话：                                    电话：</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传真：                                    传真：</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开户银行：                                开户银行：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帐号：                                    帐号：</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w:t>
      </w:r>
    </w:p>
    <w:p>
      <w:pPr>
        <w:spacing w:line="360" w:lineRule="auto"/>
        <w:ind w:firstLine="5280" w:firstLineChars="2200"/>
        <w:rPr>
          <w:rFonts w:hint="eastAsia" w:ascii="宋体" w:hAnsi="宋体" w:eastAsia="宋体" w:cs="宋体"/>
          <w:sz w:val="24"/>
          <w:highlight w:val="none"/>
        </w:rPr>
      </w:pPr>
      <w:r>
        <w:rPr>
          <w:rFonts w:hint="eastAsia" w:ascii="宋体" w:hAnsi="宋体" w:eastAsia="宋体" w:cs="宋体"/>
          <w:sz w:val="24"/>
          <w:highlight w:val="none"/>
        </w:rPr>
        <w:t>签 约 地：</w:t>
      </w:r>
    </w:p>
    <w:p>
      <w:pPr>
        <w:adjustRightInd w:val="0"/>
        <w:snapToGrid w:val="0"/>
        <w:spacing w:line="360" w:lineRule="auto"/>
        <w:rPr>
          <w:rFonts w:hint="eastAsia" w:ascii="宋体" w:hAnsi="宋体" w:cs="宋体"/>
          <w:sz w:val="24"/>
          <w:highlight w:val="none"/>
          <w:lang w:val="en-US" w:eastAsia="zh-CN"/>
        </w:rPr>
      </w:pPr>
      <w:r>
        <w:rPr>
          <w:rFonts w:hint="eastAsia" w:ascii="宋体" w:hAnsi="宋体" w:eastAsia="宋体" w:cs="宋体"/>
          <w:sz w:val="24"/>
          <w:highlight w:val="none"/>
        </w:rPr>
        <w:t xml:space="preserve">                                            签约日期：   年   月</w:t>
      </w:r>
      <w:r>
        <w:rPr>
          <w:rFonts w:hint="default" w:ascii="宋体" w:hAnsi="宋体" w:cs="宋体"/>
          <w:sz w:val="24"/>
          <w:highlight w:val="none"/>
          <w:lang w:val="en-US"/>
        </w:rPr>
        <w:t xml:space="preserve">   </w:t>
      </w:r>
      <w:r>
        <w:rPr>
          <w:rFonts w:hint="eastAsia" w:ascii="宋体" w:hAnsi="宋体" w:cs="宋体"/>
          <w:sz w:val="24"/>
          <w:highlight w:val="none"/>
          <w:lang w:val="en-US" w:eastAsia="zh-CN"/>
        </w:rPr>
        <w:t>日</w:t>
      </w:r>
    </w:p>
    <w:p>
      <w:pPr>
        <w:pStyle w:val="4"/>
        <w:ind w:left="0" w:leftChars="0" w:firstLine="0" w:firstLineChars="0"/>
        <w:rPr>
          <w:rFonts w:hint="eastAsia"/>
          <w:highlight w:val="none"/>
          <w:lang w:val="en-US" w:eastAsia="zh-CN"/>
        </w:rPr>
        <w:sectPr>
          <w:headerReference r:id="rId8" w:type="default"/>
          <w:footerReference r:id="rId9" w:type="default"/>
          <w:footerReference r:id="rId10" w:type="even"/>
          <w:pgSz w:w="11906" w:h="16838"/>
          <w:pgMar w:top="1418" w:right="1418" w:bottom="1418" w:left="1418" w:header="851" w:footer="992" w:gutter="0"/>
          <w:cols w:space="720" w:num="1"/>
        </w:sectPr>
      </w:pPr>
    </w:p>
    <w:p>
      <w:pPr>
        <w:spacing w:line="360" w:lineRule="auto"/>
        <w:ind w:left="720" w:firstLine="723" w:firstLineChars="200"/>
        <w:outlineLvl w:val="0"/>
        <w:rPr>
          <w:rFonts w:ascii="宋体" w:hAnsi="宋体" w:cs="宋体"/>
          <w:b/>
          <w:sz w:val="36"/>
          <w:szCs w:val="20"/>
          <w:highlight w:val="none"/>
        </w:rPr>
      </w:pPr>
      <w:r>
        <w:rPr>
          <w:rFonts w:hint="eastAsia" w:ascii="宋体" w:hAnsi="宋体" w:cs="宋体"/>
          <w:b/>
          <w:sz w:val="36"/>
          <w:szCs w:val="20"/>
          <w:highlight w:val="none"/>
        </w:rPr>
        <w:t>第六部分</w:t>
      </w:r>
      <w:bookmarkEnd w:id="396"/>
      <w:r>
        <w:rPr>
          <w:rFonts w:hint="eastAsia" w:ascii="宋体" w:hAnsi="宋体" w:cs="宋体"/>
          <w:b/>
          <w:sz w:val="36"/>
          <w:szCs w:val="20"/>
          <w:highlight w:val="none"/>
        </w:rPr>
        <w:t xml:space="preserve"> </w:t>
      </w:r>
      <w:bookmarkEnd w:id="397"/>
      <w:r>
        <w:rPr>
          <w:rFonts w:hint="eastAsia" w:ascii="宋体" w:hAnsi="宋体" w:cs="宋体"/>
          <w:b/>
          <w:sz w:val="36"/>
          <w:szCs w:val="20"/>
          <w:highlight w:val="none"/>
        </w:rPr>
        <w:t>应提交的有关格式范例</w:t>
      </w:r>
    </w:p>
    <w:p>
      <w:pPr>
        <w:spacing w:line="360" w:lineRule="auto"/>
        <w:jc w:val="center"/>
        <w:outlineLvl w:val="0"/>
        <w:rPr>
          <w:rFonts w:ascii="宋体" w:hAnsi="宋体" w:cs="宋体"/>
          <w:b/>
          <w:kern w:val="0"/>
          <w:sz w:val="36"/>
          <w:szCs w:val="36"/>
          <w:highlight w:val="none"/>
        </w:rPr>
      </w:pP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资格文件部分</w:t>
      </w: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目录</w:t>
      </w:r>
    </w:p>
    <w:p>
      <w:pPr>
        <w:spacing w:line="360" w:lineRule="auto"/>
        <w:jc w:val="center"/>
        <w:outlineLvl w:val="0"/>
        <w:rPr>
          <w:rFonts w:ascii="宋体" w:hAnsi="宋体" w:cs="宋体"/>
          <w:b/>
          <w:kern w:val="0"/>
          <w:sz w:val="36"/>
          <w:szCs w:val="36"/>
          <w:highlight w:val="none"/>
        </w:rPr>
      </w:pPr>
    </w:p>
    <w:p>
      <w:pPr>
        <w:numPr>
          <w:ilvl w:val="0"/>
          <w:numId w:val="7"/>
        </w:numPr>
        <w:snapToGrid w:val="0"/>
        <w:spacing w:line="360" w:lineRule="auto"/>
        <w:rPr>
          <w:rFonts w:hint="eastAsia" w:ascii="宋体" w:hAnsi="宋体" w:cs="宋体"/>
          <w:sz w:val="24"/>
          <w:highlight w:val="none"/>
        </w:rPr>
      </w:pPr>
      <w:r>
        <w:rPr>
          <w:rFonts w:hint="eastAsia" w:ascii="宋体" w:hAnsi="宋体" w:cs="宋体"/>
          <w:sz w:val="24"/>
          <w:highlight w:val="none"/>
        </w:rPr>
        <w:t>符合参加政府采购活动应当具备的一般条件的承诺函……………（页码）</w:t>
      </w:r>
    </w:p>
    <w:p>
      <w:pPr>
        <w:numPr>
          <w:ilvl w:val="0"/>
          <w:numId w:val="7"/>
        </w:numPr>
        <w:snapToGrid w:val="0"/>
        <w:spacing w:line="360" w:lineRule="auto"/>
        <w:rPr>
          <w:rFonts w:hint="eastAsia" w:ascii="宋体" w:hAnsi="宋体" w:cs="宋体"/>
          <w:sz w:val="24"/>
          <w:highlight w:val="none"/>
        </w:rPr>
      </w:pPr>
      <w:r>
        <w:rPr>
          <w:rFonts w:hint="eastAsia" w:ascii="宋体" w:hAnsi="宋体" w:cs="宋体"/>
          <w:sz w:val="24"/>
          <w:highlight w:val="none"/>
          <w:lang w:eastAsia="zh-CN"/>
        </w:rPr>
        <w:t>联合协议</w:t>
      </w:r>
      <w:r>
        <w:rPr>
          <w:rFonts w:hint="eastAsia" w:ascii="宋体" w:hAnsi="宋体" w:cs="宋体"/>
          <w:sz w:val="24"/>
          <w:highlight w:val="none"/>
        </w:rPr>
        <w:t>………………………………………………………………（页码）</w:t>
      </w:r>
    </w:p>
    <w:p>
      <w:pPr>
        <w:snapToGrid w:val="0"/>
        <w:spacing w:line="360" w:lineRule="auto"/>
        <w:rPr>
          <w:rFonts w:ascii="宋体" w:hAnsi="宋体" w:cs="宋体"/>
          <w:sz w:val="24"/>
          <w:highlight w:val="none"/>
        </w:rPr>
      </w:pPr>
      <w:r>
        <w:rPr>
          <w:rFonts w:hint="eastAsia" w:ascii="宋体" w:hAnsi="宋体" w:cs="宋体"/>
          <w:sz w:val="24"/>
          <w:highlight w:val="none"/>
        </w:rPr>
        <w:t>（</w:t>
      </w:r>
      <w:r>
        <w:rPr>
          <w:rFonts w:hint="default" w:ascii="宋体" w:hAnsi="宋体" w:cs="宋体"/>
          <w:sz w:val="24"/>
          <w:highlight w:val="none"/>
          <w:lang w:val="en-US"/>
        </w:rPr>
        <w:t>2</w:t>
      </w:r>
      <w:r>
        <w:rPr>
          <w:rFonts w:hint="eastAsia" w:ascii="宋体" w:hAnsi="宋体" w:cs="宋体"/>
          <w:sz w:val="24"/>
          <w:highlight w:val="none"/>
        </w:rPr>
        <w:t>）落实政府采购政策需满足的资格要求………………………………（页码）</w:t>
      </w:r>
    </w:p>
    <w:p>
      <w:pPr>
        <w:snapToGrid w:val="0"/>
        <w:spacing w:line="360" w:lineRule="auto"/>
        <w:rPr>
          <w:rFonts w:ascii="宋体" w:hAnsi="宋体" w:cs="宋体"/>
          <w:sz w:val="24"/>
          <w:highlight w:val="none"/>
        </w:rPr>
      </w:pPr>
      <w:r>
        <w:rPr>
          <w:rFonts w:hint="eastAsia" w:ascii="宋体" w:hAnsi="宋体" w:cs="宋体"/>
          <w:sz w:val="24"/>
          <w:highlight w:val="none"/>
        </w:rPr>
        <w:t>（</w:t>
      </w:r>
      <w:r>
        <w:rPr>
          <w:rFonts w:hint="default" w:ascii="宋体" w:hAnsi="宋体" w:cs="宋体"/>
          <w:sz w:val="24"/>
          <w:highlight w:val="none"/>
          <w:lang w:val="en-US"/>
        </w:rPr>
        <w:t>3</w:t>
      </w:r>
      <w:r>
        <w:rPr>
          <w:rFonts w:hint="eastAsia" w:ascii="宋体" w:hAnsi="宋体" w:cs="宋体"/>
          <w:sz w:val="24"/>
          <w:highlight w:val="none"/>
        </w:rPr>
        <w:t>）本项目的特定资格要求………………………………………………（页码）</w:t>
      </w:r>
    </w:p>
    <w:p>
      <w:pPr>
        <w:snapToGrid w:val="0"/>
        <w:spacing w:line="360" w:lineRule="auto"/>
        <w:ind w:firstLine="480" w:firstLineChars="200"/>
        <w:rPr>
          <w:rFonts w:ascii="宋体" w:hAnsi="宋体" w:cs="宋体"/>
          <w:sz w:val="24"/>
          <w:highlight w:val="none"/>
        </w:rPr>
      </w:pPr>
    </w:p>
    <w:p>
      <w:pPr>
        <w:snapToGrid w:val="0"/>
        <w:spacing w:line="360" w:lineRule="auto"/>
        <w:ind w:right="480"/>
        <w:jc w:val="center"/>
        <w:rPr>
          <w:rFonts w:ascii="宋体" w:hAnsi="宋体" w:cs="宋体"/>
          <w:b/>
          <w:kern w:val="0"/>
          <w:sz w:val="32"/>
          <w:szCs w:val="32"/>
          <w:highlight w:val="none"/>
        </w:rPr>
      </w:pPr>
      <w:r>
        <w:rPr>
          <w:rFonts w:hint="eastAsia" w:ascii="宋体" w:hAnsi="宋体" w:cs="宋体"/>
          <w:b/>
          <w:kern w:val="0"/>
          <w:sz w:val="32"/>
          <w:szCs w:val="32"/>
          <w:highlight w:val="none"/>
        </w:rPr>
        <w:t xml:space="preserve">  一、 符合参加政府采购活动应当具备的一般条件的承诺函</w:t>
      </w:r>
    </w:p>
    <w:p>
      <w:pPr>
        <w:snapToGrid w:val="0"/>
        <w:spacing w:line="360" w:lineRule="auto"/>
        <w:rPr>
          <w:rFonts w:ascii="宋体" w:hAnsi="宋体" w:cs="宋体"/>
          <w:sz w:val="24"/>
          <w:highlight w:val="none"/>
        </w:rPr>
      </w:pPr>
      <w:r>
        <w:rPr>
          <w:rFonts w:hint="eastAsia" w:ascii="宋体" w:hAnsi="宋体" w:cs="宋体"/>
          <w:sz w:val="24"/>
          <w:highlight w:val="none"/>
          <w:lang w:eastAsia="zh-CN"/>
        </w:rPr>
        <w:t>杭州市文溪中学</w:t>
      </w:r>
      <w:r>
        <w:rPr>
          <w:rFonts w:hint="eastAsia" w:ascii="宋体" w:hAnsi="宋体" w:cs="宋体"/>
          <w:sz w:val="24"/>
          <w:highlight w:val="none"/>
        </w:rPr>
        <w:t>、杭州市西湖区政府采购中心：</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我方参与</w:t>
      </w:r>
      <w:r>
        <w:rPr>
          <w:rFonts w:hint="eastAsia" w:ascii="宋体" w:hAnsi="宋体" w:cs="宋体"/>
          <w:sz w:val="24"/>
          <w:highlight w:val="none"/>
          <w:lang w:eastAsia="zh-CN"/>
        </w:rPr>
        <w:t>杭州市文溪中学校园网络及监控系统建设采购项目</w:t>
      </w:r>
      <w:r>
        <w:rPr>
          <w:rFonts w:hint="eastAsia" w:ascii="宋体" w:hAnsi="宋体" w:cs="宋体"/>
          <w:sz w:val="24"/>
          <w:highlight w:val="none"/>
        </w:rPr>
        <w:t>【招标编号：</w:t>
      </w:r>
      <w:r>
        <w:rPr>
          <w:rFonts w:hint="eastAsia" w:ascii="宋体" w:hAnsi="宋体" w:cs="宋体"/>
          <w:sz w:val="24"/>
          <w:highlight w:val="none"/>
          <w:lang w:eastAsia="zh-CN"/>
        </w:rPr>
        <w:t>XHZFCG-2023-G-18</w:t>
      </w:r>
      <w:r>
        <w:rPr>
          <w:rFonts w:hint="eastAsia" w:ascii="宋体" w:hAnsi="宋体" w:cs="宋体"/>
          <w:sz w:val="24"/>
          <w:highlight w:val="none"/>
        </w:rPr>
        <w:t>】政府采购活动，郑重承诺：</w:t>
      </w:r>
    </w:p>
    <w:p>
      <w:pPr>
        <w:snapToGrid w:val="0"/>
        <w:spacing w:line="360" w:lineRule="auto"/>
        <w:ind w:firstLine="360" w:firstLineChars="150"/>
        <w:rPr>
          <w:rFonts w:ascii="宋体" w:hAnsi="宋体" w:cs="宋体"/>
          <w:sz w:val="24"/>
          <w:highlight w:val="none"/>
        </w:rPr>
      </w:pPr>
      <w:r>
        <w:rPr>
          <w:rFonts w:hint="eastAsia" w:ascii="宋体" w:hAnsi="宋体" w:cs="宋体"/>
          <w:sz w:val="24"/>
          <w:highlight w:val="none"/>
        </w:rPr>
        <w:t>（一）具备《中华人民共和国政府采购法》第二十二条第一款规定的条件：</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1、具有独立承担民事责任的能力；</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2、具有良好的商业信誉和健全的财务会计制度； </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3、具有履行合同所必需的设备和专业技术能力；</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4、有依法缴纳税收和社会保障资金的良好记录；</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5、参加政府采购活动前三年内，在经营活动中没有重大违法记录；</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6、具有法律、行政法规规定的其他条件。</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（三）不存在以下情况：</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highlight w:val="none"/>
        </w:rPr>
      </w:pPr>
      <w:r>
        <w:rPr>
          <w:rFonts w:hint="eastAsia" w:ascii="宋体" w:hAnsi="宋体" w:cs="宋体"/>
          <w:kern w:val="0"/>
          <w:sz w:val="24"/>
          <w:highlight w:val="none"/>
          <w:lang w:val="zh-CN"/>
        </w:rPr>
        <w:t>投标人名称(电子签名)：</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val="zh-CN"/>
        </w:rPr>
        <w:t xml:space="preserve">                        </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日期</w:t>
      </w:r>
      <w:r>
        <w:rPr>
          <w:rFonts w:hint="eastAsia" w:ascii="宋体" w:hAnsi="宋体" w:cs="宋体"/>
          <w:kern w:val="0"/>
          <w:sz w:val="24"/>
          <w:highlight w:val="none"/>
        </w:rPr>
        <w:t xml:space="preserve">：  年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w:t>
      </w:r>
    </w:p>
    <w:p>
      <w:pPr>
        <w:snapToGrid w:val="0"/>
        <w:spacing w:line="360" w:lineRule="auto"/>
        <w:ind w:right="480"/>
        <w:jc w:val="left"/>
        <w:rPr>
          <w:rFonts w:ascii="宋体" w:hAnsi="宋体" w:cs="宋体"/>
          <w:b/>
          <w:kern w:val="0"/>
          <w:sz w:val="32"/>
          <w:szCs w:val="32"/>
          <w:highlight w:val="none"/>
        </w:rPr>
      </w:pPr>
      <w:r>
        <w:rPr>
          <w:rFonts w:hint="eastAsia" w:ascii="宋体" w:hAnsi="宋体" w:cs="仿宋_GB2312"/>
          <w:sz w:val="24"/>
          <w:highlight w:val="none"/>
        </w:rPr>
        <w:t>注：根据《</w:t>
      </w:r>
      <w:r>
        <w:rPr>
          <w:rFonts w:ascii="宋体" w:hAnsi="宋体" w:cs="仿宋_GB2312"/>
          <w:sz w:val="24"/>
          <w:highlight w:val="none"/>
        </w:rPr>
        <w:t>关于规范政府采购供应商资格设定及资格审查的通知</w:t>
      </w:r>
      <w:r>
        <w:rPr>
          <w:rFonts w:hint="eastAsia" w:ascii="宋体" w:hAnsi="宋体" w:cs="仿宋_GB2312"/>
          <w:sz w:val="24"/>
          <w:highlight w:val="none"/>
        </w:rPr>
        <w:t>》（</w:t>
      </w:r>
      <w:r>
        <w:rPr>
          <w:rFonts w:ascii="宋体" w:hAnsi="宋体" w:cs="仿宋_GB2312"/>
          <w:sz w:val="24"/>
          <w:highlight w:val="none"/>
        </w:rPr>
        <w:t>浙财采监[2013]24号</w:t>
      </w:r>
      <w:r>
        <w:rPr>
          <w:rFonts w:hint="eastAsia" w:ascii="宋体" w:hAnsi="宋体" w:cs="仿宋_GB2312"/>
          <w:sz w:val="24"/>
          <w:highlight w:val="none"/>
        </w:rPr>
        <w:t>）的相关规定，金融、保险、通讯等特定行业的全国性企业所设立的区域性分支机构，以及个体工商户、个人独资企业、合伙企业，参与政府采购活动，如果已经依法办理了工商、税务和社保登记手续，</w:t>
      </w:r>
      <w:r>
        <w:rPr>
          <w:rFonts w:hint="eastAsia" w:ascii="宋体" w:hAnsi="宋体" w:cs="仿宋_GB2312"/>
          <w:b/>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spacing w:line="360" w:lineRule="auto"/>
        <w:jc w:val="both"/>
        <w:rPr>
          <w:rFonts w:hint="eastAsia" w:ascii="宋体" w:hAnsi="宋体" w:cs="宋体"/>
          <w:b/>
          <w:kern w:val="0"/>
          <w:sz w:val="32"/>
          <w:szCs w:val="32"/>
          <w:highlight w:val="none"/>
        </w:rPr>
      </w:pPr>
    </w:p>
    <w:p>
      <w:pPr>
        <w:pStyle w:val="4"/>
        <w:rPr>
          <w:rFonts w:hint="eastAsia"/>
          <w:highlight w:val="none"/>
        </w:rPr>
      </w:pPr>
    </w:p>
    <w:p>
      <w:pPr>
        <w:widowControl/>
        <w:spacing w:line="360" w:lineRule="auto"/>
        <w:ind w:firstLine="643" w:firstLineChars="200"/>
        <w:jc w:val="center"/>
        <w:rPr>
          <w:rFonts w:ascii="宋体" w:hAnsi="宋体" w:cs="宋体"/>
          <w:b/>
          <w:kern w:val="0"/>
          <w:sz w:val="32"/>
          <w:szCs w:val="32"/>
          <w:highlight w:val="none"/>
        </w:rPr>
      </w:pPr>
      <w:r>
        <w:rPr>
          <w:rFonts w:hint="eastAsia" w:ascii="宋体" w:hAnsi="宋体" w:cs="宋体"/>
          <w:b/>
          <w:kern w:val="0"/>
          <w:sz w:val="32"/>
          <w:szCs w:val="32"/>
          <w:highlight w:val="none"/>
        </w:rPr>
        <w:t>二、联合协议（如果有）</w:t>
      </w:r>
    </w:p>
    <w:p>
      <w:pPr>
        <w:widowControl/>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highlight w:val="none"/>
        </w:rPr>
      </w:pPr>
    </w:p>
    <w:p>
      <w:pPr>
        <w:pStyle w:val="4"/>
        <w:rPr>
          <w:highlight w:val="none"/>
        </w:rPr>
      </w:pPr>
    </w:p>
    <w:p>
      <w:pPr>
        <w:snapToGrid w:val="0"/>
        <w:spacing w:line="360" w:lineRule="auto"/>
        <w:ind w:right="480"/>
        <w:jc w:val="center"/>
        <w:rPr>
          <w:rFonts w:ascii="宋体" w:hAnsi="宋体" w:cs="宋体"/>
          <w:b/>
          <w:kern w:val="0"/>
          <w:sz w:val="32"/>
          <w:szCs w:val="32"/>
          <w:highlight w:val="none"/>
        </w:rPr>
      </w:pPr>
      <w:r>
        <w:rPr>
          <w:rFonts w:hint="eastAsia" w:ascii="宋体" w:hAnsi="宋体" w:cs="宋体"/>
          <w:b/>
          <w:kern w:val="0"/>
          <w:sz w:val="32"/>
          <w:szCs w:val="32"/>
          <w:highlight w:val="none"/>
          <w:lang w:eastAsia="zh-CN"/>
        </w:rPr>
        <w:t>三</w:t>
      </w:r>
      <w:r>
        <w:rPr>
          <w:rFonts w:hint="eastAsia" w:ascii="宋体" w:hAnsi="宋体" w:cs="宋体"/>
          <w:b/>
          <w:kern w:val="0"/>
          <w:sz w:val="32"/>
          <w:szCs w:val="32"/>
          <w:highlight w:val="none"/>
        </w:rPr>
        <w:t>、落实政府采购政策需满足的资格要求</w:t>
      </w:r>
    </w:p>
    <w:p>
      <w:pPr>
        <w:spacing w:line="360" w:lineRule="auto"/>
        <w:rPr>
          <w:rFonts w:ascii="宋体" w:hAnsi="宋体" w:cs="宋体"/>
          <w:sz w:val="24"/>
          <w:highlight w:val="none"/>
        </w:rPr>
      </w:pPr>
      <w:r>
        <w:rPr>
          <w:rFonts w:hint="eastAsia" w:ascii="宋体" w:hAnsi="宋体" w:cs="宋体"/>
          <w:sz w:val="24"/>
          <w:highlight w:val="none"/>
        </w:rPr>
        <w:t>（根据招标公告落实政府采购政策需满足的资格要求选择提供相应的材料；未要求的，无需提供）</w:t>
      </w:r>
    </w:p>
    <w:p>
      <w:pPr>
        <w:spacing w:line="360" w:lineRule="auto"/>
        <w:ind w:firstLine="482" w:firstLineChars="200"/>
        <w:rPr>
          <w:rFonts w:ascii="宋体" w:hAnsi="宋体" w:cs="宋体"/>
          <w:color w:val="auto"/>
          <w:sz w:val="24"/>
          <w:highlight w:val="none"/>
          <w:u w:val="single"/>
        </w:rPr>
      </w:pPr>
      <w:r>
        <w:rPr>
          <w:rFonts w:hint="default" w:ascii="宋体" w:hAnsi="宋体" w:cs="宋体"/>
          <w:b/>
          <w:bCs/>
          <w:color w:val="auto"/>
          <w:sz w:val="24"/>
          <w:highlight w:val="none"/>
          <w:lang w:val="en-US" w:eastAsia="zh-CN"/>
        </w:rPr>
        <w:t>A.</w:t>
      </w:r>
      <w:r>
        <w:rPr>
          <w:rFonts w:hint="eastAsia" w:ascii="宋体" w:hAnsi="宋体" w:cs="宋体"/>
          <w:color w:val="auto"/>
          <w:sz w:val="24"/>
          <w:highlight w:val="none"/>
          <w:lang w:eastAsia="zh-CN"/>
        </w:rPr>
        <w:t>项目专门面向中小企业，</w:t>
      </w:r>
      <w:r>
        <w:rPr>
          <w:rFonts w:hint="eastAsia" w:ascii="宋体" w:hAnsi="宋体" w:cs="宋体"/>
          <w:color w:val="auto"/>
          <w:sz w:val="24"/>
          <w:highlight w:val="none"/>
        </w:rPr>
        <w:t>货物全部由符合政策要求的中小企业</w:t>
      </w:r>
      <w:r>
        <w:rPr>
          <w:rFonts w:hint="default" w:ascii="宋体" w:hAnsi="宋体" w:cs="宋体"/>
          <w:color w:val="auto"/>
          <w:sz w:val="24"/>
          <w:highlight w:val="none"/>
          <w:lang w:val="en-US"/>
        </w:rPr>
        <w:t>(</w:t>
      </w:r>
      <w:r>
        <w:rPr>
          <w:rFonts w:hint="eastAsia" w:ascii="宋体" w:hAnsi="宋体" w:cs="宋体"/>
          <w:color w:val="auto"/>
          <w:sz w:val="24"/>
          <w:highlight w:val="none"/>
          <w:lang w:val="en-US" w:eastAsia="zh-CN"/>
        </w:rPr>
        <w:t>或小微企业）</w:t>
      </w:r>
      <w:r>
        <w:rPr>
          <w:rFonts w:hint="eastAsia" w:ascii="宋体" w:hAnsi="宋体" w:cs="宋体"/>
          <w:color w:val="auto"/>
          <w:sz w:val="24"/>
          <w:highlight w:val="none"/>
        </w:rPr>
        <w:t>制造</w:t>
      </w:r>
      <w:r>
        <w:rPr>
          <w:rFonts w:hint="eastAsia" w:ascii="宋体" w:hAnsi="宋体" w:cs="宋体"/>
          <w:color w:val="auto"/>
          <w:sz w:val="24"/>
          <w:highlight w:val="none"/>
          <w:lang w:eastAsia="zh-CN"/>
        </w:rPr>
        <w:t>的</w:t>
      </w:r>
      <w:r>
        <w:rPr>
          <w:rFonts w:hint="eastAsia" w:ascii="宋体" w:hAnsi="宋体" w:cs="宋体"/>
          <w:color w:val="auto"/>
          <w:sz w:val="24"/>
          <w:highlight w:val="none"/>
        </w:rPr>
        <w:t>，提供中小企业声明函</w:t>
      </w:r>
      <w:r>
        <w:rPr>
          <w:rFonts w:hint="eastAsia" w:ascii="宋体" w:hAnsi="宋体" w:cs="宋体"/>
          <w:color w:val="auto"/>
          <w:sz w:val="24"/>
          <w:highlight w:val="none"/>
          <w:lang w:eastAsia="zh-CN"/>
        </w:rPr>
        <w:t>（附件</w:t>
      </w:r>
      <w:r>
        <w:rPr>
          <w:rFonts w:hint="default" w:ascii="宋体" w:hAnsi="宋体" w:cs="宋体"/>
          <w:color w:val="auto"/>
          <w:sz w:val="24"/>
          <w:highlight w:val="none"/>
          <w:lang w:val="en-US" w:eastAsia="zh-CN"/>
        </w:rPr>
        <w:t>7</w:t>
      </w:r>
      <w:r>
        <w:rPr>
          <w:rFonts w:hint="eastAsia" w:ascii="宋体" w:hAnsi="宋体" w:cs="宋体"/>
          <w:color w:val="auto"/>
          <w:sz w:val="24"/>
          <w:highlight w:val="none"/>
          <w:lang w:eastAsia="zh-CN"/>
        </w:rPr>
        <w:t>）</w:t>
      </w:r>
      <w:r>
        <w:rPr>
          <w:rFonts w:hint="eastAsia" w:ascii="宋体" w:hAnsi="宋体" w:cs="宋体"/>
          <w:color w:val="auto"/>
          <w:sz w:val="24"/>
          <w:highlight w:val="none"/>
        </w:rPr>
        <w:t>；</w:t>
      </w:r>
    </w:p>
    <w:p>
      <w:pPr>
        <w:widowControl/>
        <w:spacing w:line="360" w:lineRule="auto"/>
        <w:ind w:left="150"/>
        <w:jc w:val="center"/>
        <w:rPr>
          <w:rFonts w:ascii="宋体" w:hAnsi="宋体" w:cs="宋体"/>
          <w:b/>
          <w:kern w:val="0"/>
          <w:sz w:val="32"/>
          <w:szCs w:val="32"/>
          <w:highlight w:val="none"/>
        </w:rPr>
      </w:pPr>
    </w:p>
    <w:p>
      <w:pPr>
        <w:widowControl/>
        <w:spacing w:line="360" w:lineRule="auto"/>
        <w:ind w:left="150"/>
        <w:jc w:val="center"/>
        <w:rPr>
          <w:rFonts w:ascii="宋体" w:hAnsi="宋体" w:cs="宋体"/>
          <w:b/>
          <w:kern w:val="0"/>
          <w:sz w:val="32"/>
          <w:szCs w:val="32"/>
          <w:highlight w:val="none"/>
        </w:rPr>
      </w:pPr>
      <w:r>
        <w:rPr>
          <w:rFonts w:hint="eastAsia" w:ascii="宋体" w:hAnsi="宋体" w:cs="宋体"/>
          <w:b/>
          <w:kern w:val="0"/>
          <w:sz w:val="32"/>
          <w:szCs w:val="32"/>
          <w:highlight w:val="none"/>
          <w:lang w:eastAsia="zh-CN"/>
        </w:rPr>
        <w:t>四</w:t>
      </w:r>
      <w:r>
        <w:rPr>
          <w:rFonts w:hint="eastAsia" w:ascii="宋体" w:hAnsi="宋体" w:cs="宋体"/>
          <w:b/>
          <w:kern w:val="0"/>
          <w:sz w:val="32"/>
          <w:szCs w:val="32"/>
          <w:highlight w:val="none"/>
        </w:rPr>
        <w:t>、本项目的特定资格要求</w:t>
      </w:r>
    </w:p>
    <w:p>
      <w:pPr>
        <w:spacing w:line="360" w:lineRule="auto"/>
        <w:jc w:val="center"/>
        <w:rPr>
          <w:rFonts w:ascii="宋体" w:hAnsi="宋体" w:cs="宋体"/>
          <w:sz w:val="24"/>
          <w:highlight w:val="none"/>
        </w:rPr>
      </w:pPr>
      <w:r>
        <w:rPr>
          <w:rFonts w:hint="eastAsia" w:ascii="宋体" w:hAnsi="宋体" w:cs="宋体"/>
          <w:sz w:val="24"/>
          <w:highlight w:val="none"/>
        </w:rPr>
        <w:t>（根据招标公告本项目的特定资格要求提供相应的材料；未要求的，无需提供）</w:t>
      </w:r>
    </w:p>
    <w:p>
      <w:pPr>
        <w:rPr>
          <w:rFonts w:ascii="宋体" w:hAnsi="宋体" w:cs="宋体"/>
          <w:highlight w:val="none"/>
        </w:rPr>
      </w:pPr>
    </w:p>
    <w:p>
      <w:pPr>
        <w:rPr>
          <w:highlight w:val="none"/>
        </w:rPr>
      </w:pPr>
    </w:p>
    <w:p>
      <w:pPr>
        <w:spacing w:line="360" w:lineRule="auto"/>
        <w:ind w:right="420" w:firstLine="3614" w:firstLineChars="1000"/>
        <w:rPr>
          <w:rFonts w:ascii="宋体" w:hAnsi="宋体" w:cs="宋体"/>
          <w:b/>
          <w:kern w:val="0"/>
          <w:sz w:val="36"/>
          <w:szCs w:val="36"/>
          <w:highlight w:val="none"/>
        </w:rPr>
      </w:pPr>
      <w:r>
        <w:rPr>
          <w:rFonts w:hint="eastAsia" w:ascii="宋体" w:hAnsi="宋体" w:cs="宋体"/>
          <w:b/>
          <w:kern w:val="0"/>
          <w:sz w:val="36"/>
          <w:szCs w:val="36"/>
          <w:highlight w:val="none"/>
        </w:rPr>
        <w:t>商务技术文件部分</w:t>
      </w:r>
    </w:p>
    <w:p>
      <w:pPr>
        <w:spacing w:line="360" w:lineRule="auto"/>
        <w:jc w:val="center"/>
        <w:outlineLvl w:val="0"/>
        <w:rPr>
          <w:rFonts w:ascii="宋体" w:hAnsi="宋体" w:cs="宋体"/>
          <w:b/>
          <w:kern w:val="0"/>
          <w:sz w:val="28"/>
          <w:szCs w:val="28"/>
          <w:highlight w:val="none"/>
        </w:rPr>
      </w:pPr>
      <w:r>
        <w:rPr>
          <w:rFonts w:hint="eastAsia" w:ascii="宋体" w:hAnsi="宋体" w:cs="宋体"/>
          <w:b/>
          <w:kern w:val="0"/>
          <w:sz w:val="28"/>
          <w:szCs w:val="28"/>
          <w:highlight w:val="none"/>
        </w:rPr>
        <w:t>目录</w:t>
      </w:r>
    </w:p>
    <w:p>
      <w:pPr>
        <w:numPr>
          <w:ilvl w:val="0"/>
          <w:numId w:val="8"/>
        </w:numPr>
        <w:snapToGrid w:val="0"/>
        <w:spacing w:line="360" w:lineRule="auto"/>
        <w:ind w:left="479" w:leftChars="228"/>
        <w:rPr>
          <w:rFonts w:hint="eastAsia" w:ascii="宋体" w:hAnsi="宋体" w:cs="宋体"/>
          <w:highlight w:val="none"/>
        </w:rPr>
      </w:pPr>
      <w:r>
        <w:rPr>
          <w:rFonts w:hint="eastAsia" w:ascii="宋体" w:hAnsi="宋体" w:cs="宋体"/>
          <w:sz w:val="24"/>
          <w:highlight w:val="none"/>
        </w:rPr>
        <w:t>投标函</w:t>
      </w:r>
      <w:r>
        <w:rPr>
          <w:rFonts w:hint="eastAsia" w:ascii="宋体" w:hAnsi="宋体" w:cs="宋体"/>
          <w:highlight w:val="none"/>
        </w:rPr>
        <w:t>…………………………………………………………………………………（页码）</w:t>
      </w:r>
      <w:r>
        <w:rPr>
          <w:rFonts w:hint="eastAsia" w:ascii="宋体" w:hAnsi="宋体" w:cs="宋体"/>
          <w:sz w:val="24"/>
          <w:highlight w:val="none"/>
        </w:rPr>
        <w:t>（2）授权委托书或法定代表人（单位负责人、自然人本人）身份证明</w:t>
      </w:r>
      <w:r>
        <w:rPr>
          <w:rFonts w:hint="eastAsia" w:ascii="宋体" w:hAnsi="宋体" w:cs="宋体"/>
          <w:highlight w:val="none"/>
        </w:rPr>
        <w:t>………（页码）</w:t>
      </w:r>
    </w:p>
    <w:p>
      <w:pPr>
        <w:pStyle w:val="4"/>
        <w:numPr>
          <w:ilvl w:val="0"/>
          <w:numId w:val="0"/>
        </w:numPr>
        <w:ind w:leftChars="0" w:firstLine="480" w:firstLineChars="200"/>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（3）分包意向协议………………………………………………………………</w:t>
      </w:r>
      <w:r>
        <w:rPr>
          <w:rFonts w:hint="eastAsia" w:ascii="宋体" w:hAnsi="宋体" w:eastAsia="宋体" w:cs="宋体"/>
          <w:b w:val="0"/>
          <w:bCs w:val="0"/>
          <w:kern w:val="2"/>
          <w:sz w:val="21"/>
          <w:szCs w:val="24"/>
          <w:highlight w:val="none"/>
          <w:lang w:val="en-US" w:eastAsia="zh-CN" w:bidi="ar-SA"/>
        </w:rPr>
        <w:t>（页码）</w:t>
      </w:r>
    </w:p>
    <w:p>
      <w:pPr>
        <w:snapToGrid w:val="0"/>
        <w:spacing w:line="360" w:lineRule="auto"/>
        <w:ind w:firstLine="480" w:firstLineChars="200"/>
        <w:rPr>
          <w:rFonts w:ascii="宋体" w:hAnsi="宋体" w:cs="宋体"/>
          <w:highlight w:val="none"/>
        </w:rPr>
      </w:pPr>
      <w:r>
        <w:rPr>
          <w:rFonts w:hint="eastAsia" w:ascii="宋体" w:hAnsi="宋体" w:cs="宋体"/>
          <w:sz w:val="24"/>
          <w:highlight w:val="none"/>
        </w:rPr>
        <w:t>（</w:t>
      </w:r>
      <w:r>
        <w:rPr>
          <w:rFonts w:hint="eastAsia" w:ascii="宋体" w:hAnsi="宋体" w:cs="宋体"/>
          <w:sz w:val="24"/>
          <w:highlight w:val="none"/>
          <w:lang w:val="en-US" w:eastAsia="zh-CN"/>
        </w:rPr>
        <w:t>4</w:t>
      </w:r>
      <w:r>
        <w:rPr>
          <w:rFonts w:hint="eastAsia" w:ascii="宋体" w:hAnsi="宋体" w:cs="宋体"/>
          <w:sz w:val="24"/>
          <w:highlight w:val="none"/>
        </w:rPr>
        <w:t>）符合性审查资料</w:t>
      </w:r>
      <w:r>
        <w:rPr>
          <w:rFonts w:hint="eastAsia" w:ascii="宋体" w:hAnsi="宋体" w:cs="宋体"/>
          <w:highlight w:val="none"/>
        </w:rPr>
        <w:t>………………………………………………………………………（页码）</w:t>
      </w:r>
    </w:p>
    <w:p>
      <w:pPr>
        <w:snapToGrid w:val="0"/>
        <w:spacing w:line="360" w:lineRule="auto"/>
        <w:ind w:left="479" w:leftChars="228"/>
        <w:rPr>
          <w:rFonts w:hint="eastAsia" w:ascii="宋体" w:hAnsi="宋体" w:cs="宋体"/>
          <w:color w:val="FF0000"/>
          <w:highlight w:val="none"/>
        </w:rPr>
      </w:pPr>
      <w:r>
        <w:rPr>
          <w:rFonts w:hint="eastAsia" w:ascii="宋体" w:hAnsi="宋体" w:cs="宋体"/>
          <w:sz w:val="24"/>
          <w:highlight w:val="none"/>
        </w:rPr>
        <w:t>（</w:t>
      </w:r>
      <w:r>
        <w:rPr>
          <w:rFonts w:hint="eastAsia" w:ascii="宋体" w:hAnsi="宋体" w:cs="宋体"/>
          <w:sz w:val="24"/>
          <w:highlight w:val="none"/>
          <w:lang w:val="en-US" w:eastAsia="zh-CN"/>
        </w:rPr>
        <w:t>5</w:t>
      </w:r>
      <w:r>
        <w:rPr>
          <w:rFonts w:hint="eastAsia" w:ascii="宋体" w:hAnsi="宋体" w:cs="宋体"/>
          <w:sz w:val="24"/>
          <w:highlight w:val="none"/>
        </w:rPr>
        <w:t>）评标标准相应的商务技术资料</w:t>
      </w:r>
      <w:r>
        <w:rPr>
          <w:rFonts w:hint="eastAsia" w:ascii="宋体" w:hAnsi="宋体" w:cs="宋体"/>
          <w:highlight w:val="none"/>
        </w:rPr>
        <w:t>……………………………………………………</w:t>
      </w:r>
      <w:r>
        <w:rPr>
          <w:rFonts w:hint="eastAsia" w:ascii="宋体" w:hAnsi="宋体" w:cs="宋体"/>
          <w:highlight w:val="none"/>
          <w:lang w:val="en-US" w:eastAsia="zh-CN"/>
        </w:rPr>
        <w:t xml:space="preserve"> </w:t>
      </w:r>
      <w:r>
        <w:rPr>
          <w:rFonts w:hint="eastAsia" w:ascii="宋体" w:hAnsi="宋体" w:cs="宋体"/>
          <w:highlight w:val="none"/>
        </w:rPr>
        <w:t>（页码）</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）投标标的清单</w:t>
      </w:r>
      <w:r>
        <w:rPr>
          <w:rFonts w:hint="eastAsia" w:ascii="宋体" w:hAnsi="宋体" w:cs="宋体"/>
          <w:color w:val="auto"/>
          <w:highlight w:val="none"/>
        </w:rPr>
        <w:t>…………………………………………………………………………（页码）</w:t>
      </w:r>
    </w:p>
    <w:p>
      <w:pPr>
        <w:snapToGrid w:val="0"/>
        <w:spacing w:line="360" w:lineRule="auto"/>
        <w:ind w:left="479" w:leftChars="228"/>
        <w:rPr>
          <w:rFonts w:hint="eastAsia" w:ascii="宋体" w:hAnsi="宋体" w:cs="宋体"/>
          <w:highlight w:val="none"/>
        </w:rPr>
      </w:pPr>
      <w:r>
        <w:rPr>
          <w:rFonts w:hint="eastAsia" w:ascii="宋体" w:hAnsi="宋体" w:cs="宋体"/>
          <w:sz w:val="24"/>
          <w:highlight w:val="none"/>
        </w:rPr>
        <w:t>（</w:t>
      </w:r>
      <w:r>
        <w:rPr>
          <w:rFonts w:hint="eastAsia" w:ascii="宋体" w:hAnsi="宋体" w:cs="宋体"/>
          <w:sz w:val="24"/>
          <w:highlight w:val="none"/>
          <w:lang w:val="en-US" w:eastAsia="zh-CN"/>
        </w:rPr>
        <w:t>7</w:t>
      </w:r>
      <w:r>
        <w:rPr>
          <w:rFonts w:hint="eastAsia" w:ascii="宋体" w:hAnsi="宋体" w:cs="宋体"/>
          <w:sz w:val="24"/>
          <w:highlight w:val="none"/>
        </w:rPr>
        <w:t>）商务技术偏离表</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lang w:val="zh-CN"/>
        </w:rPr>
        <w:t>（</w:t>
      </w:r>
      <w:r>
        <w:rPr>
          <w:rFonts w:hint="default" w:ascii="宋体" w:hAnsi="宋体" w:cs="宋体"/>
          <w:sz w:val="24"/>
          <w:highlight w:val="none"/>
          <w:lang w:val="en-US" w:eastAsia="zh-CN"/>
        </w:rPr>
        <w:t>8</w:t>
      </w:r>
      <w:r>
        <w:rPr>
          <w:rFonts w:hint="eastAsia" w:ascii="宋体" w:hAnsi="宋体" w:cs="宋体"/>
          <w:sz w:val="24"/>
          <w:highlight w:val="none"/>
          <w:lang w:val="zh-CN"/>
        </w:rPr>
        <w:t>）政府采购供应商廉洁自律承诺书</w:t>
      </w:r>
      <w:r>
        <w:rPr>
          <w:rFonts w:hint="eastAsia" w:ascii="宋体" w:hAnsi="宋体" w:cs="宋体"/>
          <w:highlight w:val="none"/>
        </w:rPr>
        <w:t>…………………………………………………（页码）</w:t>
      </w:r>
    </w:p>
    <w:p>
      <w:pPr>
        <w:snapToGrid w:val="0"/>
        <w:spacing w:line="360" w:lineRule="auto"/>
        <w:ind w:firstLine="3855" w:firstLineChars="1200"/>
        <w:jc w:val="both"/>
        <w:outlineLvl w:val="0"/>
        <w:rPr>
          <w:rFonts w:hint="eastAsia" w:ascii="宋体" w:hAnsi="宋体" w:cs="宋体"/>
          <w:b/>
          <w:kern w:val="0"/>
          <w:sz w:val="32"/>
          <w:szCs w:val="32"/>
          <w:highlight w:val="none"/>
        </w:rPr>
      </w:pPr>
    </w:p>
    <w:p>
      <w:pPr>
        <w:snapToGrid w:val="0"/>
        <w:spacing w:line="360" w:lineRule="auto"/>
        <w:ind w:firstLine="3855" w:firstLineChars="1200"/>
        <w:jc w:val="both"/>
        <w:outlineLvl w:val="0"/>
        <w:rPr>
          <w:rFonts w:ascii="宋体" w:hAnsi="宋体" w:cs="宋体"/>
          <w:b/>
          <w:sz w:val="32"/>
          <w:szCs w:val="32"/>
          <w:highlight w:val="none"/>
        </w:rPr>
      </w:pPr>
      <w:r>
        <w:rPr>
          <w:rFonts w:hint="eastAsia" w:ascii="宋体" w:hAnsi="宋体" w:cs="宋体"/>
          <w:b/>
          <w:kern w:val="0"/>
          <w:sz w:val="32"/>
          <w:szCs w:val="32"/>
          <w:highlight w:val="none"/>
        </w:rPr>
        <w:t>一、投标</w:t>
      </w:r>
      <w:r>
        <w:rPr>
          <w:rFonts w:hint="eastAsia" w:ascii="宋体" w:hAnsi="宋体" w:cs="宋体"/>
          <w:b/>
          <w:sz w:val="32"/>
          <w:szCs w:val="32"/>
          <w:highlight w:val="none"/>
        </w:rPr>
        <w:t>函</w:t>
      </w:r>
    </w:p>
    <w:p>
      <w:pPr>
        <w:snapToGrid w:val="0"/>
        <w:spacing w:line="360" w:lineRule="auto"/>
        <w:rPr>
          <w:rFonts w:ascii="宋体" w:hAnsi="宋体" w:cs="宋体"/>
          <w:sz w:val="24"/>
          <w:highlight w:val="none"/>
        </w:rPr>
      </w:pPr>
      <w:r>
        <w:rPr>
          <w:rFonts w:hint="eastAsia" w:ascii="宋体" w:hAnsi="宋体" w:cs="宋体"/>
          <w:sz w:val="24"/>
          <w:highlight w:val="none"/>
          <w:lang w:eastAsia="zh-CN"/>
        </w:rPr>
        <w:t>杭州市文溪中学</w:t>
      </w:r>
      <w:r>
        <w:rPr>
          <w:rFonts w:hint="eastAsia" w:ascii="宋体" w:hAnsi="宋体" w:cs="宋体"/>
          <w:sz w:val="24"/>
          <w:highlight w:val="none"/>
        </w:rPr>
        <w:t>、杭州市西湖区政府采购中心：</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我方参加你方组织的</w:t>
      </w:r>
      <w:r>
        <w:rPr>
          <w:rFonts w:hint="eastAsia" w:ascii="宋体" w:hAnsi="宋体" w:cs="宋体"/>
          <w:sz w:val="24"/>
          <w:highlight w:val="none"/>
          <w:lang w:eastAsia="zh-CN"/>
        </w:rPr>
        <w:t>杭州市文溪中学校园网络及监控系统建设采购项目</w:t>
      </w:r>
      <w:r>
        <w:rPr>
          <w:rFonts w:hint="eastAsia" w:ascii="宋体" w:hAnsi="宋体" w:cs="宋体"/>
          <w:sz w:val="24"/>
          <w:highlight w:val="none"/>
        </w:rPr>
        <w:t>【招标编号：</w:t>
      </w:r>
      <w:r>
        <w:rPr>
          <w:rFonts w:hint="eastAsia" w:ascii="宋体" w:hAnsi="宋体" w:cs="宋体"/>
          <w:sz w:val="24"/>
          <w:highlight w:val="none"/>
          <w:lang w:eastAsia="zh-CN"/>
        </w:rPr>
        <w:t>XHZFCG-2023-G-18</w:t>
      </w:r>
      <w:r>
        <w:rPr>
          <w:rFonts w:hint="eastAsia" w:ascii="宋体" w:hAnsi="宋体" w:cs="宋体"/>
          <w:sz w:val="24"/>
          <w:highlight w:val="none"/>
        </w:rPr>
        <w:t>】招标的有关活动，并对此项目进行投标。为此：</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1、我方承诺投标有效期从提交投标文件的截止之日起</w:t>
      </w:r>
      <w:r>
        <w:rPr>
          <w:rFonts w:hint="eastAsia" w:ascii="宋体" w:hAnsi="宋体" w:cs="宋体"/>
          <w:sz w:val="24"/>
          <w:highlight w:val="none"/>
          <w:u w:val="single"/>
        </w:rPr>
        <w:t xml:space="preserve">     </w:t>
      </w:r>
      <w:r>
        <w:rPr>
          <w:rFonts w:hint="eastAsia" w:ascii="宋体" w:hAnsi="宋体" w:cs="宋体"/>
          <w:sz w:val="24"/>
          <w:highlight w:val="none"/>
        </w:rPr>
        <w:t>天（不少于90天）</w:t>
      </w:r>
      <w:r>
        <w:rPr>
          <w:rFonts w:hint="eastAsia" w:ascii="宋体" w:hAnsi="宋体" w:cs="宋体"/>
          <w:highlight w:val="none"/>
        </w:rPr>
        <w:t>，</w:t>
      </w:r>
      <w:r>
        <w:rPr>
          <w:rFonts w:hint="eastAsia" w:ascii="宋体" w:hAnsi="宋体" w:cs="宋体"/>
          <w:sz w:val="24"/>
          <w:highlight w:val="none"/>
        </w:rPr>
        <w:t>本投标文件在投标有效期满之前均具有约束力。</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2、我方的投标文件包括以下内容：</w:t>
      </w:r>
    </w:p>
    <w:p>
      <w:pPr>
        <w:snapToGrid w:val="0"/>
        <w:spacing w:line="360" w:lineRule="auto"/>
        <w:ind w:left="210" w:leftChars="100" w:firstLine="482" w:firstLineChars="200"/>
        <w:rPr>
          <w:rFonts w:ascii="宋体" w:hAnsi="宋体" w:cs="宋体"/>
          <w:b/>
          <w:bCs/>
          <w:sz w:val="24"/>
          <w:highlight w:val="none"/>
        </w:rPr>
      </w:pPr>
      <w:r>
        <w:rPr>
          <w:rFonts w:hint="eastAsia" w:ascii="宋体" w:hAnsi="宋体" w:cs="宋体"/>
          <w:b/>
          <w:bCs/>
          <w:sz w:val="24"/>
          <w:highlight w:val="none"/>
        </w:rPr>
        <w:t>2.1资格文件：</w:t>
      </w:r>
    </w:p>
    <w:p>
      <w:pPr>
        <w:snapToGrid w:val="0"/>
        <w:spacing w:line="360" w:lineRule="auto"/>
        <w:ind w:left="420" w:leftChars="200" w:firstLine="480" w:firstLineChars="200"/>
        <w:rPr>
          <w:rFonts w:hint="eastAsia" w:ascii="宋体" w:hAnsi="宋体" w:cs="宋体"/>
          <w:sz w:val="24"/>
          <w:highlight w:val="none"/>
        </w:rPr>
      </w:pPr>
      <w:r>
        <w:rPr>
          <w:rFonts w:hint="eastAsia" w:ascii="宋体" w:hAnsi="宋体" w:cs="宋体"/>
          <w:sz w:val="24"/>
          <w:highlight w:val="none"/>
        </w:rPr>
        <w:t>2.1.1承诺函；</w:t>
      </w:r>
    </w:p>
    <w:p>
      <w:pPr>
        <w:snapToGrid w:val="0"/>
        <w:spacing w:line="360" w:lineRule="auto"/>
        <w:ind w:left="420" w:leftChars="200" w:firstLine="480" w:firstLineChars="200"/>
        <w:rPr>
          <w:rFonts w:hint="eastAsia" w:ascii="宋体" w:hAnsi="宋体" w:cs="宋体"/>
          <w:sz w:val="24"/>
          <w:highlight w:val="none"/>
        </w:rPr>
      </w:pPr>
      <w:r>
        <w:rPr>
          <w:rFonts w:hint="eastAsia" w:ascii="宋体" w:hAnsi="宋体" w:cs="宋体"/>
          <w:sz w:val="24"/>
          <w:highlight w:val="none"/>
        </w:rPr>
        <w:t>2.1.</w:t>
      </w:r>
      <w:r>
        <w:rPr>
          <w:rFonts w:hint="default" w:ascii="宋体" w:hAnsi="宋体" w:cs="宋体"/>
          <w:sz w:val="24"/>
          <w:highlight w:val="none"/>
          <w:lang w:val="en-US"/>
        </w:rPr>
        <w:t>2</w:t>
      </w:r>
      <w:r>
        <w:rPr>
          <w:rFonts w:hint="eastAsia" w:ascii="宋体" w:hAnsi="宋体" w:cs="宋体"/>
          <w:sz w:val="24"/>
          <w:highlight w:val="none"/>
          <w:lang w:val="en-US" w:eastAsia="zh-CN"/>
        </w:rPr>
        <w:t>联合协议（如果有）</w:t>
      </w:r>
      <w:r>
        <w:rPr>
          <w:rFonts w:hint="eastAsia" w:ascii="宋体" w:hAnsi="宋体" w:cs="宋体"/>
          <w:sz w:val="24"/>
          <w:highlight w:val="none"/>
        </w:rPr>
        <w:t>；</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w:t>
      </w:r>
      <w:r>
        <w:rPr>
          <w:rFonts w:ascii="宋体" w:hAnsi="宋体" w:cs="宋体"/>
          <w:sz w:val="24"/>
          <w:highlight w:val="none"/>
        </w:rPr>
        <w:t>.1.</w:t>
      </w:r>
      <w:r>
        <w:rPr>
          <w:rFonts w:hint="default" w:ascii="宋体" w:hAnsi="宋体" w:cs="宋体"/>
          <w:sz w:val="24"/>
          <w:highlight w:val="none"/>
          <w:lang w:val="en-US"/>
        </w:rPr>
        <w:t>3</w:t>
      </w:r>
      <w:r>
        <w:rPr>
          <w:rFonts w:hint="eastAsia" w:ascii="宋体" w:hAnsi="宋体" w:cs="宋体"/>
          <w:sz w:val="24"/>
          <w:highlight w:val="none"/>
        </w:rPr>
        <w:t>落实政府采购政策需满足的资格要求</w:t>
      </w:r>
      <w:r>
        <w:rPr>
          <w:rFonts w:hint="eastAsia" w:ascii="宋体" w:hAnsi="宋体" w:cs="宋体"/>
          <w:strike w:val="0"/>
          <w:dstrike w:val="0"/>
          <w:sz w:val="24"/>
          <w:highlight w:val="none"/>
        </w:rPr>
        <w:t>（如果有）</w:t>
      </w:r>
      <w:r>
        <w:rPr>
          <w:rFonts w:hint="eastAsia" w:ascii="宋体" w:hAnsi="宋体" w:cs="宋体"/>
          <w:sz w:val="24"/>
          <w:highlight w:val="none"/>
        </w:rPr>
        <w:t>；</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2.1.</w:t>
      </w:r>
      <w:r>
        <w:rPr>
          <w:rFonts w:hint="default" w:ascii="宋体" w:hAnsi="宋体" w:cs="宋体"/>
          <w:sz w:val="24"/>
          <w:highlight w:val="none"/>
          <w:lang w:val="en-US"/>
        </w:rPr>
        <w:t>4</w:t>
      </w:r>
      <w:r>
        <w:rPr>
          <w:rFonts w:hint="eastAsia" w:ascii="宋体" w:hAnsi="宋体" w:cs="宋体"/>
          <w:sz w:val="24"/>
          <w:highlight w:val="none"/>
        </w:rPr>
        <w:t>本项目的特定资格要求（如果有）。</w:t>
      </w:r>
    </w:p>
    <w:p>
      <w:pPr>
        <w:snapToGrid w:val="0"/>
        <w:spacing w:line="360" w:lineRule="auto"/>
        <w:ind w:left="210" w:leftChars="100" w:firstLine="482" w:firstLineChars="200"/>
        <w:rPr>
          <w:rFonts w:ascii="宋体" w:hAnsi="宋体" w:cs="宋体"/>
          <w:b/>
          <w:bCs/>
          <w:sz w:val="24"/>
          <w:highlight w:val="none"/>
          <w:lang w:val="zh-CN"/>
        </w:rPr>
      </w:pPr>
      <w:r>
        <w:rPr>
          <w:rFonts w:hint="eastAsia" w:ascii="宋体" w:hAnsi="宋体" w:cs="宋体"/>
          <w:b/>
          <w:bCs/>
          <w:sz w:val="24"/>
          <w:highlight w:val="none"/>
        </w:rPr>
        <w:t>2</w:t>
      </w:r>
      <w:r>
        <w:rPr>
          <w:rFonts w:hint="eastAsia" w:ascii="宋体" w:hAnsi="宋体" w:cs="宋体"/>
          <w:b/>
          <w:bCs/>
          <w:sz w:val="24"/>
          <w:highlight w:val="none"/>
          <w:lang w:val="zh-CN"/>
        </w:rPr>
        <w:t>.</w:t>
      </w:r>
      <w:r>
        <w:rPr>
          <w:rFonts w:hint="eastAsia" w:ascii="宋体" w:hAnsi="宋体" w:cs="宋体"/>
          <w:b/>
          <w:bCs/>
          <w:sz w:val="24"/>
          <w:highlight w:val="none"/>
        </w:rPr>
        <w:t>2</w:t>
      </w:r>
      <w:r>
        <w:rPr>
          <w:rFonts w:hint="eastAsia" w:ascii="宋体" w:hAnsi="宋体" w:cs="宋体"/>
          <w:b/>
          <w:bCs/>
          <w:sz w:val="24"/>
          <w:highlight w:val="none"/>
          <w:lang w:val="zh-CN"/>
        </w:rPr>
        <w:t xml:space="preserve"> </w:t>
      </w:r>
      <w:r>
        <w:rPr>
          <w:rFonts w:hint="eastAsia" w:ascii="宋体" w:hAnsi="宋体" w:cs="宋体"/>
          <w:b/>
          <w:bCs/>
          <w:sz w:val="24"/>
          <w:highlight w:val="none"/>
        </w:rPr>
        <w:t>商务技术</w:t>
      </w:r>
      <w:r>
        <w:rPr>
          <w:rFonts w:hint="eastAsia" w:ascii="宋体" w:hAnsi="宋体" w:cs="宋体"/>
          <w:b/>
          <w:bCs/>
          <w:sz w:val="24"/>
          <w:highlight w:val="none"/>
          <w:lang w:val="zh-CN"/>
        </w:rPr>
        <w:t>文件：</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2.2.1投标函；</w:t>
      </w:r>
      <w:r>
        <w:rPr>
          <w:rFonts w:hint="eastAsia" w:ascii="宋体" w:hAnsi="宋体" w:cs="宋体"/>
          <w:sz w:val="24"/>
          <w:highlight w:val="none"/>
          <w:lang w:val="zh-CN"/>
        </w:rPr>
        <w:t xml:space="preserve"> </w:t>
      </w:r>
    </w:p>
    <w:p>
      <w:pPr>
        <w:snapToGrid w:val="0"/>
        <w:spacing w:line="360" w:lineRule="auto"/>
        <w:ind w:left="420" w:leftChars="200" w:firstLine="480" w:firstLineChars="200"/>
        <w:rPr>
          <w:rFonts w:hint="eastAsia" w:ascii="宋体" w:hAnsi="宋体" w:cs="宋体"/>
          <w:sz w:val="24"/>
          <w:highlight w:val="none"/>
        </w:rPr>
      </w:pPr>
      <w:r>
        <w:rPr>
          <w:rFonts w:hint="eastAsia" w:ascii="宋体" w:hAnsi="宋体" w:cs="宋体"/>
          <w:sz w:val="24"/>
          <w:highlight w:val="none"/>
        </w:rPr>
        <w:t>2.2.2授权委托书或法定代表人（单位负责人）身份证明；</w:t>
      </w:r>
    </w:p>
    <w:p>
      <w:pPr>
        <w:snapToGrid w:val="0"/>
        <w:spacing w:line="360" w:lineRule="auto"/>
        <w:ind w:left="420" w:leftChars="200" w:firstLine="480" w:firstLineChars="200"/>
        <w:rPr>
          <w:rFonts w:hint="eastAsia" w:ascii="宋体" w:hAnsi="宋体" w:cs="宋体"/>
          <w:sz w:val="24"/>
          <w:highlight w:val="none"/>
        </w:rPr>
      </w:pPr>
      <w:r>
        <w:rPr>
          <w:rFonts w:hint="eastAsia" w:ascii="宋体" w:hAnsi="宋体" w:cs="宋体"/>
          <w:sz w:val="24"/>
          <w:highlight w:val="none"/>
        </w:rPr>
        <w:t>2.2.</w:t>
      </w:r>
      <w:r>
        <w:rPr>
          <w:rFonts w:hint="default" w:ascii="宋体" w:hAnsi="宋体" w:cs="宋体"/>
          <w:sz w:val="24"/>
          <w:highlight w:val="none"/>
          <w:lang w:val="en-US"/>
        </w:rPr>
        <w:t>3</w:t>
      </w:r>
      <w:r>
        <w:rPr>
          <w:rFonts w:hint="eastAsia" w:ascii="宋体" w:hAnsi="宋体" w:cs="宋体"/>
          <w:sz w:val="24"/>
          <w:highlight w:val="none"/>
          <w:lang w:eastAsia="zh-CN"/>
        </w:rPr>
        <w:t>分包意向协议</w:t>
      </w:r>
      <w:r>
        <w:rPr>
          <w:rFonts w:hint="eastAsia" w:ascii="宋体" w:hAnsi="宋体" w:cs="宋体"/>
          <w:sz w:val="24"/>
          <w:highlight w:val="none"/>
        </w:rPr>
        <w:t>；</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w:t>
      </w:r>
      <w:r>
        <w:rPr>
          <w:rFonts w:hint="default" w:ascii="宋体" w:hAnsi="宋体" w:cs="宋体"/>
          <w:sz w:val="24"/>
          <w:highlight w:val="none"/>
          <w:lang w:val="en-US"/>
        </w:rPr>
        <w:t>4</w:t>
      </w:r>
      <w:r>
        <w:rPr>
          <w:rFonts w:hint="eastAsia" w:ascii="宋体" w:hAnsi="宋体" w:cs="宋体"/>
          <w:sz w:val="24"/>
          <w:highlight w:val="none"/>
        </w:rPr>
        <w:t>符合性审查资料；</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w:t>
      </w:r>
      <w:r>
        <w:rPr>
          <w:rFonts w:hint="default" w:ascii="宋体" w:hAnsi="宋体" w:cs="宋体"/>
          <w:sz w:val="24"/>
          <w:highlight w:val="none"/>
          <w:lang w:val="en-US"/>
        </w:rPr>
        <w:t>5</w:t>
      </w:r>
      <w:r>
        <w:rPr>
          <w:rFonts w:hint="eastAsia" w:ascii="宋体" w:hAnsi="宋体" w:cs="宋体"/>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hint="default" w:ascii="宋体" w:hAnsi="宋体" w:cs="宋体"/>
          <w:color w:val="auto"/>
          <w:sz w:val="24"/>
          <w:highlight w:val="none"/>
          <w:lang w:val="en-US"/>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hint="eastAsia" w:ascii="宋体" w:hAnsi="宋体" w:cs="宋体"/>
          <w:sz w:val="24"/>
          <w:highlight w:val="none"/>
        </w:rPr>
      </w:pPr>
      <w:r>
        <w:rPr>
          <w:rFonts w:hint="eastAsia" w:ascii="宋体" w:hAnsi="宋体" w:cs="宋体"/>
          <w:sz w:val="24"/>
          <w:highlight w:val="none"/>
        </w:rPr>
        <w:t>2.2.</w:t>
      </w:r>
      <w:r>
        <w:rPr>
          <w:rFonts w:hint="default" w:ascii="宋体" w:hAnsi="宋体" w:cs="宋体"/>
          <w:sz w:val="24"/>
          <w:highlight w:val="none"/>
          <w:lang w:val="en-US"/>
        </w:rPr>
        <w:t>7</w:t>
      </w:r>
      <w:r>
        <w:rPr>
          <w:rFonts w:hint="eastAsia" w:ascii="宋体" w:hAnsi="宋体" w:cs="宋体"/>
          <w:sz w:val="24"/>
          <w:highlight w:val="none"/>
        </w:rPr>
        <w:t>商务技术偏离表；</w:t>
      </w:r>
    </w:p>
    <w:p>
      <w:pPr>
        <w:snapToGrid w:val="0"/>
        <w:spacing w:line="360" w:lineRule="auto"/>
        <w:ind w:left="420" w:leftChars="200" w:firstLine="480" w:firstLineChars="200"/>
        <w:rPr>
          <w:rFonts w:ascii="宋体" w:hAnsi="宋体" w:cs="宋体"/>
          <w:sz w:val="24"/>
          <w:highlight w:val="none"/>
          <w:lang w:val="zh-CN"/>
        </w:rPr>
      </w:pP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rPr>
        <w:t>2</w:t>
      </w:r>
      <w:r>
        <w:rPr>
          <w:rFonts w:hint="eastAsia" w:ascii="宋体" w:hAnsi="宋体" w:cs="宋体"/>
          <w:sz w:val="24"/>
          <w:highlight w:val="none"/>
          <w:lang w:val="zh-CN"/>
        </w:rPr>
        <w:t>.</w:t>
      </w:r>
      <w:r>
        <w:rPr>
          <w:rFonts w:hint="default" w:ascii="宋体" w:hAnsi="宋体" w:cs="宋体"/>
          <w:sz w:val="24"/>
          <w:highlight w:val="none"/>
          <w:lang w:val="en-US"/>
        </w:rPr>
        <w:t>8</w:t>
      </w:r>
      <w:r>
        <w:rPr>
          <w:rFonts w:hint="eastAsia" w:ascii="宋体" w:hAnsi="宋体" w:cs="宋体"/>
          <w:sz w:val="24"/>
          <w:highlight w:val="none"/>
          <w:lang w:val="zh-CN"/>
        </w:rPr>
        <w:t>政府采购供应商廉洁自律承诺书。</w:t>
      </w:r>
    </w:p>
    <w:p>
      <w:pPr>
        <w:snapToGrid w:val="0"/>
        <w:spacing w:line="360" w:lineRule="auto"/>
        <w:ind w:left="210" w:leftChars="100" w:firstLine="482" w:firstLineChars="200"/>
        <w:rPr>
          <w:rFonts w:ascii="宋体" w:hAnsi="宋体" w:cs="宋体"/>
          <w:b/>
          <w:bCs/>
          <w:sz w:val="24"/>
          <w:highlight w:val="none"/>
        </w:rPr>
      </w:pPr>
      <w:r>
        <w:rPr>
          <w:rFonts w:hint="eastAsia" w:ascii="宋体" w:hAnsi="宋体" w:cs="宋体"/>
          <w:b/>
          <w:bCs/>
          <w:sz w:val="24"/>
          <w:highlight w:val="none"/>
        </w:rPr>
        <w:t>2</w:t>
      </w:r>
      <w:r>
        <w:rPr>
          <w:rFonts w:hint="eastAsia" w:ascii="宋体" w:hAnsi="宋体" w:cs="宋体"/>
          <w:b/>
          <w:bCs/>
          <w:sz w:val="24"/>
          <w:highlight w:val="none"/>
          <w:lang w:val="zh-CN"/>
        </w:rPr>
        <w:t>.</w:t>
      </w:r>
      <w:r>
        <w:rPr>
          <w:rFonts w:hint="eastAsia" w:ascii="宋体" w:hAnsi="宋体" w:cs="宋体"/>
          <w:b/>
          <w:bCs/>
          <w:sz w:val="24"/>
          <w:highlight w:val="none"/>
        </w:rPr>
        <w:t>3报价文件</w:t>
      </w:r>
    </w:p>
    <w:p>
      <w:pPr>
        <w:snapToGrid w:val="0"/>
        <w:spacing w:line="360" w:lineRule="auto"/>
        <w:ind w:left="420" w:leftChars="200" w:firstLine="480" w:firstLineChars="200"/>
        <w:rPr>
          <w:rFonts w:hint="eastAsia" w:ascii="宋体" w:hAnsi="宋体" w:eastAsia="宋体" w:cs="宋体"/>
          <w:sz w:val="24"/>
          <w:highlight w:val="none"/>
          <w:lang w:eastAsia="zh-CN"/>
        </w:rPr>
      </w:pPr>
      <w:r>
        <w:rPr>
          <w:rFonts w:hint="eastAsia" w:ascii="宋体" w:hAnsi="宋体" w:cs="宋体"/>
          <w:sz w:val="24"/>
          <w:highlight w:val="none"/>
        </w:rPr>
        <w:t>2.3.1开标一览表（报价表）</w:t>
      </w:r>
      <w:r>
        <w:rPr>
          <w:rFonts w:hint="eastAsia" w:ascii="宋体" w:hAnsi="宋体" w:cs="宋体"/>
          <w:sz w:val="24"/>
          <w:highlight w:val="none"/>
          <w:lang w:eastAsia="zh-CN"/>
        </w:rPr>
        <w:t>。</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4、如我方中标，我方承诺：</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4.4在合同约定的期限内完成合同规定的全部义务。 </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5、其他补充说明:</w:t>
      </w:r>
      <w:r>
        <w:rPr>
          <w:rFonts w:hint="eastAsia" w:ascii="宋体" w:hAnsi="宋体" w:cs="宋体"/>
          <w:sz w:val="24"/>
          <w:highlight w:val="none"/>
          <w:u w:val="single"/>
        </w:rPr>
        <w:t xml:space="preserve">                                        </w:t>
      </w:r>
      <w:r>
        <w:rPr>
          <w:rFonts w:hint="eastAsia" w:ascii="宋体" w:hAnsi="宋体" w:cs="宋体"/>
          <w:sz w:val="24"/>
          <w:highlight w:val="none"/>
        </w:rPr>
        <w:t>。</w:t>
      </w:r>
    </w:p>
    <w:p>
      <w:pPr>
        <w:spacing w:line="360" w:lineRule="auto"/>
        <w:ind w:firstLine="3600" w:firstLineChars="1500"/>
        <w:rPr>
          <w:rFonts w:ascii="宋体" w:hAnsi="宋体" w:cs="宋体"/>
          <w:sz w:val="24"/>
          <w:highlight w:val="none"/>
        </w:rPr>
      </w:pPr>
      <w:r>
        <w:rPr>
          <w:rFonts w:hint="eastAsia" w:ascii="宋体" w:hAnsi="宋体" w:cs="宋体"/>
          <w:sz w:val="24"/>
          <w:highlight w:val="none"/>
        </w:rPr>
        <w:t xml:space="preserve">投标人名称（电子签名）：                          </w:t>
      </w:r>
    </w:p>
    <w:p>
      <w:pPr>
        <w:spacing w:line="360" w:lineRule="auto"/>
        <w:jc w:val="center"/>
        <w:rPr>
          <w:rFonts w:ascii="宋体" w:hAnsi="宋体" w:cs="宋体"/>
          <w:sz w:val="24"/>
          <w:highlight w:val="none"/>
        </w:rPr>
      </w:pPr>
      <w:r>
        <w:rPr>
          <w:rFonts w:hint="eastAsia" w:ascii="宋体" w:hAnsi="宋体" w:cs="宋体"/>
          <w:sz w:val="24"/>
          <w:highlight w:val="none"/>
        </w:rPr>
        <w:t xml:space="preserve">     日期：  年   月   日</w:t>
      </w:r>
    </w:p>
    <w:p>
      <w:pPr>
        <w:snapToGrid w:val="0"/>
        <w:spacing w:line="360" w:lineRule="auto"/>
        <w:ind w:left="420" w:leftChars="200" w:firstLine="4200" w:firstLineChars="1750"/>
        <w:rPr>
          <w:rFonts w:ascii="宋体" w:hAnsi="宋体" w:cs="宋体"/>
          <w:kern w:val="0"/>
          <w:sz w:val="24"/>
          <w:highlight w:val="none"/>
          <w:u w:val="single"/>
        </w:rPr>
      </w:pP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lang w:val="zh-CN"/>
        </w:rPr>
      </w:pPr>
      <w:r>
        <w:rPr>
          <w:rFonts w:hint="eastAsia" w:ascii="宋体" w:hAnsi="宋体" w:cs="宋体"/>
          <w:b/>
          <w:kern w:val="0"/>
          <w:sz w:val="32"/>
          <w:szCs w:val="32"/>
          <w:highlight w:val="none"/>
          <w:lang w:val="zh-CN"/>
        </w:rPr>
        <w:t>二、授权委托书或法定代表人（单位负责人、自然人本人）身份证明</w:t>
      </w:r>
    </w:p>
    <w:p>
      <w:pPr>
        <w:snapToGrid w:val="0"/>
        <w:spacing w:line="360" w:lineRule="auto"/>
        <w:rPr>
          <w:rFonts w:ascii="宋体" w:hAnsi="宋体" w:cs="宋体"/>
          <w:sz w:val="24"/>
          <w:highlight w:val="none"/>
        </w:rPr>
      </w:pPr>
      <w:r>
        <w:rPr>
          <w:rFonts w:hint="eastAsia" w:ascii="宋体" w:hAnsi="宋体" w:cs="宋体"/>
          <w:sz w:val="24"/>
          <w:highlight w:val="none"/>
        </w:rPr>
        <w:t xml:space="preserve">                                </w:t>
      </w:r>
    </w:p>
    <w:p>
      <w:pPr>
        <w:snapToGrid w:val="0"/>
        <w:spacing w:line="360" w:lineRule="auto"/>
        <w:ind w:firstLine="2872" w:firstLineChars="894"/>
        <w:rPr>
          <w:rFonts w:ascii="宋体" w:hAnsi="宋体" w:cs="宋体"/>
          <w:highlight w:val="none"/>
        </w:rPr>
      </w:pPr>
      <w:r>
        <w:rPr>
          <w:rFonts w:hint="eastAsia" w:ascii="宋体" w:hAnsi="宋体" w:cs="宋体"/>
          <w:b/>
          <w:kern w:val="0"/>
          <w:sz w:val="32"/>
          <w:szCs w:val="32"/>
          <w:highlight w:val="none"/>
          <w:lang w:val="zh-CN"/>
        </w:rPr>
        <w:t>授权委托书（适用于非联合体投标）</w:t>
      </w:r>
      <w:r>
        <w:rPr>
          <w:rFonts w:hint="eastAsia" w:ascii="宋体" w:hAnsi="宋体" w:cs="宋体"/>
          <w:highlight w:val="none"/>
        </w:rPr>
        <w:t xml:space="preserve">                               </w:t>
      </w:r>
    </w:p>
    <w:p>
      <w:pPr>
        <w:snapToGrid w:val="0"/>
        <w:spacing w:line="360" w:lineRule="auto"/>
        <w:rPr>
          <w:rFonts w:ascii="宋体" w:hAnsi="宋体" w:cs="宋体"/>
          <w:kern w:val="0"/>
          <w:sz w:val="24"/>
          <w:highlight w:val="none"/>
        </w:rPr>
      </w:pPr>
      <w:r>
        <w:rPr>
          <w:rFonts w:hint="eastAsia" w:ascii="宋体" w:hAnsi="宋体" w:cs="宋体"/>
          <w:sz w:val="24"/>
          <w:highlight w:val="none"/>
          <w:lang w:eastAsia="zh-CN"/>
        </w:rPr>
        <w:t>杭州市文溪中学</w:t>
      </w:r>
      <w:r>
        <w:rPr>
          <w:rFonts w:hint="eastAsia" w:ascii="宋体" w:hAnsi="宋体" w:cs="宋体"/>
          <w:sz w:val="24"/>
          <w:highlight w:val="none"/>
        </w:rPr>
        <w:t>、杭州市西湖区政府采购中心</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rPr>
      </w:pPr>
      <w:r>
        <w:rPr>
          <w:rFonts w:hint="eastAsia" w:ascii="宋体" w:hAnsi="宋体" w:cs="宋体"/>
          <w:kern w:val="0"/>
          <w:sz w:val="24"/>
          <w:highlight w:val="none"/>
        </w:rPr>
        <w:t>现</w:t>
      </w:r>
      <w:r>
        <w:rPr>
          <w:rFonts w:hint="eastAsia" w:ascii="宋体" w:hAnsi="宋体" w:cs="宋体"/>
          <w:kern w:val="0"/>
          <w:sz w:val="24"/>
          <w:highlight w:val="none"/>
          <w:lang w:val="zh-CN"/>
        </w:rPr>
        <w:t>委托</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（姓名）为我方代理人（身份证号码：</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，手机：</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），以我方名义处理</w:t>
      </w:r>
      <w:r>
        <w:rPr>
          <w:rFonts w:hint="eastAsia" w:ascii="宋体" w:hAnsi="宋体" w:cs="宋体"/>
          <w:sz w:val="24"/>
          <w:highlight w:val="none"/>
          <w:lang w:eastAsia="zh-CN"/>
        </w:rPr>
        <w:t>杭州市文溪中学校园网络及监控系统建设采购项目</w:t>
      </w:r>
      <w:r>
        <w:rPr>
          <w:rFonts w:hint="eastAsia" w:ascii="宋体" w:hAnsi="宋体" w:cs="宋体"/>
          <w:sz w:val="24"/>
          <w:highlight w:val="none"/>
        </w:rPr>
        <w:t>【招标编号：</w:t>
      </w:r>
      <w:r>
        <w:rPr>
          <w:rFonts w:hint="eastAsia" w:ascii="宋体" w:hAnsi="宋体" w:cs="宋体"/>
          <w:sz w:val="24"/>
          <w:highlight w:val="none"/>
          <w:lang w:eastAsia="zh-CN"/>
        </w:rPr>
        <w:t>XHZFCG-2023-G-18</w:t>
      </w:r>
      <w:r>
        <w:rPr>
          <w:rFonts w:hint="eastAsia" w:ascii="宋体" w:hAnsi="宋体" w:cs="宋体"/>
          <w:sz w:val="24"/>
          <w:highlight w:val="none"/>
        </w:rPr>
        <w:t>】</w:t>
      </w:r>
      <w:r>
        <w:rPr>
          <w:rFonts w:hint="eastAsia" w:ascii="宋体" w:hAnsi="宋体" w:cs="宋体"/>
          <w:kern w:val="0"/>
          <w:sz w:val="24"/>
          <w:highlight w:val="none"/>
          <w:lang w:val="zh-CN"/>
        </w:rPr>
        <w:t>政府采购投标的一切事项，其法律后果由我方承担。</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 xml:space="preserve">    </w:t>
      </w:r>
      <w:r>
        <w:rPr>
          <w:rFonts w:hint="eastAsia" w:ascii="宋体" w:hAnsi="宋体" w:cs="宋体"/>
          <w:kern w:val="0"/>
          <w:sz w:val="24"/>
          <w:highlight w:val="none"/>
          <w:lang w:val="zh-CN"/>
        </w:rPr>
        <w:t>委托期限</w:t>
      </w:r>
      <w:r>
        <w:rPr>
          <w:rFonts w:hint="eastAsia" w:ascii="宋体" w:hAnsi="宋体" w:cs="宋体"/>
          <w:kern w:val="0"/>
          <w:sz w:val="24"/>
          <w:highlight w:val="none"/>
        </w:rPr>
        <w:t>：</w:t>
      </w:r>
      <w:r>
        <w:rPr>
          <w:rFonts w:hint="eastAsia" w:ascii="宋体" w:hAnsi="宋体" w:cs="宋体"/>
          <w:kern w:val="0"/>
          <w:sz w:val="24"/>
          <w:highlight w:val="none"/>
          <w:lang w:val="zh-CN"/>
        </w:rPr>
        <w:t>自</w:t>
      </w:r>
      <w:r>
        <w:rPr>
          <w:rFonts w:hint="eastAsia" w:ascii="宋体" w:hAnsi="宋体" w:cs="宋体"/>
          <w:kern w:val="0"/>
          <w:sz w:val="24"/>
          <w:highlight w:val="none"/>
        </w:rPr>
        <w:t xml:space="preserve">   </w:t>
      </w:r>
      <w:r>
        <w:rPr>
          <w:rFonts w:hint="eastAsia" w:ascii="宋体" w:hAnsi="宋体" w:cs="宋体"/>
          <w:kern w:val="0"/>
          <w:sz w:val="24"/>
          <w:highlight w:val="none"/>
          <w:lang w:val="zh-CN"/>
        </w:rPr>
        <w:t>年</w:t>
      </w:r>
      <w:r>
        <w:rPr>
          <w:rFonts w:hint="eastAsia" w:ascii="宋体" w:hAnsi="宋体" w:cs="宋体"/>
          <w:kern w:val="0"/>
          <w:sz w:val="24"/>
          <w:highlight w:val="none"/>
        </w:rPr>
        <w:t xml:space="preserve">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日起至</w:t>
      </w:r>
      <w:r>
        <w:rPr>
          <w:rFonts w:hint="eastAsia" w:ascii="宋体" w:hAnsi="宋体" w:cs="宋体"/>
          <w:kern w:val="0"/>
          <w:sz w:val="24"/>
          <w:highlight w:val="none"/>
        </w:rPr>
        <w:t xml:space="preserve">  </w:t>
      </w:r>
      <w:r>
        <w:rPr>
          <w:rFonts w:hint="eastAsia" w:ascii="宋体" w:hAnsi="宋体" w:cs="宋体"/>
          <w:kern w:val="0"/>
          <w:sz w:val="24"/>
          <w:highlight w:val="none"/>
          <w:lang w:val="zh-CN"/>
        </w:rPr>
        <w:t>年</w:t>
      </w:r>
      <w:r>
        <w:rPr>
          <w:rFonts w:hint="eastAsia" w:ascii="宋体" w:hAnsi="宋体" w:cs="宋体"/>
          <w:kern w:val="0"/>
          <w:sz w:val="24"/>
          <w:highlight w:val="none"/>
        </w:rPr>
        <w:t xml:space="preserve">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日止。</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 xml:space="preserve">    </w:t>
      </w:r>
      <w:r>
        <w:rPr>
          <w:rFonts w:hint="eastAsia" w:ascii="宋体" w:hAnsi="宋体" w:cs="宋体"/>
          <w:kern w:val="0"/>
          <w:sz w:val="24"/>
          <w:highlight w:val="none"/>
          <w:lang w:val="zh-CN"/>
        </w:rPr>
        <w:t>特此告知。</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val="zh-CN"/>
        </w:rPr>
        <w:t xml:space="preserve">                                                 投标人名称(电子签名)：</w:t>
      </w:r>
    </w:p>
    <w:p>
      <w:pPr>
        <w:snapToGrid w:val="0"/>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 xml:space="preserve">                                                 签发日期：  年  月   日</w:t>
      </w:r>
    </w:p>
    <w:p>
      <w:pPr>
        <w:jc w:val="center"/>
        <w:rPr>
          <w:rFonts w:hint="eastAsia"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 xml:space="preserve"> </w:t>
      </w:r>
    </w:p>
    <w:p>
      <w:pPr>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lang w:val="zh-CN"/>
        </w:rPr>
        <w:t>授权委托书（适用于联合体投标）</w:t>
      </w:r>
    </w:p>
    <w:p>
      <w:pPr>
        <w:snapToGrid w:val="0"/>
        <w:spacing w:line="360" w:lineRule="auto"/>
        <w:rPr>
          <w:rFonts w:cs="宋体" w:asciiTheme="minorEastAsia" w:hAnsiTheme="minorEastAsia" w:eastAsiaTheme="minorEastAsia"/>
          <w:kern w:val="0"/>
          <w:sz w:val="24"/>
          <w:highlight w:val="none"/>
        </w:rPr>
      </w:pPr>
      <w:r>
        <w:rPr>
          <w:rFonts w:hint="eastAsia" w:ascii="宋体" w:hAnsi="宋体" w:cs="宋体"/>
          <w:sz w:val="24"/>
          <w:highlight w:val="none"/>
          <w:lang w:eastAsia="zh-CN"/>
        </w:rPr>
        <w:t>杭州市文溪中学</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eastAsia="zh-CN"/>
        </w:rPr>
        <w:t>杭州市西湖区政府采购中心</w:t>
      </w:r>
      <w:r>
        <w:rPr>
          <w:rFonts w:hint="eastAsia" w:cs="宋体" w:asciiTheme="minorEastAsia" w:hAnsiTheme="minorEastAsia" w:eastAsiaTheme="minorEastAsia"/>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现</w:t>
      </w:r>
      <w:r>
        <w:rPr>
          <w:rFonts w:hint="eastAsia" w:cs="宋体" w:asciiTheme="minorEastAsia" w:hAnsiTheme="minorEastAsia" w:eastAsiaTheme="minorEastAsia"/>
          <w:kern w:val="0"/>
          <w:sz w:val="24"/>
          <w:highlight w:val="none"/>
          <w:lang w:val="zh-CN"/>
        </w:rPr>
        <w:t>委托</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kern w:val="0"/>
          <w:sz w:val="24"/>
          <w:highlight w:val="none"/>
          <w:lang w:val="zh-CN"/>
        </w:rPr>
        <w:t>（姓名）为我方代理人（身份证号码：</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kern w:val="0"/>
          <w:sz w:val="24"/>
          <w:highlight w:val="none"/>
          <w:lang w:val="zh-CN"/>
        </w:rPr>
        <w:t>，手机：</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kern w:val="0"/>
          <w:sz w:val="24"/>
          <w:highlight w:val="none"/>
          <w:lang w:val="zh-CN"/>
        </w:rPr>
        <w:t>），以我方名义处理</w:t>
      </w:r>
      <w:r>
        <w:rPr>
          <w:rFonts w:hint="eastAsia" w:ascii="宋体" w:hAnsi="宋体" w:cs="宋体"/>
          <w:sz w:val="24"/>
          <w:highlight w:val="none"/>
          <w:lang w:eastAsia="zh-CN"/>
        </w:rPr>
        <w:t>杭州市文溪中学校园网络及监控系统建设采购项目</w:t>
      </w:r>
      <w:r>
        <w:rPr>
          <w:rFonts w:hint="eastAsia" w:cs="宋体" w:asciiTheme="minorEastAsia" w:hAnsiTheme="minorEastAsia" w:eastAsiaTheme="minorEastAsia"/>
          <w:sz w:val="24"/>
          <w:highlight w:val="none"/>
        </w:rPr>
        <w:t>【招标编号：XHZFCG-2023-G-18】</w:t>
      </w:r>
      <w:r>
        <w:rPr>
          <w:rFonts w:hint="eastAsia" w:cs="宋体" w:asciiTheme="minorEastAsia" w:hAnsiTheme="minorEastAsia" w:eastAsiaTheme="minorEastAsia"/>
          <w:kern w:val="0"/>
          <w:sz w:val="24"/>
          <w:highlight w:val="none"/>
          <w:lang w:val="zh-CN"/>
        </w:rPr>
        <w:t>政府采购投标的一切事项，其法律后果由我方承担。</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委托期限</w:t>
      </w:r>
      <w:r>
        <w:rPr>
          <w:rFonts w:hint="eastAsia" w:cs="宋体" w:asciiTheme="minorEastAsia" w:hAnsiTheme="minorEastAsia" w:eastAsiaTheme="minorEastAsia"/>
          <w:kern w:val="0"/>
          <w:sz w:val="24"/>
          <w:highlight w:val="none"/>
        </w:rPr>
        <w:t>：</w:t>
      </w:r>
      <w:r>
        <w:rPr>
          <w:rFonts w:hint="eastAsia" w:cs="宋体" w:asciiTheme="minorEastAsia" w:hAnsiTheme="minorEastAsia" w:eastAsiaTheme="minorEastAsia"/>
          <w:kern w:val="0"/>
          <w:sz w:val="24"/>
          <w:highlight w:val="none"/>
          <w:lang w:val="zh-CN"/>
        </w:rPr>
        <w:t>自</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年</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月</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日起至</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年</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月</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日止。</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特此告知。</w:t>
      </w:r>
    </w:p>
    <w:p>
      <w:pPr>
        <w:jc w:val="center"/>
        <w:rPr>
          <w:rFonts w:cs="宋体" w:asciiTheme="minorEastAsia" w:hAnsiTheme="minorEastAsia" w:eastAsiaTheme="minorEastAsia"/>
          <w:b/>
          <w:kern w:val="0"/>
          <w:sz w:val="32"/>
          <w:szCs w:val="32"/>
          <w:highlight w:val="none"/>
        </w:rPr>
      </w:pPr>
    </w:p>
    <w:p>
      <w:pPr>
        <w:rPr>
          <w:rFonts w:cs="宋体" w:asciiTheme="minorEastAsia" w:hAnsiTheme="minorEastAsia" w:eastAsiaTheme="minorEastAsia"/>
          <w:highlight w:val="none"/>
        </w:rPr>
      </w:pPr>
    </w:p>
    <w:p>
      <w:pPr>
        <w:snapToGrid w:val="0"/>
        <w:spacing w:line="360" w:lineRule="auto"/>
        <w:ind w:firstLine="5040" w:firstLine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联合体成员名称(电子签名/公章)：</w:t>
      </w:r>
    </w:p>
    <w:p>
      <w:pPr>
        <w:snapToGrid w:val="0"/>
        <w:spacing w:line="360" w:lineRule="auto"/>
        <w:ind w:firstLine="5040" w:firstLine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联合体成员名称(电子签名/公章)：</w:t>
      </w:r>
    </w:p>
    <w:p>
      <w:pPr>
        <w:snapToGrid w:val="0"/>
        <w:spacing w:line="360" w:lineRule="auto"/>
        <w:ind w:firstLine="5760" w:firstLineChars="2400"/>
        <w:rPr>
          <w:rFonts w:cs="宋体" w:asciiTheme="minorEastAsia" w:hAnsiTheme="minorEastAsia" w:eastAsiaTheme="minorEastAsia"/>
          <w:highlight w:val="none"/>
        </w:rPr>
      </w:pPr>
      <w:r>
        <w:rPr>
          <w:rFonts w:hint="eastAsia" w:cs="宋体" w:asciiTheme="minorEastAsia" w:hAnsiTheme="minorEastAsia" w:eastAsiaTheme="minorEastAsia"/>
          <w:kern w:val="0"/>
          <w:sz w:val="24"/>
          <w:highlight w:val="none"/>
          <w:lang w:val="zh-CN"/>
        </w:rPr>
        <w:t>……</w:t>
      </w:r>
    </w:p>
    <w:p>
      <w:pPr>
        <w:snapToGrid w:val="0"/>
        <w:spacing w:line="360" w:lineRule="auto"/>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日期：  年  月   日</w:t>
      </w:r>
    </w:p>
    <w:p>
      <w:pPr>
        <w:autoSpaceDE w:val="0"/>
        <w:autoSpaceDN w:val="0"/>
        <w:spacing w:line="360" w:lineRule="auto"/>
        <w:jc w:val="left"/>
        <w:rPr>
          <w:rFonts w:ascii="宋体" w:hAnsi="宋体" w:cs="宋体"/>
          <w:b/>
          <w:kern w:val="0"/>
          <w:sz w:val="32"/>
          <w:szCs w:val="32"/>
          <w:highlight w:val="none"/>
          <w:u w:val="single"/>
          <w:lang w:val="zh-CN"/>
        </w:rPr>
      </w:pPr>
      <w:r>
        <w:rPr>
          <w:rFonts w:hint="eastAsia" w:ascii="宋体" w:hAnsi="宋体" w:cs="宋体"/>
          <w:b/>
          <w:kern w:val="0"/>
          <w:sz w:val="24"/>
          <w:highlight w:val="none"/>
          <w:u w:val="single"/>
          <w:lang w:val="zh-CN"/>
        </w:rPr>
        <w:t>注：▲供应商委派不在本单位缴纳社保的人员作为授权代表（代理人）的，应当在投标（响应）文件中，说明具体原因、授权代表缴纳社保的单位，并附列该授权代表缴纳社保清单。</w:t>
      </w:r>
    </w:p>
    <w:p>
      <w:pPr>
        <w:snapToGrid w:val="0"/>
        <w:spacing w:line="360" w:lineRule="auto"/>
        <w:rPr>
          <w:rFonts w:ascii="宋体" w:hAnsi="宋体" w:cs="宋体"/>
          <w:sz w:val="24"/>
          <w:highlight w:val="none"/>
        </w:rPr>
      </w:pPr>
    </w:p>
    <w:p>
      <w:pPr>
        <w:pStyle w:val="4"/>
        <w:rPr>
          <w:highlight w:val="none"/>
        </w:rPr>
      </w:pPr>
    </w:p>
    <w:p>
      <w:pPr>
        <w:snapToGrid w:val="0"/>
        <w:spacing w:line="360" w:lineRule="auto"/>
        <w:rPr>
          <w:rFonts w:ascii="宋体" w:hAnsi="宋体" w:cs="宋体"/>
          <w:sz w:val="24"/>
          <w:highlight w:val="none"/>
        </w:rPr>
      </w:pPr>
    </w:p>
    <w:p>
      <w:pPr>
        <w:snapToGrid w:val="0"/>
        <w:spacing w:line="360" w:lineRule="auto"/>
        <w:rPr>
          <w:rFonts w:ascii="宋体" w:hAnsi="宋体" w:cs="宋体"/>
          <w:b/>
          <w:sz w:val="24"/>
          <w:highlight w:val="none"/>
        </w:rPr>
      </w:pPr>
      <w:r>
        <w:rPr>
          <w:rFonts w:hint="eastAsia" w:ascii="宋体" w:hAnsi="宋体" w:cs="宋体"/>
          <w:b/>
          <w:kern w:val="0"/>
          <w:sz w:val="32"/>
          <w:szCs w:val="32"/>
          <w:highlight w:val="none"/>
          <w:lang w:val="zh-CN"/>
        </w:rPr>
        <w:t xml:space="preserve">  法定代表人、单位负责人或自然人本人</w:t>
      </w:r>
      <w:r>
        <w:rPr>
          <w:rFonts w:hint="eastAsia" w:ascii="宋体" w:hAnsi="宋体" w:cs="宋体"/>
          <w:b/>
          <w:sz w:val="30"/>
          <w:szCs w:val="30"/>
          <w:highlight w:val="none"/>
        </w:rPr>
        <w:t>的身份证明（适用于法定代表人、单位负责人或者自然人本人代表投标人参加投标）</w:t>
      </w:r>
    </w:p>
    <w:p>
      <w:pPr>
        <w:pStyle w:val="147"/>
        <w:spacing w:line="360" w:lineRule="auto"/>
        <w:rPr>
          <w:rFonts w:hAnsi="宋体" w:cs="宋体"/>
          <w:bCs/>
          <w:sz w:val="24"/>
          <w:highlight w:val="none"/>
        </w:rPr>
      </w:pPr>
      <w:r>
        <w:rPr>
          <w:rFonts w:hint="eastAsia" w:hAnsi="宋体" w:cs="宋体"/>
          <w:bCs/>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hAnsi="宋体" w:cs="宋体"/>
                <w:bCs/>
                <w:sz w:val="24"/>
                <w:highlight w:val="none"/>
              </w:rPr>
            </w:pPr>
            <w:r>
              <w:rPr>
                <w:rFonts w:hint="eastAsia" w:hAnsi="宋体" w:cs="宋体"/>
                <w:bCs/>
                <w:sz w:val="24"/>
                <w:highlight w:val="none"/>
              </w:rPr>
              <w:t>正面：                                 反面：</w:t>
            </w:r>
          </w:p>
          <w:p>
            <w:pPr>
              <w:pStyle w:val="147"/>
              <w:adjustRightInd w:val="0"/>
              <w:spacing w:line="360" w:lineRule="auto"/>
              <w:rPr>
                <w:rFonts w:hAnsi="宋体" w:cs="宋体"/>
                <w:bCs/>
                <w:sz w:val="24"/>
                <w:highlight w:val="none"/>
              </w:rPr>
            </w:pPr>
          </w:p>
        </w:tc>
      </w:tr>
    </w:tbl>
    <w:p>
      <w:pPr>
        <w:snapToGrid w:val="0"/>
        <w:spacing w:line="360" w:lineRule="auto"/>
        <w:jc w:val="both"/>
        <w:rPr>
          <w:rFonts w:ascii="宋体" w:hAnsi="宋体" w:cs="宋体"/>
          <w:kern w:val="0"/>
          <w:sz w:val="24"/>
          <w:highlight w:val="none"/>
          <w:lang w:val="zh-CN"/>
        </w:rPr>
      </w:pPr>
      <w:r>
        <w:rPr>
          <w:rFonts w:hint="eastAsia" w:ascii="宋体" w:hAnsi="宋体" w:cs="宋体"/>
          <w:kern w:val="0"/>
          <w:sz w:val="24"/>
          <w:highlight w:val="none"/>
          <w:lang w:val="zh-CN"/>
        </w:rPr>
        <w:t xml:space="preserve">             </w:t>
      </w:r>
    </w:p>
    <w:p>
      <w:pPr>
        <w:snapToGrid w:val="0"/>
        <w:spacing w:line="360" w:lineRule="auto"/>
        <w:ind w:firstLine="576"/>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投标人名称(电子签名)：                              </w:t>
      </w:r>
    </w:p>
    <w:p>
      <w:pPr>
        <w:spacing w:line="360" w:lineRule="auto"/>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jc w:val="center"/>
        <w:rPr>
          <w:rFonts w:ascii="宋体" w:hAnsi="宋体" w:cs="宋体"/>
          <w:b/>
          <w:kern w:val="0"/>
          <w:sz w:val="32"/>
          <w:szCs w:val="32"/>
          <w:highlight w:val="none"/>
        </w:rPr>
      </w:pPr>
    </w:p>
    <w:p>
      <w:pPr>
        <w:snapToGrid w:val="0"/>
        <w:spacing w:line="360" w:lineRule="auto"/>
        <w:ind w:firstLine="3534" w:firstLineChars="1100"/>
        <w:rPr>
          <w:rFonts w:ascii="宋体" w:hAnsi="宋体" w:cs="宋体"/>
          <w:b/>
          <w:kern w:val="0"/>
          <w:sz w:val="32"/>
          <w:szCs w:val="32"/>
          <w:highlight w:val="none"/>
        </w:rPr>
      </w:pPr>
      <w:r>
        <w:rPr>
          <w:rFonts w:hint="eastAsia" w:ascii="宋体" w:hAnsi="宋体" w:cs="宋体"/>
          <w:b/>
          <w:kern w:val="0"/>
          <w:sz w:val="32"/>
          <w:szCs w:val="32"/>
          <w:highlight w:val="none"/>
        </w:rPr>
        <w:t>三、分包意向协议</w:t>
      </w:r>
    </w:p>
    <w:p>
      <w:pPr>
        <w:widowControl/>
        <w:spacing w:line="360" w:lineRule="auto"/>
        <w:ind w:firstLine="120" w:firstLineChars="50"/>
        <w:jc w:val="left"/>
        <w:rPr>
          <w:rFonts w:ascii="宋体" w:hAnsi="宋体" w:cs="宋体"/>
          <w:sz w:val="24"/>
          <w:highlight w:val="none"/>
        </w:rPr>
      </w:pPr>
      <w:bookmarkStart w:id="398" w:name="_Hlk101169080"/>
      <w:r>
        <w:rPr>
          <w:rFonts w:hint="eastAsia" w:ascii="宋体" w:hAnsi="宋体" w:cs="宋体"/>
          <w:sz w:val="24"/>
          <w:highlight w:val="none"/>
        </w:rPr>
        <w:t>[</w:t>
      </w:r>
      <w:r>
        <w:rPr>
          <w:rFonts w:hint="eastAsia" w:ascii="宋体" w:hAnsi="宋体" w:cs="宋体"/>
          <w:b/>
          <w:sz w:val="24"/>
          <w:highlight w:val="none"/>
        </w:rPr>
        <w:t>中标后以分包方式履行合同的，提供分包意向协议(附件6</w:t>
      </w:r>
      <w:r>
        <w:rPr>
          <w:rFonts w:ascii="宋体" w:hAnsi="宋体" w:cs="宋体"/>
          <w:b/>
          <w:sz w:val="24"/>
          <w:highlight w:val="none"/>
        </w:rPr>
        <w:t>)</w:t>
      </w:r>
      <w:r>
        <w:rPr>
          <w:rFonts w:hint="eastAsia" w:ascii="宋体" w:hAnsi="宋体" w:cs="宋体"/>
          <w:b/>
          <w:sz w:val="24"/>
          <w:highlight w:val="none"/>
        </w:rPr>
        <w:t>；采购人不同意分包或者投标人中标后不以分包方式履行合同的，则不需要提供。</w:t>
      </w:r>
      <w:r>
        <w:rPr>
          <w:rFonts w:hint="eastAsia" w:ascii="宋体" w:hAnsi="宋体" w:cs="宋体"/>
          <w:sz w:val="24"/>
          <w:highlight w:val="none"/>
        </w:rPr>
        <w:t>]</w:t>
      </w:r>
    </w:p>
    <w:bookmarkEnd w:id="398"/>
    <w:p>
      <w:pPr>
        <w:snapToGrid w:val="0"/>
        <w:spacing w:line="360" w:lineRule="auto"/>
        <w:rPr>
          <w:rFonts w:ascii="宋体" w:hAnsi="宋体" w:cs="宋体"/>
          <w:kern w:val="0"/>
          <w:sz w:val="24"/>
          <w:highlight w:val="none"/>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lang w:eastAsia="zh-CN"/>
        </w:rPr>
        <w:t>四</w:t>
      </w:r>
      <w:r>
        <w:rPr>
          <w:rFonts w:hint="eastAsia" w:ascii="宋体" w:hAnsi="宋体" w:cs="宋体"/>
          <w:b/>
          <w:kern w:val="0"/>
          <w:sz w:val="32"/>
          <w:szCs w:val="32"/>
          <w:highlight w:val="none"/>
        </w:rPr>
        <w:t>、符合性审查资料</w:t>
      </w:r>
    </w:p>
    <w:p>
      <w:pPr>
        <w:jc w:val="center"/>
        <w:rPr>
          <w:rFonts w:ascii="宋体" w:hAnsi="宋体" w:cs="宋体"/>
          <w:b/>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序号</w:t>
            </w:r>
          </w:p>
        </w:tc>
        <w:tc>
          <w:tcPr>
            <w:tcW w:w="4991"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实质性要求</w:t>
            </w:r>
          </w:p>
        </w:tc>
        <w:tc>
          <w:tcPr>
            <w:tcW w:w="2551"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需要提供的符合性审查资料</w:t>
            </w:r>
          </w:p>
        </w:tc>
        <w:tc>
          <w:tcPr>
            <w:tcW w:w="1418"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投标文件中的</w:t>
            </w:r>
          </w:p>
          <w:p>
            <w:pPr>
              <w:snapToGrid w:val="0"/>
              <w:spacing w:line="240" w:lineRule="atLeast"/>
              <w:jc w:val="center"/>
              <w:rPr>
                <w:rFonts w:ascii="宋体" w:hAnsi="宋体" w:cs="宋体"/>
                <w:b/>
                <w:sz w:val="24"/>
                <w:highlight w:val="none"/>
              </w:rPr>
            </w:pPr>
            <w:r>
              <w:rPr>
                <w:rFonts w:hint="eastAsia" w:ascii="宋体" w:hAnsi="宋体" w:cs="宋体"/>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highlight w:val="none"/>
              </w:rPr>
            </w:pPr>
            <w:r>
              <w:rPr>
                <w:rFonts w:hint="eastAsia" w:ascii="宋体" w:hAnsi="宋体" w:cs="宋体"/>
                <w:sz w:val="24"/>
                <w:highlight w:val="none"/>
              </w:rPr>
              <w:t>1</w:t>
            </w:r>
          </w:p>
        </w:tc>
        <w:tc>
          <w:tcPr>
            <w:tcW w:w="4991" w:type="dxa"/>
            <w:vAlign w:val="center"/>
          </w:tcPr>
          <w:p>
            <w:pPr>
              <w:spacing w:line="360" w:lineRule="auto"/>
              <w:jc w:val="left"/>
              <w:rPr>
                <w:rFonts w:ascii="宋体" w:hAnsi="宋体" w:cs="宋体"/>
                <w:sz w:val="24"/>
                <w:highlight w:val="none"/>
              </w:rPr>
            </w:pPr>
            <w:r>
              <w:rPr>
                <w:rFonts w:hint="eastAsia" w:ascii="宋体" w:hAnsi="宋体" w:cs="宋体"/>
                <w:sz w:val="24"/>
                <w:highlight w:val="none"/>
              </w:rPr>
              <w:t>投标文件按照招标文件要求签署、盖章。</w:t>
            </w:r>
          </w:p>
        </w:tc>
        <w:tc>
          <w:tcPr>
            <w:tcW w:w="2551" w:type="dxa"/>
            <w:vAlign w:val="center"/>
          </w:tcPr>
          <w:p>
            <w:pPr>
              <w:rPr>
                <w:rFonts w:ascii="宋体" w:hAnsi="宋体" w:cs="宋体"/>
                <w:sz w:val="24"/>
                <w:highlight w:val="none"/>
              </w:rPr>
            </w:pPr>
            <w:r>
              <w:rPr>
                <w:rFonts w:hint="eastAsia" w:ascii="宋体" w:hAnsi="宋体" w:cs="宋体"/>
                <w:sz w:val="24"/>
                <w:highlight w:val="none"/>
              </w:rPr>
              <w:t>需要使用电子签名或者签字盖章的投标文件的组成部分</w:t>
            </w:r>
          </w:p>
        </w:tc>
        <w:tc>
          <w:tcPr>
            <w:tcW w:w="1418" w:type="dxa"/>
            <w:vAlign w:val="center"/>
          </w:tcPr>
          <w:p>
            <w:pPr>
              <w:jc w:val="left"/>
              <w:rPr>
                <w:rFonts w:ascii="宋体" w:hAnsi="宋体" w:cs="宋体"/>
                <w:sz w:val="24"/>
                <w:highlight w:val="none"/>
              </w:rPr>
            </w:pPr>
            <w:r>
              <w:rPr>
                <w:rFonts w:hint="eastAsia" w:ascii="宋体" w:hAnsi="宋体" w:cs="宋体"/>
                <w:sz w:val="24"/>
                <w:highlight w:val="none"/>
              </w:rPr>
              <w:t>见投标文件</w:t>
            </w:r>
          </w:p>
          <w:p>
            <w:pPr>
              <w:jc w:val="left"/>
              <w:rPr>
                <w:rFonts w:ascii="宋体" w:hAnsi="宋体" w:cs="宋体"/>
                <w:highlight w:val="none"/>
              </w:rPr>
            </w:pPr>
            <w:r>
              <w:rPr>
                <w:rFonts w:hint="eastAsia" w:ascii="宋体" w:hAnsi="宋体" w:cs="宋体"/>
                <w:sz w:val="24"/>
                <w:highlight w:val="none"/>
              </w:rPr>
              <w:t>第</w:t>
            </w:r>
            <w:r>
              <w:rPr>
                <w:rFonts w:hint="eastAsia" w:ascii="宋体" w:hAnsi="宋体" w:cs="宋体"/>
                <w:sz w:val="24"/>
                <w:highlight w:val="none"/>
                <w:u w:val="single"/>
              </w:rPr>
              <w:t xml:space="preserve">  </w:t>
            </w:r>
            <w:r>
              <w:rPr>
                <w:rFonts w:hint="eastAsia" w:ascii="宋体" w:hAnsi="宋体" w:cs="宋体"/>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宋体" w:hAnsi="宋体" w:cs="宋体"/>
                <w:sz w:val="24"/>
                <w:highlight w:val="none"/>
              </w:rPr>
            </w:pPr>
            <w:r>
              <w:rPr>
                <w:rFonts w:hint="eastAsia" w:ascii="宋体" w:hAnsi="宋体" w:cs="宋体"/>
                <w:sz w:val="24"/>
                <w:highlight w:val="none"/>
              </w:rPr>
              <w:t>2</w:t>
            </w:r>
          </w:p>
        </w:tc>
        <w:tc>
          <w:tcPr>
            <w:tcW w:w="4991" w:type="dxa"/>
            <w:vAlign w:val="center"/>
          </w:tcPr>
          <w:p>
            <w:pPr>
              <w:spacing w:line="360" w:lineRule="auto"/>
              <w:jc w:val="left"/>
              <w:rPr>
                <w:rFonts w:ascii="宋体" w:hAnsi="宋体" w:cs="宋体"/>
                <w:sz w:val="24"/>
                <w:highlight w:val="none"/>
              </w:rPr>
            </w:pPr>
            <w:r>
              <w:rPr>
                <w:rFonts w:hint="eastAsia" w:ascii="宋体" w:hAnsi="宋体" w:cs="宋体"/>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宋体" w:hAnsi="宋体" w:cs="宋体"/>
                <w:sz w:val="24"/>
                <w:highlight w:val="none"/>
              </w:rPr>
            </w:pPr>
            <w:r>
              <w:rPr>
                <w:rFonts w:hint="eastAsia" w:ascii="宋体" w:hAnsi="宋体" w:cs="宋体"/>
                <w:sz w:val="24"/>
                <w:highlight w:val="none"/>
              </w:rPr>
              <w:t>节能产品认证证书</w:t>
            </w:r>
            <w:r>
              <w:rPr>
                <w:rFonts w:hint="eastAsia" w:ascii="宋体" w:hAnsi="宋体" w:cs="宋体"/>
                <w:b/>
                <w:bCs/>
                <w:sz w:val="24"/>
                <w:highlight w:val="none"/>
              </w:rPr>
              <w:t>（本项目拟采购的产品不属于政府强制采购的节能产品品目清单范围的，无需提供）</w:t>
            </w:r>
          </w:p>
        </w:tc>
        <w:tc>
          <w:tcPr>
            <w:tcW w:w="1418" w:type="dxa"/>
            <w:vAlign w:val="center"/>
          </w:tcPr>
          <w:p>
            <w:pPr>
              <w:jc w:val="left"/>
              <w:rPr>
                <w:rFonts w:ascii="宋体" w:hAnsi="宋体" w:cs="宋体"/>
                <w:sz w:val="24"/>
                <w:highlight w:val="none"/>
              </w:rPr>
            </w:pPr>
            <w:r>
              <w:rPr>
                <w:rFonts w:hint="eastAsia" w:ascii="宋体" w:hAnsi="宋体" w:cs="宋体"/>
                <w:sz w:val="24"/>
                <w:highlight w:val="none"/>
              </w:rPr>
              <w:t>见投标文件</w:t>
            </w:r>
          </w:p>
          <w:p>
            <w:pPr>
              <w:pStyle w:val="4"/>
              <w:jc w:val="left"/>
              <w:rPr>
                <w:rFonts w:ascii="宋体" w:hAnsi="宋体" w:eastAsia="宋体" w:cs="宋体"/>
                <w:highlight w:val="none"/>
                <w:lang w:val="en-US"/>
              </w:rPr>
            </w:pPr>
            <w:r>
              <w:rPr>
                <w:rFonts w:hint="eastAsia" w:ascii="宋体" w:hAnsi="宋体" w:eastAsia="宋体" w:cs="宋体"/>
                <w:b w:val="0"/>
                <w:bCs w:val="0"/>
                <w:sz w:val="24"/>
                <w:szCs w:val="24"/>
                <w:highlight w:val="none"/>
                <w:lang w:val="en-US"/>
              </w:rPr>
              <w:t>第</w:t>
            </w:r>
            <w:r>
              <w:rPr>
                <w:rFonts w:hint="eastAsia" w:ascii="宋体" w:hAnsi="宋体" w:eastAsia="宋体" w:cs="宋体"/>
                <w:b w:val="0"/>
                <w:bCs w:val="0"/>
                <w:sz w:val="24"/>
                <w:szCs w:val="24"/>
                <w:highlight w:val="none"/>
                <w:u w:val="single"/>
                <w:lang w:val="en-US"/>
              </w:rPr>
              <w:t xml:space="preserve">  </w:t>
            </w:r>
            <w:r>
              <w:rPr>
                <w:rFonts w:hint="eastAsia" w:ascii="宋体" w:hAnsi="宋体" w:eastAsia="宋体" w:cs="宋体"/>
                <w:b w:val="0"/>
                <w:bCs w:val="0"/>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highlight w:val="none"/>
              </w:rPr>
            </w:pPr>
            <w:r>
              <w:rPr>
                <w:rFonts w:hint="eastAsia" w:ascii="宋体" w:hAnsi="宋体" w:cs="宋体"/>
                <w:sz w:val="24"/>
                <w:highlight w:val="none"/>
              </w:rPr>
              <w:t>3</w:t>
            </w:r>
          </w:p>
        </w:tc>
        <w:tc>
          <w:tcPr>
            <w:tcW w:w="4991" w:type="dxa"/>
            <w:vAlign w:val="center"/>
          </w:tcPr>
          <w:p>
            <w:pPr>
              <w:spacing w:line="360" w:lineRule="auto"/>
              <w:jc w:val="left"/>
              <w:rPr>
                <w:rFonts w:ascii="宋体" w:hAnsi="宋体" w:cs="宋体"/>
                <w:sz w:val="24"/>
                <w:highlight w:val="none"/>
              </w:rPr>
            </w:pPr>
            <w:r>
              <w:rPr>
                <w:rFonts w:hint="eastAsia" w:ascii="宋体" w:hAnsi="宋体" w:cs="宋体"/>
                <w:sz w:val="24"/>
                <w:highlight w:val="none"/>
              </w:rPr>
              <w:t>投标文件中承诺的投标有效期不少于招标文件中载明的投标有效期。</w:t>
            </w:r>
          </w:p>
        </w:tc>
        <w:tc>
          <w:tcPr>
            <w:tcW w:w="2551" w:type="dxa"/>
            <w:vAlign w:val="center"/>
          </w:tcPr>
          <w:p>
            <w:pPr>
              <w:rPr>
                <w:rFonts w:ascii="宋体" w:hAnsi="宋体" w:cs="宋体"/>
                <w:sz w:val="24"/>
                <w:highlight w:val="none"/>
              </w:rPr>
            </w:pPr>
            <w:r>
              <w:rPr>
                <w:rFonts w:hint="eastAsia" w:ascii="宋体" w:hAnsi="宋体" w:cs="宋体"/>
                <w:sz w:val="24"/>
                <w:highlight w:val="none"/>
              </w:rPr>
              <w:t>投标函</w:t>
            </w:r>
          </w:p>
        </w:tc>
        <w:tc>
          <w:tcPr>
            <w:tcW w:w="1418" w:type="dxa"/>
            <w:vAlign w:val="center"/>
          </w:tcPr>
          <w:p>
            <w:pPr>
              <w:jc w:val="left"/>
              <w:rPr>
                <w:rFonts w:ascii="宋体" w:hAnsi="宋体" w:cs="宋体"/>
                <w:highlight w:val="none"/>
              </w:rPr>
            </w:pPr>
            <w:r>
              <w:rPr>
                <w:rFonts w:hint="eastAsia" w:ascii="宋体" w:hAnsi="宋体" w:cs="宋体"/>
                <w:sz w:val="24"/>
                <w:highlight w:val="none"/>
              </w:rPr>
              <w:t>见投标文件第</w:t>
            </w:r>
            <w:r>
              <w:rPr>
                <w:rFonts w:hint="eastAsia" w:ascii="宋体" w:hAnsi="宋体" w:cs="宋体"/>
                <w:sz w:val="24"/>
                <w:highlight w:val="none"/>
                <w:u w:val="single"/>
              </w:rPr>
              <w:t xml:space="preserve">  </w:t>
            </w:r>
            <w:r>
              <w:rPr>
                <w:rFonts w:hint="eastAsia" w:ascii="宋体" w:hAnsi="宋体" w:cs="宋体"/>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highlight w:val="none"/>
              </w:rPr>
            </w:pPr>
            <w:r>
              <w:rPr>
                <w:rFonts w:hint="eastAsia" w:ascii="宋体" w:hAnsi="宋体" w:cs="宋体"/>
                <w:sz w:val="24"/>
                <w:highlight w:val="none"/>
              </w:rPr>
              <w:t>4</w:t>
            </w:r>
          </w:p>
        </w:tc>
        <w:tc>
          <w:tcPr>
            <w:tcW w:w="4991" w:type="dxa"/>
            <w:vAlign w:val="center"/>
          </w:tcPr>
          <w:p>
            <w:pPr>
              <w:spacing w:line="360" w:lineRule="auto"/>
              <w:jc w:val="left"/>
              <w:rPr>
                <w:rFonts w:ascii="宋体" w:hAnsi="宋体" w:cs="宋体"/>
                <w:sz w:val="24"/>
                <w:highlight w:val="none"/>
              </w:rPr>
            </w:pPr>
            <w:r>
              <w:rPr>
                <w:rFonts w:hint="eastAsia" w:ascii="宋体" w:hAnsi="宋体" w:cs="宋体"/>
                <w:sz w:val="24"/>
                <w:highlight w:val="none"/>
              </w:rPr>
              <w:t>投标文件满足招标文件的其它</w:t>
            </w:r>
            <w:r>
              <w:rPr>
                <w:rFonts w:hint="eastAsia" w:ascii="宋体" w:hAnsi="宋体" w:cs="宋体"/>
                <w:kern w:val="0"/>
                <w:sz w:val="24"/>
                <w:highlight w:val="none"/>
              </w:rPr>
              <w:t>实质性</w:t>
            </w:r>
            <w:r>
              <w:rPr>
                <w:rFonts w:hint="eastAsia" w:ascii="宋体" w:hAnsi="宋体" w:cs="宋体"/>
                <w:sz w:val="24"/>
                <w:highlight w:val="none"/>
              </w:rPr>
              <w:t>要求。</w:t>
            </w:r>
          </w:p>
        </w:tc>
        <w:tc>
          <w:tcPr>
            <w:tcW w:w="2551" w:type="dxa"/>
            <w:vAlign w:val="center"/>
          </w:tcPr>
          <w:p>
            <w:pPr>
              <w:rPr>
                <w:rFonts w:ascii="宋体" w:hAnsi="宋体" w:cs="宋体"/>
                <w:sz w:val="24"/>
                <w:highlight w:val="none"/>
              </w:rPr>
            </w:pPr>
            <w:r>
              <w:rPr>
                <w:rFonts w:hint="eastAsia" w:ascii="宋体" w:hAnsi="宋体" w:cs="宋体"/>
                <w:kern w:val="0"/>
                <w:sz w:val="24"/>
                <w:highlight w:val="none"/>
              </w:rPr>
              <w:t>招标文件其它实质性要求相应的材料（“▲” 系指实质性要求条款，招标文件无其它实质性要求的，无需提供）</w:t>
            </w:r>
          </w:p>
        </w:tc>
        <w:tc>
          <w:tcPr>
            <w:tcW w:w="1418" w:type="dxa"/>
            <w:vAlign w:val="center"/>
          </w:tcPr>
          <w:p>
            <w:pPr>
              <w:jc w:val="left"/>
              <w:rPr>
                <w:rFonts w:ascii="宋体" w:hAnsi="宋体" w:cs="宋体"/>
                <w:highlight w:val="none"/>
              </w:rPr>
            </w:pPr>
            <w:r>
              <w:rPr>
                <w:rFonts w:hint="eastAsia" w:ascii="宋体" w:hAnsi="宋体" w:cs="宋体"/>
                <w:sz w:val="24"/>
                <w:highlight w:val="none"/>
              </w:rPr>
              <w:t>见投标文件第</w:t>
            </w:r>
            <w:r>
              <w:rPr>
                <w:rFonts w:hint="eastAsia" w:ascii="宋体" w:hAnsi="宋体" w:cs="宋体"/>
                <w:sz w:val="24"/>
                <w:highlight w:val="none"/>
                <w:u w:val="single"/>
              </w:rPr>
              <w:t xml:space="preserve">  </w:t>
            </w:r>
            <w:r>
              <w:rPr>
                <w:rFonts w:hint="eastAsia" w:ascii="宋体" w:hAnsi="宋体" w:cs="宋体"/>
                <w:sz w:val="24"/>
                <w:highlight w:val="none"/>
              </w:rPr>
              <w:t>页</w:t>
            </w:r>
          </w:p>
        </w:tc>
      </w:tr>
    </w:tbl>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jc w:val="center"/>
        <w:rPr>
          <w:rFonts w:ascii="宋体" w:hAnsi="宋体" w:cs="宋体"/>
          <w:b/>
          <w:kern w:val="0"/>
          <w:sz w:val="32"/>
          <w:szCs w:val="32"/>
          <w:highlight w:val="none"/>
        </w:rPr>
      </w:pPr>
      <w:r>
        <w:rPr>
          <w:rFonts w:hint="eastAsia" w:ascii="宋体" w:hAnsi="宋体" w:cs="宋体"/>
          <w:b/>
          <w:kern w:val="0"/>
          <w:sz w:val="32"/>
          <w:szCs w:val="32"/>
          <w:highlight w:val="none"/>
        </w:rPr>
        <w:t xml:space="preserve">        </w:t>
      </w:r>
    </w:p>
    <w:p>
      <w:pPr>
        <w:jc w:val="center"/>
        <w:rPr>
          <w:rFonts w:ascii="宋体" w:hAnsi="宋体" w:cs="宋体"/>
          <w:highlight w:val="none"/>
        </w:rPr>
      </w:pPr>
      <w:r>
        <w:rPr>
          <w:rFonts w:hint="eastAsia" w:ascii="宋体" w:hAnsi="宋体" w:cs="宋体"/>
          <w:b/>
          <w:kern w:val="0"/>
          <w:sz w:val="32"/>
          <w:szCs w:val="32"/>
          <w:highlight w:val="none"/>
          <w:lang w:eastAsia="zh-CN"/>
        </w:rPr>
        <w:t>五</w:t>
      </w:r>
      <w:r>
        <w:rPr>
          <w:rFonts w:hint="eastAsia" w:ascii="宋体" w:hAnsi="宋体" w:cs="宋体"/>
          <w:b/>
          <w:kern w:val="0"/>
          <w:sz w:val="32"/>
          <w:szCs w:val="32"/>
          <w:highlight w:val="none"/>
        </w:rPr>
        <w:t>、评标标准相应的商务技术资料</w:t>
      </w:r>
    </w:p>
    <w:p>
      <w:pPr>
        <w:snapToGrid w:val="0"/>
        <w:spacing w:line="360" w:lineRule="auto"/>
        <w:jc w:val="left"/>
        <w:rPr>
          <w:rFonts w:ascii="宋体" w:hAnsi="宋体" w:cs="宋体"/>
          <w:b/>
          <w:sz w:val="24"/>
          <w:highlight w:val="none"/>
        </w:rPr>
      </w:pPr>
      <w:r>
        <w:rPr>
          <w:rFonts w:hint="eastAsia" w:ascii="宋体" w:hAnsi="宋体" w:cs="宋体"/>
          <w:b/>
          <w:sz w:val="24"/>
          <w:highlight w:val="none"/>
        </w:rPr>
        <w:t>（按招标文件第四部分评标办法前附表中“投标文件中评标标准相应的商务技术资料目录”提供资料</w:t>
      </w:r>
      <w:r>
        <w:rPr>
          <w:rFonts w:hint="eastAsia" w:ascii="宋体" w:hAnsi="宋体" w:eastAsia="宋体" w:cs="宋体"/>
          <w:b/>
          <w:sz w:val="24"/>
          <w:highlight w:val="none"/>
          <w:lang w:val="en-US" w:eastAsia="zh-CN"/>
        </w:rPr>
        <w:t>。</w:t>
      </w:r>
      <w:r>
        <w:rPr>
          <w:rFonts w:hint="eastAsia" w:ascii="宋体" w:hAnsi="宋体" w:cs="宋体"/>
          <w:b/>
          <w:sz w:val="24"/>
          <w:highlight w:val="none"/>
        </w:rPr>
        <w:t>）</w:t>
      </w:r>
    </w:p>
    <w:p>
      <w:pPr>
        <w:pStyle w:val="2"/>
        <w:rPr>
          <w:rFonts w:hint="default"/>
          <w:highlight w:val="none"/>
          <w:lang w:val="en-US" w:eastAsia="zh-CN"/>
        </w:rPr>
      </w:pPr>
    </w:p>
    <w:p>
      <w:pPr>
        <w:jc w:val="center"/>
        <w:rPr>
          <w:rFonts w:ascii="宋体" w:hAnsi="宋体" w:cs="宋体"/>
          <w:b/>
          <w:kern w:val="0"/>
          <w:sz w:val="32"/>
          <w:szCs w:val="32"/>
          <w:highlight w:val="none"/>
        </w:rPr>
      </w:pPr>
    </w:p>
    <w:p>
      <w:pPr>
        <w:pStyle w:val="4"/>
        <w:rPr>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eastAsia="zh-CN"/>
        </w:rPr>
        <w:t>六</w:t>
      </w:r>
      <w:r>
        <w:rPr>
          <w:rFonts w:hint="eastAsia" w:ascii="宋体" w:hAnsi="宋体" w:cs="宋体"/>
          <w:b/>
          <w:color w:val="auto"/>
          <w:kern w:val="0"/>
          <w:sz w:val="32"/>
          <w:szCs w:val="32"/>
          <w:highlight w:val="none"/>
        </w:rPr>
        <w:t>、投标标的清单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品牌</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型号</w:t>
            </w: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规格配置详细说明</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数量</w:t>
            </w:r>
          </w:p>
        </w:tc>
        <w:tc>
          <w:tcPr>
            <w:tcW w:w="15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lang w:eastAsia="zh-CN"/>
        </w:rPr>
        <w:t>七</w:t>
      </w:r>
      <w:r>
        <w:rPr>
          <w:rFonts w:hint="eastAsia" w:ascii="宋体" w:hAnsi="宋体" w:cs="宋体"/>
          <w:b/>
          <w:kern w:val="0"/>
          <w:sz w:val="32"/>
          <w:szCs w:val="32"/>
          <w:highlight w:val="none"/>
        </w:rPr>
        <w:t>、商务技术偏离表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highlight w:val="none"/>
              </w:rPr>
            </w:pPr>
            <w:r>
              <w:rPr>
                <w:rFonts w:hint="eastAsia" w:ascii="宋体" w:hAnsi="宋体" w:cs="宋体"/>
                <w:b/>
                <w:bCs/>
                <w:sz w:val="24"/>
                <w:highlight w:val="none"/>
              </w:rPr>
              <w:t>序号</w:t>
            </w:r>
          </w:p>
        </w:tc>
        <w:tc>
          <w:tcPr>
            <w:tcW w:w="3683" w:type="dxa"/>
          </w:tcPr>
          <w:p>
            <w:pPr>
              <w:jc w:val="center"/>
              <w:rPr>
                <w:rFonts w:ascii="宋体" w:hAnsi="宋体" w:cs="宋体"/>
                <w:b/>
                <w:bCs/>
                <w:sz w:val="24"/>
                <w:highlight w:val="none"/>
              </w:rPr>
            </w:pPr>
            <w:r>
              <w:rPr>
                <w:rFonts w:hint="eastAsia" w:ascii="宋体" w:hAnsi="宋体" w:cs="宋体"/>
                <w:b/>
                <w:bCs/>
                <w:sz w:val="24"/>
                <w:highlight w:val="none"/>
              </w:rPr>
              <w:t>招标文件章节及具体内容</w:t>
            </w:r>
          </w:p>
        </w:tc>
        <w:tc>
          <w:tcPr>
            <w:tcW w:w="3546" w:type="dxa"/>
          </w:tcPr>
          <w:p>
            <w:pPr>
              <w:jc w:val="center"/>
              <w:rPr>
                <w:rFonts w:ascii="宋体" w:hAnsi="宋体" w:cs="宋体"/>
                <w:b/>
                <w:bCs/>
                <w:sz w:val="24"/>
                <w:highlight w:val="none"/>
              </w:rPr>
            </w:pPr>
            <w:r>
              <w:rPr>
                <w:rFonts w:hint="eastAsia" w:ascii="宋体" w:hAnsi="宋体" w:cs="宋体"/>
                <w:b/>
                <w:bCs/>
                <w:sz w:val="24"/>
                <w:highlight w:val="none"/>
              </w:rPr>
              <w:t>投标文件章节及具体内容</w:t>
            </w:r>
          </w:p>
        </w:tc>
        <w:tc>
          <w:tcPr>
            <w:tcW w:w="1276" w:type="dxa"/>
          </w:tcPr>
          <w:p>
            <w:pPr>
              <w:jc w:val="center"/>
              <w:rPr>
                <w:rFonts w:ascii="宋体" w:hAnsi="宋体" w:cs="宋体"/>
                <w:b/>
                <w:bCs/>
                <w:sz w:val="24"/>
                <w:highlight w:val="none"/>
              </w:rPr>
            </w:pPr>
            <w:r>
              <w:rPr>
                <w:rFonts w:hint="eastAsia" w:ascii="宋体" w:hAnsi="宋体" w:cs="宋体"/>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highlight w:val="none"/>
              </w:rPr>
            </w:pPr>
            <w:r>
              <w:rPr>
                <w:rFonts w:hint="eastAsia" w:ascii="宋体" w:hAnsi="宋体" w:cs="宋体"/>
                <w:kern w:val="0"/>
                <w:sz w:val="24"/>
                <w:highlight w:val="none"/>
              </w:rPr>
              <w:t>1</w:t>
            </w:r>
          </w:p>
        </w:tc>
        <w:tc>
          <w:tcPr>
            <w:tcW w:w="3683" w:type="dxa"/>
          </w:tcPr>
          <w:p>
            <w:pPr>
              <w:jc w:val="center"/>
              <w:rPr>
                <w:rFonts w:ascii="宋体" w:hAnsi="宋体" w:cs="宋体"/>
                <w:b/>
                <w:kern w:val="0"/>
                <w:sz w:val="32"/>
                <w:szCs w:val="32"/>
                <w:highlight w:val="none"/>
              </w:rPr>
            </w:pPr>
          </w:p>
        </w:tc>
        <w:tc>
          <w:tcPr>
            <w:tcW w:w="3546" w:type="dxa"/>
          </w:tcPr>
          <w:p>
            <w:pPr>
              <w:jc w:val="center"/>
              <w:rPr>
                <w:rFonts w:ascii="宋体" w:hAnsi="宋体" w:cs="宋体"/>
                <w:b/>
                <w:kern w:val="0"/>
                <w:sz w:val="32"/>
                <w:szCs w:val="32"/>
                <w:highlight w:val="none"/>
              </w:rPr>
            </w:pPr>
          </w:p>
        </w:tc>
        <w:tc>
          <w:tcPr>
            <w:tcW w:w="1276" w:type="dxa"/>
          </w:tcPr>
          <w:p>
            <w:pPr>
              <w:jc w:val="center"/>
              <w:rPr>
                <w:rFonts w:ascii="宋体" w:hAnsi="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highlight w:val="none"/>
              </w:rPr>
            </w:pPr>
            <w:r>
              <w:rPr>
                <w:rFonts w:hint="eastAsia" w:ascii="宋体" w:hAnsi="宋体" w:cs="宋体"/>
                <w:kern w:val="0"/>
                <w:sz w:val="24"/>
                <w:highlight w:val="none"/>
              </w:rPr>
              <w:t>2</w:t>
            </w:r>
          </w:p>
        </w:tc>
        <w:tc>
          <w:tcPr>
            <w:tcW w:w="3683" w:type="dxa"/>
          </w:tcPr>
          <w:p>
            <w:pPr>
              <w:jc w:val="center"/>
              <w:rPr>
                <w:rFonts w:ascii="宋体" w:hAnsi="宋体" w:cs="宋体"/>
                <w:b/>
                <w:kern w:val="0"/>
                <w:sz w:val="32"/>
                <w:szCs w:val="32"/>
                <w:highlight w:val="none"/>
              </w:rPr>
            </w:pPr>
          </w:p>
        </w:tc>
        <w:tc>
          <w:tcPr>
            <w:tcW w:w="3546" w:type="dxa"/>
          </w:tcPr>
          <w:p>
            <w:pPr>
              <w:jc w:val="center"/>
              <w:rPr>
                <w:rFonts w:ascii="宋体" w:hAnsi="宋体" w:cs="宋体"/>
                <w:b/>
                <w:kern w:val="0"/>
                <w:sz w:val="32"/>
                <w:szCs w:val="32"/>
                <w:highlight w:val="none"/>
              </w:rPr>
            </w:pPr>
          </w:p>
        </w:tc>
        <w:tc>
          <w:tcPr>
            <w:tcW w:w="1276" w:type="dxa"/>
          </w:tcPr>
          <w:p>
            <w:pPr>
              <w:jc w:val="center"/>
              <w:rPr>
                <w:rFonts w:ascii="宋体" w:hAnsi="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highlight w:val="none"/>
              </w:rPr>
            </w:pPr>
            <w:r>
              <w:rPr>
                <w:rFonts w:hint="eastAsia" w:ascii="宋体" w:hAnsi="宋体" w:cs="宋体"/>
                <w:kern w:val="0"/>
                <w:sz w:val="24"/>
                <w:highlight w:val="none"/>
              </w:rPr>
              <w:t>……</w:t>
            </w:r>
          </w:p>
        </w:tc>
        <w:tc>
          <w:tcPr>
            <w:tcW w:w="3683" w:type="dxa"/>
          </w:tcPr>
          <w:p>
            <w:pPr>
              <w:jc w:val="center"/>
              <w:rPr>
                <w:rFonts w:ascii="宋体" w:hAnsi="宋体" w:cs="宋体"/>
                <w:b/>
                <w:kern w:val="0"/>
                <w:sz w:val="32"/>
                <w:szCs w:val="32"/>
                <w:highlight w:val="none"/>
              </w:rPr>
            </w:pPr>
          </w:p>
        </w:tc>
        <w:tc>
          <w:tcPr>
            <w:tcW w:w="3546" w:type="dxa"/>
          </w:tcPr>
          <w:p>
            <w:pPr>
              <w:jc w:val="center"/>
              <w:rPr>
                <w:rFonts w:ascii="宋体" w:hAnsi="宋体" w:cs="宋体"/>
                <w:b/>
                <w:kern w:val="0"/>
                <w:sz w:val="32"/>
                <w:szCs w:val="32"/>
                <w:highlight w:val="none"/>
              </w:rPr>
            </w:pPr>
          </w:p>
        </w:tc>
        <w:tc>
          <w:tcPr>
            <w:tcW w:w="1276" w:type="dxa"/>
          </w:tcPr>
          <w:p>
            <w:pPr>
              <w:jc w:val="center"/>
              <w:rPr>
                <w:rFonts w:ascii="宋体" w:hAnsi="宋体" w:cs="宋体"/>
                <w:b/>
                <w:kern w:val="0"/>
                <w:sz w:val="32"/>
                <w:szCs w:val="32"/>
                <w:highlight w:val="none"/>
              </w:rPr>
            </w:pPr>
          </w:p>
        </w:tc>
      </w:tr>
    </w:tbl>
    <w:p>
      <w:pPr>
        <w:jc w:val="left"/>
        <w:rPr>
          <w:rFonts w:ascii="宋体" w:hAnsi="宋体" w:cs="宋体"/>
          <w:kern w:val="0"/>
          <w:sz w:val="24"/>
          <w:highlight w:val="none"/>
        </w:rPr>
      </w:pPr>
      <w:r>
        <w:rPr>
          <w:rFonts w:hint="eastAsia" w:ascii="宋体" w:hAnsi="宋体" w:cs="宋体"/>
          <w:kern w:val="0"/>
          <w:sz w:val="24"/>
          <w:highlight w:val="none"/>
        </w:rPr>
        <w:t>投标人保证：除商务技术偏离表列出的偏离外，投标人响应招标文件的全部要求</w:t>
      </w:r>
    </w:p>
    <w:p>
      <w:pPr>
        <w:jc w:val="center"/>
        <w:rPr>
          <w:rFonts w:ascii="宋体" w:hAnsi="宋体" w:cs="宋体"/>
          <w:b/>
          <w:kern w:val="0"/>
          <w:sz w:val="32"/>
          <w:szCs w:val="32"/>
          <w:highlight w:val="none"/>
        </w:rPr>
      </w:pP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ind w:firstLine="1911" w:firstLineChars="595"/>
        <w:rPr>
          <w:rFonts w:hint="eastAsia" w:ascii="宋体" w:hAnsi="宋体" w:cs="宋体"/>
          <w:b/>
          <w:bCs/>
          <w:sz w:val="32"/>
          <w:szCs w:val="32"/>
          <w:highlight w:val="none"/>
        </w:rPr>
      </w:pPr>
    </w:p>
    <w:p>
      <w:pPr>
        <w:ind w:firstLine="1911" w:firstLineChars="595"/>
        <w:rPr>
          <w:rFonts w:hint="eastAsia" w:ascii="宋体" w:hAnsi="宋体" w:cs="宋体"/>
          <w:b/>
          <w:bCs/>
          <w:sz w:val="32"/>
          <w:szCs w:val="32"/>
          <w:highlight w:val="none"/>
        </w:rPr>
      </w:pPr>
    </w:p>
    <w:p>
      <w:pPr>
        <w:spacing w:line="360" w:lineRule="auto"/>
        <w:ind w:firstLine="1911" w:firstLineChars="595"/>
        <w:rPr>
          <w:rFonts w:ascii="宋体" w:hAnsi="宋体" w:cs="宋体"/>
          <w:b/>
          <w:kern w:val="0"/>
          <w:sz w:val="32"/>
          <w:szCs w:val="32"/>
          <w:highlight w:val="none"/>
        </w:rPr>
      </w:pPr>
      <w:r>
        <w:rPr>
          <w:rFonts w:hint="eastAsia" w:ascii="宋体" w:hAnsi="宋体" w:cs="宋体"/>
          <w:b/>
          <w:bCs/>
          <w:sz w:val="32"/>
          <w:szCs w:val="32"/>
          <w:highlight w:val="none"/>
          <w:lang w:eastAsia="zh-CN"/>
        </w:rPr>
        <w:t>八</w:t>
      </w:r>
      <w:r>
        <w:rPr>
          <w:rFonts w:hint="eastAsia" w:ascii="宋体" w:hAnsi="宋体" w:cs="宋体"/>
          <w:b/>
          <w:kern w:val="0"/>
          <w:sz w:val="32"/>
          <w:szCs w:val="32"/>
          <w:highlight w:val="none"/>
        </w:rPr>
        <w:t>、</w:t>
      </w:r>
      <w:r>
        <w:rPr>
          <w:rFonts w:hint="eastAsia" w:ascii="宋体" w:hAnsi="宋体" w:cs="宋体"/>
          <w:b/>
          <w:kern w:val="0"/>
          <w:sz w:val="32"/>
          <w:szCs w:val="32"/>
          <w:highlight w:val="none"/>
          <w:lang w:val="zh-CN"/>
        </w:rPr>
        <w:t>政府采购供应商廉洁自律承诺书</w:t>
      </w:r>
    </w:p>
    <w:p>
      <w:pPr>
        <w:snapToGrid w:val="0"/>
        <w:spacing w:line="360" w:lineRule="auto"/>
        <w:rPr>
          <w:rFonts w:ascii="宋体" w:hAnsi="宋体" w:cs="宋体"/>
          <w:kern w:val="0"/>
          <w:sz w:val="24"/>
          <w:highlight w:val="none"/>
        </w:rPr>
      </w:pPr>
      <w:r>
        <w:rPr>
          <w:rFonts w:hint="eastAsia" w:ascii="宋体" w:hAnsi="宋体" w:cs="宋体"/>
          <w:sz w:val="24"/>
          <w:highlight w:val="none"/>
          <w:lang w:eastAsia="zh-CN"/>
        </w:rPr>
        <w:t>杭州市文溪中学</w:t>
      </w:r>
      <w:r>
        <w:rPr>
          <w:rFonts w:hint="eastAsia" w:ascii="宋体" w:hAnsi="宋体" w:cs="宋体"/>
          <w:sz w:val="24"/>
          <w:highlight w:val="none"/>
        </w:rPr>
        <w:t>、杭州市西湖区政府采购中心</w:t>
      </w:r>
      <w:r>
        <w:rPr>
          <w:rFonts w:hint="eastAsia" w:ascii="宋体" w:hAnsi="宋体" w:cs="宋体"/>
          <w:kern w:val="0"/>
          <w:sz w:val="24"/>
          <w:highlight w:val="none"/>
          <w:lang w:val="zh-CN"/>
        </w:rPr>
        <w:t>：</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我单位响应你</w:t>
      </w:r>
      <w:r>
        <w:rPr>
          <w:rFonts w:hint="eastAsia" w:ascii="宋体" w:hAnsi="宋体" w:cs="宋体"/>
          <w:sz w:val="24"/>
          <w:highlight w:val="none"/>
        </w:rPr>
        <w:t>单位</w:t>
      </w:r>
      <w:r>
        <w:rPr>
          <w:rFonts w:hint="eastAsia" w:ascii="宋体" w:hAnsi="宋体" w:cs="宋体"/>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highlight w:val="none"/>
          <w:lang w:val="zh-CN"/>
        </w:rPr>
      </w:pPr>
      <w:r>
        <w:rPr>
          <w:rFonts w:hint="eastAsia" w:ascii="宋体" w:hAnsi="宋体" w:cs="宋体"/>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highlight w:val="none"/>
          <w:lang w:val="zh-CN"/>
        </w:rPr>
      </w:pPr>
      <w:r>
        <w:rPr>
          <w:rFonts w:hint="eastAsia" w:ascii="宋体" w:hAnsi="宋体" w:cs="宋体"/>
          <w:kern w:val="0"/>
          <w:sz w:val="24"/>
          <w:highlight w:val="none"/>
          <w:lang w:val="zh-CN"/>
        </w:rPr>
        <w:t>好处；</w:t>
      </w:r>
    </w:p>
    <w:p>
      <w:pPr>
        <w:autoSpaceDE w:val="0"/>
        <w:autoSpaceDN w:val="0"/>
        <w:spacing w:line="360" w:lineRule="auto"/>
        <w:ind w:left="481" w:leftChars="229"/>
        <w:jc w:val="left"/>
        <w:rPr>
          <w:rFonts w:ascii="宋体" w:hAnsi="宋体" w:cs="宋体"/>
          <w:kern w:val="0"/>
          <w:sz w:val="24"/>
          <w:highlight w:val="none"/>
          <w:lang w:val="zh-CN"/>
        </w:rPr>
      </w:pPr>
      <w:r>
        <w:rPr>
          <w:rFonts w:hint="eastAsia" w:ascii="宋体" w:hAnsi="宋体" w:cs="宋体"/>
          <w:kern w:val="0"/>
          <w:sz w:val="24"/>
          <w:highlight w:val="none"/>
          <w:lang w:val="zh-CN"/>
        </w:rPr>
        <w:t>六、严格遵守《</w:t>
      </w:r>
      <w:r>
        <w:rPr>
          <w:rFonts w:hint="eastAsia" w:ascii="宋体" w:hAnsi="宋体" w:cs="宋体"/>
          <w:sz w:val="24"/>
          <w:highlight w:val="none"/>
          <w:lang w:val="zh-CN"/>
        </w:rPr>
        <w:t>中华人民共和国</w:t>
      </w:r>
      <w:r>
        <w:rPr>
          <w:rFonts w:hint="eastAsia" w:ascii="宋体" w:hAnsi="宋体" w:cs="宋体"/>
          <w:kern w:val="0"/>
          <w:sz w:val="24"/>
          <w:highlight w:val="none"/>
          <w:lang w:val="zh-CN"/>
        </w:rPr>
        <w:t>政府采购法》《</w:t>
      </w:r>
      <w:r>
        <w:rPr>
          <w:rFonts w:hint="eastAsia" w:ascii="宋体" w:hAnsi="宋体" w:cs="宋体"/>
          <w:sz w:val="24"/>
          <w:highlight w:val="none"/>
          <w:lang w:val="zh-CN"/>
        </w:rPr>
        <w:t>中华人民共和国</w:t>
      </w:r>
      <w:r>
        <w:rPr>
          <w:rFonts w:hint="eastAsia" w:ascii="宋体" w:hAnsi="宋体" w:cs="宋体"/>
          <w:kern w:val="0"/>
          <w:sz w:val="24"/>
          <w:highlight w:val="none"/>
          <w:lang w:val="zh-CN"/>
        </w:rPr>
        <w:t>招标投标</w:t>
      </w:r>
    </w:p>
    <w:p>
      <w:pPr>
        <w:autoSpaceDE w:val="0"/>
        <w:autoSpaceDN w:val="0"/>
        <w:spacing w:line="360" w:lineRule="auto"/>
        <w:jc w:val="left"/>
        <w:rPr>
          <w:rFonts w:ascii="宋体" w:hAnsi="宋体" w:cs="宋体"/>
          <w:kern w:val="0"/>
          <w:sz w:val="24"/>
          <w:highlight w:val="none"/>
          <w:lang w:val="zh-CN"/>
        </w:rPr>
      </w:pPr>
      <w:r>
        <w:rPr>
          <w:rFonts w:hint="eastAsia" w:ascii="宋体" w:hAnsi="宋体" w:cs="宋体"/>
          <w:kern w:val="0"/>
          <w:sz w:val="24"/>
          <w:highlight w:val="none"/>
          <w:lang w:val="zh-CN"/>
        </w:rPr>
        <w:t>法》</w:t>
      </w:r>
      <w:r>
        <w:rPr>
          <w:rFonts w:hint="eastAsia" w:ascii="宋体" w:hAnsi="宋体" w:cs="宋体"/>
          <w:sz w:val="24"/>
          <w:highlight w:val="none"/>
          <w:lang w:val="zh-CN"/>
        </w:rPr>
        <w:t>《中华人民共和国民法典》</w:t>
      </w:r>
      <w:r>
        <w:rPr>
          <w:rFonts w:hint="eastAsia" w:ascii="宋体" w:hAnsi="宋体" w:cs="宋体"/>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如违反上述承诺，你</w:t>
      </w:r>
      <w:r>
        <w:rPr>
          <w:rFonts w:hint="eastAsia" w:ascii="宋体" w:hAnsi="宋体" w:cs="宋体"/>
          <w:sz w:val="24"/>
          <w:highlight w:val="none"/>
        </w:rPr>
        <w:t>单位</w:t>
      </w:r>
      <w:r>
        <w:rPr>
          <w:rFonts w:hint="eastAsia" w:ascii="宋体" w:hAnsi="宋体" w:cs="宋体"/>
          <w:kern w:val="0"/>
          <w:sz w:val="24"/>
          <w:highlight w:val="none"/>
          <w:lang w:val="zh-CN"/>
        </w:rPr>
        <w:t>有权立即取消我单位投标、中标或在建项目的建设资格，有权拒绝我单位在一定时期内进入你</w:t>
      </w:r>
      <w:r>
        <w:rPr>
          <w:rFonts w:hint="eastAsia" w:ascii="宋体" w:hAnsi="宋体" w:cs="宋体"/>
          <w:sz w:val="24"/>
          <w:highlight w:val="none"/>
        </w:rPr>
        <w:t>单位</w:t>
      </w:r>
      <w:r>
        <w:rPr>
          <w:rFonts w:hint="eastAsia" w:ascii="宋体" w:hAnsi="宋体" w:cs="宋体"/>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highlight w:val="none"/>
          <w:lang w:val="zh-CN"/>
        </w:rPr>
      </w:pPr>
    </w:p>
    <w:p>
      <w:pPr>
        <w:autoSpaceDE w:val="0"/>
        <w:autoSpaceDN w:val="0"/>
        <w:spacing w:line="360" w:lineRule="auto"/>
        <w:ind w:left="2"/>
        <w:jc w:val="left"/>
        <w:rPr>
          <w:rFonts w:ascii="宋体" w:hAnsi="宋体" w:cs="宋体"/>
          <w:kern w:val="0"/>
          <w:sz w:val="24"/>
          <w:highlight w:val="none"/>
          <w:lang w:val="zh-CN"/>
        </w:rPr>
      </w:pPr>
    </w:p>
    <w:p>
      <w:pPr>
        <w:autoSpaceDE w:val="0"/>
        <w:autoSpaceDN w:val="0"/>
        <w:spacing w:line="360" w:lineRule="auto"/>
        <w:ind w:left="2"/>
        <w:jc w:val="left"/>
        <w:rPr>
          <w:rFonts w:ascii="宋体" w:hAnsi="宋体" w:cs="宋体"/>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kern w:val="0"/>
          <w:sz w:val="24"/>
          <w:highlight w:val="none"/>
          <w:lang w:val="zh-CN"/>
        </w:rPr>
      </w:pPr>
      <w:r>
        <w:rPr>
          <w:rFonts w:hint="eastAsia" w:ascii="宋体" w:hAnsi="宋体" w:cs="宋体"/>
          <w:kern w:val="0"/>
          <w:sz w:val="24"/>
          <w:highlight w:val="none"/>
          <w:lang w:val="zh-CN"/>
        </w:rPr>
        <w:t>投标人名称（</w:t>
      </w:r>
      <w:r>
        <w:rPr>
          <w:rFonts w:hint="eastAsia" w:ascii="宋体" w:hAnsi="宋体" w:cs="宋体"/>
          <w:sz w:val="24"/>
          <w:highlight w:val="none"/>
        </w:rPr>
        <w:t>电子签名</w:t>
      </w:r>
      <w:r>
        <w:rPr>
          <w:rFonts w:hint="eastAsia" w:ascii="宋体" w:hAnsi="宋体" w:cs="宋体"/>
          <w:kern w:val="0"/>
          <w:sz w:val="24"/>
          <w:highlight w:val="none"/>
          <w:lang w:val="zh-CN"/>
        </w:rPr>
        <w:t xml:space="preserve">）：                                                                                                                                                                                                               </w:t>
      </w:r>
    </w:p>
    <w:p>
      <w:pPr>
        <w:spacing w:line="360" w:lineRule="auto"/>
        <w:ind w:left="4620" w:leftChars="2200"/>
        <w:rPr>
          <w:rFonts w:ascii="宋体" w:hAnsi="宋体" w:cs="宋体"/>
          <w:sz w:val="24"/>
          <w:highlight w:val="none"/>
        </w:rPr>
      </w:pPr>
      <w:r>
        <w:rPr>
          <w:rFonts w:hint="eastAsia" w:ascii="宋体" w:hAnsi="宋体" w:cs="宋体"/>
          <w:kern w:val="0"/>
          <w:sz w:val="24"/>
          <w:highlight w:val="none"/>
          <w:lang w:val="zh-CN"/>
        </w:rPr>
        <w:t>日期</w:t>
      </w:r>
      <w:r>
        <w:rPr>
          <w:rFonts w:hint="eastAsia" w:ascii="宋体" w:hAnsi="宋体" w:cs="宋体"/>
          <w:kern w:val="0"/>
          <w:sz w:val="24"/>
          <w:highlight w:val="none"/>
        </w:rPr>
        <w:t>：</w:t>
      </w:r>
      <w:r>
        <w:rPr>
          <w:rFonts w:hint="eastAsia" w:ascii="宋体" w:hAnsi="宋体" w:cs="宋体"/>
          <w:kern w:val="0"/>
          <w:sz w:val="24"/>
          <w:highlight w:val="none"/>
          <w:lang w:val="zh-CN"/>
        </w:rPr>
        <w:t xml:space="preserve">   年   月   日</w:t>
      </w:r>
    </w:p>
    <w:p>
      <w:pPr>
        <w:spacing w:line="360" w:lineRule="auto"/>
        <w:jc w:val="center"/>
        <w:rPr>
          <w:rFonts w:ascii="宋体" w:hAnsi="宋体" w:cs="宋体"/>
          <w:b/>
          <w:bCs/>
          <w:sz w:val="24"/>
          <w:highlight w:val="none"/>
        </w:rPr>
      </w:pP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spacing w:line="360" w:lineRule="auto"/>
        <w:jc w:val="center"/>
        <w:rPr>
          <w:rFonts w:ascii="宋体" w:hAnsi="宋体" w:cs="宋体"/>
          <w:b/>
          <w:bCs/>
          <w:sz w:val="24"/>
          <w:highlight w:val="none"/>
        </w:rPr>
        <w:sectPr>
          <w:headerReference r:id="rId12" w:type="first"/>
          <w:footerReference r:id="rId14" w:type="first"/>
          <w:headerReference r:id="rId11" w:type="default"/>
          <w:footerReference r:id="rId13"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报价文件部分</w:t>
      </w: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目录</w:t>
      </w:r>
    </w:p>
    <w:p>
      <w:pPr>
        <w:spacing w:line="360" w:lineRule="auto"/>
        <w:jc w:val="center"/>
        <w:outlineLvl w:val="0"/>
        <w:rPr>
          <w:rFonts w:ascii="宋体" w:hAnsi="宋体" w:cs="宋体"/>
          <w:b/>
          <w:kern w:val="0"/>
          <w:sz w:val="36"/>
          <w:szCs w:val="36"/>
          <w:highlight w:val="none"/>
        </w:rPr>
      </w:pPr>
    </w:p>
    <w:p>
      <w:pPr>
        <w:numPr>
          <w:ilvl w:val="0"/>
          <w:numId w:val="9"/>
        </w:numPr>
        <w:snapToGrid w:val="0"/>
        <w:spacing w:line="360" w:lineRule="auto"/>
        <w:rPr>
          <w:rFonts w:hint="eastAsia" w:ascii="宋体" w:hAnsi="宋体" w:cs="宋体"/>
          <w:sz w:val="24"/>
          <w:highlight w:val="none"/>
        </w:rPr>
      </w:pPr>
      <w:r>
        <w:rPr>
          <w:rFonts w:hint="eastAsia" w:ascii="宋体" w:hAnsi="宋体" w:cs="宋体"/>
          <w:sz w:val="24"/>
          <w:highlight w:val="none"/>
        </w:rPr>
        <w:t>开标一览表（报价表）………………………………………………………（页码）</w:t>
      </w:r>
    </w:p>
    <w:p>
      <w:pPr>
        <w:pStyle w:val="25"/>
        <w:numPr>
          <w:ilvl w:val="0"/>
          <w:numId w:val="0"/>
        </w:numPr>
        <w:rPr>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sectPr>
          <w:headerReference r:id="rId16" w:type="first"/>
          <w:footerReference r:id="rId18" w:type="first"/>
          <w:headerReference r:id="rId15" w:type="default"/>
          <w:footerReference r:id="rId17" w:type="default"/>
          <w:pgSz w:w="11906" w:h="16838"/>
          <w:pgMar w:top="1276" w:right="1418" w:bottom="1247" w:left="1418" w:header="851" w:footer="992" w:gutter="0"/>
          <w:cols w:space="720" w:num="1"/>
          <w:titlePg/>
          <w:docGrid w:linePitch="312" w:charSpace="0"/>
        </w:sectPr>
      </w:pPr>
    </w:p>
    <w:p>
      <w:pPr>
        <w:pStyle w:val="2"/>
        <w:rPr>
          <w:highlight w:val="none"/>
        </w:rPr>
      </w:pPr>
    </w:p>
    <w:p>
      <w:pPr>
        <w:pStyle w:val="691"/>
        <w:keepNext w:val="0"/>
        <w:pageBreakBefore w:val="0"/>
        <w:tabs>
          <w:tab w:val="clear" w:pos="720"/>
        </w:tabs>
        <w:snapToGrid w:val="0"/>
        <w:spacing w:before="120" w:after="120"/>
        <w:ind w:firstLine="643"/>
        <w:outlineLvl w:val="9"/>
        <w:rPr>
          <w:rFonts w:ascii="宋体" w:hAnsi="宋体" w:eastAsia="宋体" w:cs="宋体"/>
          <w:kern w:val="2"/>
          <w:sz w:val="32"/>
          <w:szCs w:val="32"/>
          <w:highlight w:val="none"/>
        </w:rPr>
        <w:sectPr>
          <w:pgSz w:w="11906" w:h="16838"/>
          <w:pgMar w:top="1276" w:right="1418" w:bottom="1247"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宋体" w:hAnsi="宋体" w:eastAsia="宋体" w:cs="宋体"/>
          <w:kern w:val="2"/>
          <w:sz w:val="32"/>
          <w:szCs w:val="32"/>
          <w:highlight w:val="none"/>
        </w:rPr>
      </w:pPr>
      <w:r>
        <w:rPr>
          <w:rFonts w:hint="eastAsia" w:ascii="宋体" w:hAnsi="宋体" w:eastAsia="宋体" w:cs="宋体"/>
          <w:kern w:val="2"/>
          <w:sz w:val="32"/>
          <w:szCs w:val="32"/>
          <w:highlight w:val="none"/>
        </w:rPr>
        <w:t>一、开标一览表（报价表）</w:t>
      </w:r>
    </w:p>
    <w:p>
      <w:pPr>
        <w:snapToGrid w:val="0"/>
        <w:spacing w:line="360" w:lineRule="auto"/>
        <w:rPr>
          <w:rFonts w:ascii="宋体" w:hAnsi="宋体" w:cs="宋体"/>
          <w:kern w:val="0"/>
          <w:sz w:val="24"/>
          <w:highlight w:val="none"/>
        </w:rPr>
      </w:pPr>
      <w:r>
        <w:rPr>
          <w:rFonts w:hint="eastAsia" w:ascii="宋体" w:hAnsi="宋体" w:cs="宋体"/>
          <w:sz w:val="24"/>
          <w:highlight w:val="none"/>
          <w:lang w:eastAsia="zh-CN"/>
        </w:rPr>
        <w:t>杭州市文溪中学</w:t>
      </w:r>
      <w:r>
        <w:rPr>
          <w:rFonts w:hint="eastAsia" w:ascii="宋体" w:hAnsi="宋体" w:cs="宋体"/>
          <w:sz w:val="24"/>
          <w:highlight w:val="none"/>
        </w:rPr>
        <w:t>、杭州市西湖区政府采购中心</w:t>
      </w:r>
      <w:r>
        <w:rPr>
          <w:rFonts w:hint="eastAsia" w:ascii="宋体" w:hAnsi="宋体" w:cs="宋体"/>
          <w:kern w:val="0"/>
          <w:sz w:val="24"/>
          <w:highlight w:val="none"/>
          <w:lang w:val="zh-CN"/>
        </w:rPr>
        <w:t>：</w:t>
      </w:r>
    </w:p>
    <w:p>
      <w:pPr>
        <w:snapToGrid w:val="0"/>
        <w:spacing w:line="360" w:lineRule="auto"/>
        <w:ind w:firstLine="482"/>
        <w:rPr>
          <w:rFonts w:ascii="宋体" w:hAnsi="宋体" w:cs="宋体"/>
          <w:kern w:val="0"/>
          <w:sz w:val="24"/>
          <w:highlight w:val="none"/>
          <w:lang w:val="zh-CN"/>
        </w:rPr>
      </w:pPr>
      <w:r>
        <w:rPr>
          <w:rFonts w:hint="eastAsia" w:ascii="宋体" w:hAnsi="宋体" w:cs="宋体"/>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highlight w:val="none"/>
          <w:lang w:eastAsia="zh-CN"/>
        </w:rPr>
        <w:t>杭州市文溪中学校园网络及监控系统建设采购项目</w:t>
      </w:r>
      <w:r>
        <w:rPr>
          <w:rFonts w:hint="eastAsia" w:ascii="宋体" w:hAnsi="宋体" w:cs="宋体"/>
          <w:kern w:val="0"/>
          <w:sz w:val="24"/>
          <w:highlight w:val="none"/>
          <w:lang w:val="zh-CN"/>
        </w:rPr>
        <w:t>【招标编号：</w:t>
      </w:r>
      <w:r>
        <w:rPr>
          <w:rFonts w:hint="eastAsia" w:ascii="宋体" w:hAnsi="宋体" w:cs="宋体"/>
          <w:sz w:val="24"/>
          <w:highlight w:val="none"/>
          <w:lang w:eastAsia="zh-CN"/>
        </w:rPr>
        <w:t>XHZFCG-2023-G-18</w:t>
      </w:r>
      <w:r>
        <w:rPr>
          <w:rFonts w:hint="eastAsia" w:ascii="宋体" w:hAnsi="宋体" w:cs="宋体"/>
          <w:sz w:val="24"/>
          <w:highlight w:val="none"/>
        </w:rPr>
        <w:t>】的实施</w:t>
      </w:r>
      <w:r>
        <w:rPr>
          <w:rFonts w:hint="eastAsia" w:ascii="宋体" w:hAnsi="宋体" w:cs="宋体"/>
          <w:kern w:val="0"/>
          <w:sz w:val="24"/>
          <w:highlight w:val="none"/>
          <w:lang w:val="zh-CN"/>
        </w:rPr>
        <w:t>。</w:t>
      </w:r>
    </w:p>
    <w:p>
      <w:pPr>
        <w:spacing w:line="360" w:lineRule="auto"/>
        <w:jc w:val="center"/>
        <w:rPr>
          <w:rFonts w:ascii="宋体" w:hAnsi="宋体" w:cs="宋体"/>
          <w:b/>
          <w:kern w:val="0"/>
          <w:sz w:val="24"/>
          <w:highlight w:val="none"/>
          <w:lang w:val="zh-CN"/>
        </w:rPr>
      </w:pPr>
      <w:r>
        <w:rPr>
          <w:rFonts w:hint="eastAsia" w:ascii="宋体" w:hAnsi="宋体" w:cs="宋体"/>
          <w:b/>
          <w:kern w:val="0"/>
          <w:sz w:val="24"/>
          <w:highlight w:val="none"/>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序号</w:t>
            </w:r>
          </w:p>
        </w:tc>
        <w:tc>
          <w:tcPr>
            <w:tcW w:w="1417"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名称</w:t>
            </w:r>
          </w:p>
        </w:tc>
        <w:tc>
          <w:tcPr>
            <w:tcW w:w="1843" w:type="dxa"/>
          </w:tcPr>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r>
              <w:rPr>
                <w:rFonts w:hint="eastAsia" w:ascii="宋体" w:hAnsi="宋体" w:cs="宋体"/>
                <w:b/>
                <w:sz w:val="24"/>
                <w:highlight w:val="none"/>
              </w:rPr>
              <w:t>品牌</w:t>
            </w:r>
          </w:p>
        </w:tc>
        <w:tc>
          <w:tcPr>
            <w:tcW w:w="3118"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规格型号</w:t>
            </w:r>
          </w:p>
        </w:tc>
        <w:tc>
          <w:tcPr>
            <w:tcW w:w="993"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数量</w:t>
            </w:r>
          </w:p>
        </w:tc>
        <w:tc>
          <w:tcPr>
            <w:tcW w:w="1559"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单价</w:t>
            </w:r>
          </w:p>
        </w:tc>
        <w:tc>
          <w:tcPr>
            <w:tcW w:w="1984"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合计</w:t>
            </w:r>
          </w:p>
        </w:tc>
        <w:tc>
          <w:tcPr>
            <w:tcW w:w="3119" w:type="dxa"/>
            <w:vAlign w:val="center"/>
          </w:tcPr>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r>
              <w:rPr>
                <w:rFonts w:hint="eastAsia" w:ascii="宋体" w:hAnsi="宋体" w:cs="宋体"/>
                <w:b/>
                <w:sz w:val="24"/>
                <w:highlight w:val="none"/>
              </w:rPr>
              <w:t>备注（如果有）</w:t>
            </w:r>
          </w:p>
          <w:p>
            <w:pPr>
              <w:spacing w:line="360" w:lineRule="auto"/>
              <w:jc w:val="center"/>
              <w:rPr>
                <w:rFonts w:ascii="宋体" w:hAnsi="宋体" w:cs="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1</w:t>
            </w:r>
          </w:p>
        </w:tc>
        <w:tc>
          <w:tcPr>
            <w:tcW w:w="1417" w:type="dxa"/>
            <w:vAlign w:val="center"/>
          </w:tcPr>
          <w:p>
            <w:pPr>
              <w:snapToGrid w:val="0"/>
              <w:spacing w:line="360" w:lineRule="auto"/>
              <w:jc w:val="center"/>
              <w:rPr>
                <w:rFonts w:ascii="宋体" w:hAnsi="宋体" w:cs="宋体"/>
                <w:sz w:val="24"/>
                <w:highlight w:val="none"/>
              </w:rPr>
            </w:pPr>
          </w:p>
        </w:tc>
        <w:tc>
          <w:tcPr>
            <w:tcW w:w="1843" w:type="dxa"/>
            <w:vAlign w:val="center"/>
          </w:tcPr>
          <w:p>
            <w:pPr>
              <w:snapToGrid w:val="0"/>
              <w:spacing w:line="360" w:lineRule="auto"/>
              <w:jc w:val="center"/>
              <w:rPr>
                <w:rFonts w:ascii="宋体" w:hAnsi="宋体" w:cs="宋体"/>
                <w:sz w:val="24"/>
                <w:highlight w:val="none"/>
              </w:rPr>
            </w:pPr>
          </w:p>
        </w:tc>
        <w:tc>
          <w:tcPr>
            <w:tcW w:w="3118" w:type="dxa"/>
            <w:vAlign w:val="center"/>
          </w:tcPr>
          <w:p>
            <w:pPr>
              <w:snapToGrid w:val="0"/>
              <w:spacing w:line="360" w:lineRule="auto"/>
              <w:jc w:val="center"/>
              <w:rPr>
                <w:rFonts w:ascii="宋体" w:hAnsi="宋体" w:cs="宋体"/>
                <w:sz w:val="24"/>
                <w:highlight w:val="none"/>
              </w:rPr>
            </w:pPr>
          </w:p>
        </w:tc>
        <w:tc>
          <w:tcPr>
            <w:tcW w:w="993" w:type="dxa"/>
            <w:vAlign w:val="center"/>
          </w:tcPr>
          <w:p>
            <w:pPr>
              <w:snapToGrid w:val="0"/>
              <w:spacing w:line="360" w:lineRule="auto"/>
              <w:jc w:val="center"/>
              <w:rPr>
                <w:rFonts w:ascii="宋体" w:hAnsi="宋体" w:cs="宋体"/>
                <w:sz w:val="24"/>
                <w:highlight w:val="none"/>
              </w:rPr>
            </w:pPr>
          </w:p>
        </w:tc>
        <w:tc>
          <w:tcPr>
            <w:tcW w:w="1559" w:type="dxa"/>
            <w:vAlign w:val="center"/>
          </w:tcPr>
          <w:p>
            <w:pPr>
              <w:spacing w:line="360" w:lineRule="auto"/>
              <w:jc w:val="center"/>
              <w:rPr>
                <w:rFonts w:ascii="宋体" w:hAnsi="宋体" w:cs="宋体"/>
                <w:sz w:val="24"/>
                <w:highlight w:val="none"/>
              </w:rPr>
            </w:pPr>
          </w:p>
        </w:tc>
        <w:tc>
          <w:tcPr>
            <w:tcW w:w="1984" w:type="dxa"/>
            <w:vAlign w:val="center"/>
          </w:tcPr>
          <w:p>
            <w:pPr>
              <w:spacing w:line="360" w:lineRule="auto"/>
              <w:jc w:val="center"/>
              <w:rPr>
                <w:rFonts w:ascii="宋体" w:hAnsi="宋体" w:cs="宋体"/>
                <w:sz w:val="24"/>
                <w:highlight w:val="none"/>
              </w:rPr>
            </w:pPr>
          </w:p>
        </w:tc>
        <w:tc>
          <w:tcPr>
            <w:tcW w:w="3119" w:type="dxa"/>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2</w:t>
            </w:r>
          </w:p>
        </w:tc>
        <w:tc>
          <w:tcPr>
            <w:tcW w:w="1417" w:type="dxa"/>
            <w:vAlign w:val="center"/>
          </w:tcPr>
          <w:p>
            <w:pPr>
              <w:snapToGrid w:val="0"/>
              <w:spacing w:line="360" w:lineRule="auto"/>
              <w:jc w:val="center"/>
              <w:rPr>
                <w:rFonts w:ascii="宋体" w:hAnsi="宋体" w:cs="宋体"/>
                <w:sz w:val="24"/>
                <w:highlight w:val="none"/>
              </w:rPr>
            </w:pPr>
          </w:p>
        </w:tc>
        <w:tc>
          <w:tcPr>
            <w:tcW w:w="1843" w:type="dxa"/>
            <w:vAlign w:val="center"/>
          </w:tcPr>
          <w:p>
            <w:pPr>
              <w:snapToGrid w:val="0"/>
              <w:spacing w:line="360" w:lineRule="auto"/>
              <w:jc w:val="center"/>
              <w:rPr>
                <w:rFonts w:ascii="宋体" w:hAnsi="宋体" w:cs="宋体"/>
                <w:sz w:val="24"/>
                <w:highlight w:val="none"/>
              </w:rPr>
            </w:pPr>
          </w:p>
        </w:tc>
        <w:tc>
          <w:tcPr>
            <w:tcW w:w="3118" w:type="dxa"/>
            <w:vAlign w:val="center"/>
          </w:tcPr>
          <w:p>
            <w:pPr>
              <w:snapToGrid w:val="0"/>
              <w:spacing w:line="360" w:lineRule="auto"/>
              <w:jc w:val="center"/>
              <w:rPr>
                <w:rFonts w:ascii="宋体" w:hAnsi="宋体" w:cs="宋体"/>
                <w:sz w:val="24"/>
                <w:highlight w:val="none"/>
              </w:rPr>
            </w:pPr>
          </w:p>
        </w:tc>
        <w:tc>
          <w:tcPr>
            <w:tcW w:w="993" w:type="dxa"/>
            <w:vAlign w:val="center"/>
          </w:tcPr>
          <w:p>
            <w:pPr>
              <w:snapToGrid w:val="0"/>
              <w:spacing w:line="360" w:lineRule="auto"/>
              <w:jc w:val="center"/>
              <w:rPr>
                <w:rFonts w:ascii="宋体" w:hAnsi="宋体" w:cs="宋体"/>
                <w:sz w:val="24"/>
                <w:highlight w:val="none"/>
              </w:rPr>
            </w:pPr>
          </w:p>
        </w:tc>
        <w:tc>
          <w:tcPr>
            <w:tcW w:w="1559" w:type="dxa"/>
            <w:vAlign w:val="center"/>
          </w:tcPr>
          <w:p>
            <w:pPr>
              <w:spacing w:line="360" w:lineRule="auto"/>
              <w:jc w:val="center"/>
              <w:rPr>
                <w:rFonts w:ascii="宋体" w:hAnsi="宋体" w:cs="宋体"/>
                <w:sz w:val="24"/>
                <w:highlight w:val="none"/>
              </w:rPr>
            </w:pPr>
          </w:p>
        </w:tc>
        <w:tc>
          <w:tcPr>
            <w:tcW w:w="1984" w:type="dxa"/>
            <w:vAlign w:val="center"/>
          </w:tcPr>
          <w:p>
            <w:pPr>
              <w:spacing w:line="360" w:lineRule="auto"/>
              <w:jc w:val="center"/>
              <w:rPr>
                <w:rFonts w:ascii="宋体" w:hAnsi="宋体" w:cs="宋体"/>
                <w:sz w:val="24"/>
                <w:highlight w:val="none"/>
              </w:rPr>
            </w:pPr>
          </w:p>
        </w:tc>
        <w:tc>
          <w:tcPr>
            <w:tcW w:w="3119" w:type="dxa"/>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w:t>
            </w:r>
          </w:p>
        </w:tc>
        <w:tc>
          <w:tcPr>
            <w:tcW w:w="1417" w:type="dxa"/>
            <w:vAlign w:val="center"/>
          </w:tcPr>
          <w:p>
            <w:pPr>
              <w:snapToGrid w:val="0"/>
              <w:spacing w:line="360" w:lineRule="auto"/>
              <w:jc w:val="center"/>
              <w:rPr>
                <w:rFonts w:ascii="宋体" w:hAnsi="宋体" w:cs="宋体"/>
                <w:sz w:val="24"/>
                <w:highlight w:val="none"/>
              </w:rPr>
            </w:pPr>
          </w:p>
        </w:tc>
        <w:tc>
          <w:tcPr>
            <w:tcW w:w="1843" w:type="dxa"/>
            <w:vAlign w:val="center"/>
          </w:tcPr>
          <w:p>
            <w:pPr>
              <w:snapToGrid w:val="0"/>
              <w:spacing w:line="360" w:lineRule="auto"/>
              <w:jc w:val="center"/>
              <w:rPr>
                <w:rFonts w:ascii="宋体" w:hAnsi="宋体" w:cs="宋体"/>
                <w:sz w:val="24"/>
                <w:highlight w:val="none"/>
              </w:rPr>
            </w:pPr>
          </w:p>
        </w:tc>
        <w:tc>
          <w:tcPr>
            <w:tcW w:w="3118" w:type="dxa"/>
            <w:vAlign w:val="center"/>
          </w:tcPr>
          <w:p>
            <w:pPr>
              <w:snapToGrid w:val="0"/>
              <w:spacing w:line="360" w:lineRule="auto"/>
              <w:jc w:val="center"/>
              <w:rPr>
                <w:rFonts w:ascii="宋体" w:hAnsi="宋体" w:cs="宋体"/>
                <w:sz w:val="24"/>
                <w:highlight w:val="none"/>
              </w:rPr>
            </w:pPr>
          </w:p>
        </w:tc>
        <w:tc>
          <w:tcPr>
            <w:tcW w:w="993" w:type="dxa"/>
            <w:vAlign w:val="center"/>
          </w:tcPr>
          <w:p>
            <w:pPr>
              <w:snapToGrid w:val="0"/>
              <w:spacing w:line="360" w:lineRule="auto"/>
              <w:jc w:val="center"/>
              <w:rPr>
                <w:rFonts w:ascii="宋体" w:hAnsi="宋体" w:cs="宋体"/>
                <w:sz w:val="24"/>
                <w:highlight w:val="none"/>
              </w:rPr>
            </w:pPr>
          </w:p>
        </w:tc>
        <w:tc>
          <w:tcPr>
            <w:tcW w:w="1559" w:type="dxa"/>
            <w:vAlign w:val="center"/>
          </w:tcPr>
          <w:p>
            <w:pPr>
              <w:spacing w:line="360" w:lineRule="auto"/>
              <w:jc w:val="center"/>
              <w:rPr>
                <w:rFonts w:ascii="宋体" w:hAnsi="宋体" w:cs="宋体"/>
                <w:sz w:val="24"/>
                <w:highlight w:val="none"/>
              </w:rPr>
            </w:pPr>
          </w:p>
        </w:tc>
        <w:tc>
          <w:tcPr>
            <w:tcW w:w="1984" w:type="dxa"/>
            <w:vAlign w:val="center"/>
          </w:tcPr>
          <w:p>
            <w:pPr>
              <w:spacing w:line="360" w:lineRule="auto"/>
              <w:jc w:val="center"/>
              <w:rPr>
                <w:rFonts w:ascii="宋体" w:hAnsi="宋体" w:cs="宋体"/>
                <w:sz w:val="24"/>
                <w:highlight w:val="none"/>
              </w:rPr>
            </w:pPr>
          </w:p>
        </w:tc>
        <w:tc>
          <w:tcPr>
            <w:tcW w:w="3119" w:type="dxa"/>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highlight w:val="none"/>
              </w:rPr>
            </w:pPr>
          </w:p>
        </w:tc>
        <w:tc>
          <w:tcPr>
            <w:tcW w:w="1417" w:type="dxa"/>
            <w:vAlign w:val="center"/>
          </w:tcPr>
          <w:p>
            <w:pPr>
              <w:snapToGrid w:val="0"/>
              <w:spacing w:line="360" w:lineRule="auto"/>
              <w:jc w:val="center"/>
              <w:rPr>
                <w:rFonts w:ascii="宋体" w:hAnsi="宋体" w:cs="宋体"/>
                <w:sz w:val="24"/>
                <w:highlight w:val="none"/>
              </w:rPr>
            </w:pPr>
          </w:p>
        </w:tc>
        <w:tc>
          <w:tcPr>
            <w:tcW w:w="1843" w:type="dxa"/>
            <w:vAlign w:val="center"/>
          </w:tcPr>
          <w:p>
            <w:pPr>
              <w:snapToGrid w:val="0"/>
              <w:spacing w:line="360" w:lineRule="auto"/>
              <w:jc w:val="center"/>
              <w:rPr>
                <w:rFonts w:ascii="宋体" w:hAnsi="宋体" w:cs="宋体"/>
                <w:sz w:val="24"/>
                <w:highlight w:val="none"/>
              </w:rPr>
            </w:pPr>
          </w:p>
        </w:tc>
        <w:tc>
          <w:tcPr>
            <w:tcW w:w="3118" w:type="dxa"/>
            <w:vAlign w:val="center"/>
          </w:tcPr>
          <w:p>
            <w:pPr>
              <w:snapToGrid w:val="0"/>
              <w:spacing w:line="360" w:lineRule="auto"/>
              <w:jc w:val="center"/>
              <w:rPr>
                <w:rFonts w:ascii="宋体" w:hAnsi="宋体" w:cs="宋体"/>
                <w:sz w:val="24"/>
                <w:highlight w:val="none"/>
              </w:rPr>
            </w:pPr>
          </w:p>
        </w:tc>
        <w:tc>
          <w:tcPr>
            <w:tcW w:w="993" w:type="dxa"/>
            <w:vAlign w:val="center"/>
          </w:tcPr>
          <w:p>
            <w:pPr>
              <w:snapToGrid w:val="0"/>
              <w:spacing w:line="360" w:lineRule="auto"/>
              <w:jc w:val="center"/>
              <w:rPr>
                <w:rFonts w:ascii="宋体" w:hAnsi="宋体" w:cs="宋体"/>
                <w:sz w:val="24"/>
                <w:highlight w:val="none"/>
              </w:rPr>
            </w:pPr>
          </w:p>
        </w:tc>
        <w:tc>
          <w:tcPr>
            <w:tcW w:w="1559" w:type="dxa"/>
            <w:vAlign w:val="center"/>
          </w:tcPr>
          <w:p>
            <w:pPr>
              <w:spacing w:line="360" w:lineRule="auto"/>
              <w:jc w:val="center"/>
              <w:rPr>
                <w:rFonts w:ascii="宋体" w:hAnsi="宋体" w:cs="宋体"/>
                <w:sz w:val="24"/>
                <w:highlight w:val="none"/>
              </w:rPr>
            </w:pPr>
          </w:p>
        </w:tc>
        <w:tc>
          <w:tcPr>
            <w:tcW w:w="1984" w:type="dxa"/>
            <w:vAlign w:val="center"/>
          </w:tcPr>
          <w:p>
            <w:pPr>
              <w:spacing w:line="360" w:lineRule="auto"/>
              <w:jc w:val="center"/>
              <w:rPr>
                <w:rFonts w:ascii="宋体" w:hAnsi="宋体" w:cs="宋体"/>
                <w:sz w:val="24"/>
                <w:highlight w:val="none"/>
              </w:rPr>
            </w:pPr>
          </w:p>
        </w:tc>
        <w:tc>
          <w:tcPr>
            <w:tcW w:w="3119" w:type="dxa"/>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highlight w:val="none"/>
              </w:rPr>
            </w:pPr>
          </w:p>
        </w:tc>
        <w:tc>
          <w:tcPr>
            <w:tcW w:w="1417" w:type="dxa"/>
            <w:vAlign w:val="center"/>
          </w:tcPr>
          <w:p>
            <w:pPr>
              <w:snapToGrid w:val="0"/>
              <w:spacing w:line="360" w:lineRule="auto"/>
              <w:jc w:val="center"/>
              <w:rPr>
                <w:rFonts w:ascii="宋体" w:hAnsi="宋体" w:cs="宋体"/>
                <w:sz w:val="24"/>
                <w:highlight w:val="none"/>
              </w:rPr>
            </w:pPr>
          </w:p>
        </w:tc>
        <w:tc>
          <w:tcPr>
            <w:tcW w:w="1843" w:type="dxa"/>
            <w:vAlign w:val="center"/>
          </w:tcPr>
          <w:p>
            <w:pPr>
              <w:snapToGrid w:val="0"/>
              <w:spacing w:line="360" w:lineRule="auto"/>
              <w:jc w:val="center"/>
              <w:rPr>
                <w:rFonts w:ascii="宋体" w:hAnsi="宋体" w:cs="宋体"/>
                <w:sz w:val="24"/>
                <w:highlight w:val="none"/>
              </w:rPr>
            </w:pPr>
          </w:p>
        </w:tc>
        <w:tc>
          <w:tcPr>
            <w:tcW w:w="3118" w:type="dxa"/>
            <w:vAlign w:val="center"/>
          </w:tcPr>
          <w:p>
            <w:pPr>
              <w:snapToGrid w:val="0"/>
              <w:spacing w:line="360" w:lineRule="auto"/>
              <w:jc w:val="center"/>
              <w:rPr>
                <w:rFonts w:ascii="宋体" w:hAnsi="宋体" w:cs="宋体"/>
                <w:sz w:val="24"/>
                <w:highlight w:val="none"/>
              </w:rPr>
            </w:pPr>
          </w:p>
        </w:tc>
        <w:tc>
          <w:tcPr>
            <w:tcW w:w="993" w:type="dxa"/>
            <w:vAlign w:val="center"/>
          </w:tcPr>
          <w:p>
            <w:pPr>
              <w:snapToGrid w:val="0"/>
              <w:spacing w:line="360" w:lineRule="auto"/>
              <w:jc w:val="center"/>
              <w:rPr>
                <w:rFonts w:ascii="宋体" w:hAnsi="宋体" w:cs="宋体"/>
                <w:sz w:val="24"/>
                <w:highlight w:val="none"/>
              </w:rPr>
            </w:pPr>
          </w:p>
        </w:tc>
        <w:tc>
          <w:tcPr>
            <w:tcW w:w="1559" w:type="dxa"/>
            <w:vAlign w:val="center"/>
          </w:tcPr>
          <w:p>
            <w:pPr>
              <w:spacing w:line="360" w:lineRule="auto"/>
              <w:jc w:val="center"/>
              <w:rPr>
                <w:rFonts w:ascii="宋体" w:hAnsi="宋体" w:cs="宋体"/>
                <w:sz w:val="24"/>
                <w:highlight w:val="none"/>
              </w:rPr>
            </w:pPr>
          </w:p>
        </w:tc>
        <w:tc>
          <w:tcPr>
            <w:tcW w:w="1984" w:type="dxa"/>
            <w:vAlign w:val="center"/>
          </w:tcPr>
          <w:p>
            <w:pPr>
              <w:spacing w:line="360" w:lineRule="auto"/>
              <w:jc w:val="center"/>
              <w:rPr>
                <w:rFonts w:ascii="宋体" w:hAnsi="宋体" w:cs="宋体"/>
                <w:sz w:val="24"/>
                <w:highlight w:val="none"/>
              </w:rPr>
            </w:pPr>
          </w:p>
        </w:tc>
        <w:tc>
          <w:tcPr>
            <w:tcW w:w="3119" w:type="dxa"/>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投标报价（小写）</w:t>
            </w:r>
          </w:p>
        </w:tc>
        <w:tc>
          <w:tcPr>
            <w:tcW w:w="7655" w:type="dxa"/>
            <w:gridSpan w:val="4"/>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投标报价（大写）</w:t>
            </w:r>
          </w:p>
        </w:tc>
        <w:tc>
          <w:tcPr>
            <w:tcW w:w="7655" w:type="dxa"/>
            <w:gridSpan w:val="4"/>
            <w:vAlign w:val="center"/>
          </w:tcPr>
          <w:p>
            <w:pPr>
              <w:spacing w:line="360" w:lineRule="auto"/>
              <w:jc w:val="center"/>
              <w:rPr>
                <w:rFonts w:ascii="宋体" w:hAnsi="宋体" w:cs="宋体"/>
                <w:sz w:val="24"/>
                <w:highlight w:val="none"/>
              </w:rPr>
            </w:pPr>
          </w:p>
        </w:tc>
      </w:tr>
    </w:tbl>
    <w:p>
      <w:pPr>
        <w:snapToGrid w:val="0"/>
        <w:spacing w:line="360" w:lineRule="auto"/>
        <w:ind w:left="480"/>
        <w:rPr>
          <w:rFonts w:ascii="宋体" w:hAnsi="宋体" w:cs="宋体"/>
          <w:b/>
          <w:kern w:val="0"/>
          <w:sz w:val="24"/>
          <w:highlight w:val="none"/>
          <w:lang w:val="zh-CN"/>
        </w:rPr>
      </w:pPr>
      <w:r>
        <w:rPr>
          <w:rFonts w:hint="eastAsia" w:ascii="宋体" w:hAnsi="宋体" w:cs="宋体"/>
          <w:b/>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default" w:ascii="宋体" w:hAnsi="宋体" w:cs="宋体"/>
          <w:kern w:val="0"/>
          <w:sz w:val="24"/>
          <w:highlight w:val="none"/>
          <w:lang w:val="en-US"/>
        </w:rPr>
        <w:t>1</w:t>
      </w:r>
      <w:r>
        <w:rPr>
          <w:rFonts w:hint="eastAsia" w:ascii="宋体" w:hAnsi="宋体" w:cs="宋体"/>
          <w:kern w:val="0"/>
          <w:sz w:val="24"/>
          <w:highlight w:val="none"/>
          <w:lang w:val="zh-CN"/>
        </w:rPr>
        <w:t>、投标人需按本表格式填写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w:t>
      </w:r>
    </w:p>
    <w:p>
      <w:pPr>
        <w:spacing w:line="360" w:lineRule="auto"/>
        <w:ind w:firstLine="480" w:firstLineChars="200"/>
        <w:rPr>
          <w:rFonts w:hint="eastAsia" w:ascii="宋体" w:hAnsi="宋体" w:cs="宋体"/>
          <w:b/>
          <w:color w:val="auto"/>
          <w:kern w:val="0"/>
          <w:sz w:val="24"/>
          <w:highlight w:val="none"/>
          <w:lang w:val="zh-CN"/>
        </w:rPr>
      </w:pPr>
      <w:r>
        <w:rPr>
          <w:rFonts w:hint="default" w:ascii="宋体" w:hAnsi="宋体" w:cs="宋体"/>
          <w:color w:val="auto"/>
          <w:kern w:val="0"/>
          <w:sz w:val="24"/>
          <w:highlight w:val="none"/>
          <w:lang w:val="en-US"/>
        </w:rPr>
        <w:t>2</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有关本项目实施所涉及的一切费用均计入报价</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总价不为零，报价明细表中部分产品、服务单价为零的，视作已包含在总价中。采购人将以合同形式有偿取得货物或服务，不接受投标人给予的赠品、回扣或者与采购无关的其他商品、服务；采购内容未包含在《开标一览表（报价表）》名称栏中，投标人不能作出合理解释的，视为投标文件含有采购人不能接受的附加条件的，投标无效。</w:t>
      </w:r>
    </w:p>
    <w:p>
      <w:pPr>
        <w:pStyle w:val="4"/>
        <w:rPr>
          <w:rFonts w:hint="eastAsia" w:ascii="宋体" w:hAnsi="宋体" w:eastAsia="宋体" w:cs="宋体"/>
          <w:b/>
          <w:bCs/>
          <w:kern w:val="0"/>
          <w:sz w:val="24"/>
          <w:szCs w:val="24"/>
          <w:highlight w:val="none"/>
          <w:lang w:val="en-US" w:eastAsia="zh-CN" w:bidi="ar-SA"/>
        </w:rPr>
      </w:pPr>
      <w:r>
        <w:rPr>
          <w:rFonts w:hint="default" w:ascii="宋体" w:hAnsi="宋体" w:cs="宋体"/>
          <w:b/>
          <w:color w:val="auto"/>
          <w:sz w:val="24"/>
          <w:highlight w:val="none"/>
          <w:lang w:val="en-US"/>
        </w:rPr>
        <w:t xml:space="preserve">    3</w:t>
      </w:r>
      <w:r>
        <w:rPr>
          <w:rFonts w:hint="eastAsia" w:ascii="宋体" w:hAnsi="宋体" w:cs="宋体"/>
          <w:b/>
          <w:color w:val="auto"/>
          <w:sz w:val="24"/>
          <w:highlight w:val="none"/>
          <w:lang w:val="en-US" w:eastAsia="zh-CN"/>
        </w:rPr>
        <w:t>、</w:t>
      </w:r>
      <w:r>
        <w:rPr>
          <w:rFonts w:hint="eastAsia" w:ascii="宋体" w:hAnsi="宋体" w:eastAsia="宋体" w:cs="宋体"/>
          <w:b/>
          <w:bCs/>
          <w:kern w:val="0"/>
          <w:sz w:val="24"/>
          <w:szCs w:val="24"/>
          <w:highlight w:val="none"/>
          <w:lang w:val="en-US" w:eastAsia="zh-CN" w:bidi="ar-SA"/>
        </w:rPr>
        <w:t>特别说明</w:t>
      </w:r>
      <w:r>
        <w:rPr>
          <w:rFonts w:hint="eastAsia" w:ascii="宋体" w:hAnsi="宋体" w:cs="宋体"/>
          <w:b/>
          <w:color w:val="auto"/>
          <w:sz w:val="24"/>
          <w:highlight w:val="none"/>
          <w:lang w:val="en-US" w:eastAsia="zh-CN"/>
        </w:rPr>
        <w:t>：▲</w:t>
      </w:r>
      <w:r>
        <w:rPr>
          <w:rFonts w:hint="eastAsia" w:ascii="宋体" w:hAnsi="宋体" w:eastAsia="宋体" w:cs="宋体"/>
          <w:b/>
          <w:bCs/>
          <w:kern w:val="0"/>
          <w:sz w:val="24"/>
          <w:szCs w:val="24"/>
          <w:highlight w:val="none"/>
          <w:lang w:val="en-US" w:eastAsia="zh-CN" w:bidi="ar-SA"/>
        </w:rPr>
        <w:t>供应商报价低于项目预算50%的，应当在报价文件中详细阐述不影响产品质量或者诚信履约的具体原因。</w:t>
      </w:r>
    </w:p>
    <w:p>
      <w:pPr>
        <w:snapToGrid w:val="0"/>
        <w:spacing w:line="360" w:lineRule="auto"/>
        <w:ind w:firstLine="482" w:firstLineChars="200"/>
        <w:jc w:val="left"/>
        <w:rPr>
          <w:rFonts w:hint="default"/>
          <w:highlight w:val="none"/>
          <w:lang w:val="en-US"/>
        </w:rPr>
      </w:pPr>
      <w:r>
        <w:rPr>
          <w:rFonts w:hint="default" w:ascii="宋体" w:hAnsi="宋体" w:cs="宋体"/>
          <w:b/>
          <w:bCs/>
          <w:kern w:val="0"/>
          <w:sz w:val="24"/>
          <w:highlight w:val="none"/>
          <w:lang w:val="en-US"/>
        </w:rPr>
        <w:t>4</w:t>
      </w:r>
      <w:r>
        <w:rPr>
          <w:rFonts w:hint="eastAsia" w:ascii="宋体" w:hAnsi="宋体" w:cs="宋体"/>
          <w:b/>
          <w:bCs/>
          <w:kern w:val="0"/>
          <w:sz w:val="24"/>
          <w:highlight w:val="none"/>
          <w:lang w:val="zh-CN"/>
        </w:rPr>
        <w:t>、特别提示：采购机构将对项目名称和项目编号，中标供应商名称、地址和中标金额，主要中标标的名称、品牌、规格型号、数量、单价等予以公示。</w:t>
      </w:r>
    </w:p>
    <w:p>
      <w:pPr>
        <w:snapToGrid w:val="0"/>
        <w:spacing w:line="360" w:lineRule="auto"/>
        <w:ind w:firstLine="480" w:firstLineChars="200"/>
        <w:jc w:val="left"/>
        <w:rPr>
          <w:rFonts w:ascii="宋体" w:hAnsi="宋体" w:cs="宋体"/>
          <w:kern w:val="0"/>
          <w:sz w:val="24"/>
          <w:highlight w:val="none"/>
          <w:lang w:val="zh-CN"/>
        </w:rPr>
      </w:pPr>
      <w:r>
        <w:rPr>
          <w:rFonts w:hint="default" w:ascii="宋体" w:hAnsi="宋体" w:cs="宋体"/>
          <w:kern w:val="0"/>
          <w:sz w:val="24"/>
          <w:szCs w:val="22"/>
          <w:highlight w:val="none"/>
          <w:lang w:val="en-US"/>
        </w:rPr>
        <w:t>5</w:t>
      </w:r>
      <w:r>
        <w:rPr>
          <w:rFonts w:hint="eastAsia" w:ascii="宋体" w:hAnsi="宋体" w:cs="宋体"/>
          <w:kern w:val="0"/>
          <w:sz w:val="24"/>
          <w:szCs w:val="22"/>
          <w:highlight w:val="none"/>
          <w:lang w:val="zh-CN"/>
        </w:rPr>
        <w:t>、</w:t>
      </w:r>
      <w:r>
        <w:rPr>
          <w:rFonts w:hint="eastAsia" w:ascii="宋体" w:hAnsi="宋体" w:cs="宋体"/>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kern w:val="0"/>
          <w:sz w:val="24"/>
          <w:highlight w:val="none"/>
        </w:rPr>
      </w:pPr>
    </w:p>
    <w:p>
      <w:pPr>
        <w:pStyle w:val="691"/>
        <w:keepNext w:val="0"/>
        <w:pageBreakBefore w:val="0"/>
        <w:tabs>
          <w:tab w:val="clear" w:pos="720"/>
        </w:tabs>
        <w:snapToGrid w:val="0"/>
        <w:spacing w:before="120" w:after="120"/>
        <w:ind w:firstLine="643"/>
        <w:outlineLvl w:val="9"/>
        <w:rPr>
          <w:rFonts w:ascii="宋体" w:hAnsi="宋体" w:eastAsia="宋体" w:cs="宋体"/>
          <w:kern w:val="2"/>
          <w:sz w:val="32"/>
          <w:szCs w:val="32"/>
          <w:highlight w:val="none"/>
        </w:rPr>
      </w:pPr>
    </w:p>
    <w:p>
      <w:pPr>
        <w:autoSpaceDE w:val="0"/>
        <w:autoSpaceDN w:val="0"/>
        <w:spacing w:line="360" w:lineRule="auto"/>
        <w:ind w:left="4551" w:leftChars="2167" w:right="1120" w:firstLine="0" w:firstLineChars="0"/>
        <w:jc w:val="left"/>
        <w:rPr>
          <w:rFonts w:hint="eastAsia" w:ascii="宋体" w:hAnsi="宋体" w:cs="宋体"/>
          <w:kern w:val="0"/>
          <w:sz w:val="24"/>
          <w:highlight w:val="none"/>
          <w:lang w:val="zh-CN"/>
        </w:rPr>
        <w:sectPr>
          <w:headerReference r:id="rId20" w:type="first"/>
          <w:footerReference r:id="rId23" w:type="first"/>
          <w:headerReference r:id="rId19" w:type="default"/>
          <w:footerReference r:id="rId21" w:type="default"/>
          <w:footerReference r:id="rId22" w:type="even"/>
          <w:pgSz w:w="16838" w:h="11906" w:orient="landscape"/>
          <w:pgMar w:top="1418" w:right="1276" w:bottom="1418" w:left="1247" w:header="851" w:footer="992" w:gutter="0"/>
          <w:cols w:space="720" w:num="1"/>
          <w:titlePg/>
          <w:docGrid w:linePitch="312" w:charSpace="0"/>
        </w:sectPr>
      </w:pPr>
      <w:r>
        <w:rPr>
          <w:rFonts w:hint="eastAsia" w:ascii="宋体" w:hAnsi="宋体" w:cs="宋体"/>
          <w:kern w:val="0"/>
          <w:sz w:val="24"/>
          <w:highlight w:val="none"/>
          <w:lang w:val="zh-CN"/>
        </w:rPr>
        <w:t>投标人名称（</w:t>
      </w:r>
      <w:r>
        <w:rPr>
          <w:rFonts w:hint="eastAsia" w:ascii="宋体" w:hAnsi="宋体" w:cs="宋体"/>
          <w:sz w:val="24"/>
          <w:highlight w:val="none"/>
        </w:rPr>
        <w:t>电子签名</w:t>
      </w:r>
      <w:r>
        <w:rPr>
          <w:rFonts w:hint="eastAsia" w:ascii="宋体" w:hAnsi="宋体" w:cs="宋体"/>
          <w:kern w:val="0"/>
          <w:sz w:val="24"/>
          <w:highlight w:val="none"/>
          <w:lang w:val="zh-CN"/>
        </w:rPr>
        <w:t>）：                                                                                                                                                                                                               日期</w:t>
      </w:r>
      <w:r>
        <w:rPr>
          <w:rFonts w:hint="eastAsia" w:ascii="宋体" w:hAnsi="宋体" w:cs="宋体"/>
          <w:kern w:val="0"/>
          <w:sz w:val="24"/>
          <w:highlight w:val="none"/>
        </w:rPr>
        <w:t>：</w:t>
      </w:r>
      <w:r>
        <w:rPr>
          <w:rFonts w:hint="eastAsia" w:ascii="宋体" w:hAnsi="宋体" w:cs="宋体"/>
          <w:kern w:val="0"/>
          <w:sz w:val="24"/>
          <w:highlight w:val="none"/>
          <w:lang w:val="zh-CN"/>
        </w:rPr>
        <w:t xml:space="preserve">   年   月  </w:t>
      </w:r>
      <w:bookmarkStart w:id="399" w:name="_Toc465665161"/>
      <w:r>
        <w:rPr>
          <w:rFonts w:hint="eastAsia" w:ascii="宋体" w:hAnsi="宋体" w:cs="宋体"/>
          <w:kern w:val="0"/>
          <w:sz w:val="24"/>
          <w:highlight w:val="none"/>
          <w:lang w:val="zh-CN"/>
        </w:rPr>
        <w:t>日</w:t>
      </w:r>
    </w:p>
    <w:p>
      <w:pPr>
        <w:pStyle w:val="3"/>
        <w:keepNext w:val="0"/>
        <w:keepLines w:val="0"/>
        <w:pageBreakBefore/>
        <w:widowControl/>
        <w:spacing w:before="100" w:beforeAutospacing="1" w:after="100" w:afterAutospacing="1" w:line="360" w:lineRule="auto"/>
        <w:ind w:left="1090" w:leftChars="519" w:firstLine="3066" w:firstLineChars="694"/>
        <w:rPr>
          <w:rFonts w:ascii="宋体" w:hAnsi="宋体" w:cs="宋体"/>
          <w:highlight w:val="none"/>
        </w:rPr>
      </w:pPr>
      <w:r>
        <w:rPr>
          <w:rFonts w:hint="eastAsia" w:ascii="宋体" w:hAnsi="宋体" w:cs="宋体"/>
          <w:highlight w:val="none"/>
        </w:rPr>
        <w:t>附件</w:t>
      </w:r>
      <w:bookmarkEnd w:id="399"/>
    </w:p>
    <w:p>
      <w:pPr>
        <w:spacing w:line="360" w:lineRule="auto"/>
        <w:rPr>
          <w:rFonts w:ascii="宋体" w:hAnsi="宋体" w:cs="宋体"/>
          <w:b/>
          <w:spacing w:val="6"/>
          <w:sz w:val="32"/>
          <w:szCs w:val="32"/>
          <w:highlight w:val="none"/>
        </w:rPr>
      </w:pPr>
      <w:r>
        <w:rPr>
          <w:rFonts w:hint="eastAsia" w:ascii="宋体" w:hAnsi="宋体" w:cs="宋体"/>
          <w:b/>
          <w:spacing w:val="6"/>
          <w:sz w:val="32"/>
          <w:szCs w:val="32"/>
          <w:highlight w:val="none"/>
        </w:rPr>
        <w:t>附件1：</w:t>
      </w:r>
    </w:p>
    <w:p>
      <w:pPr>
        <w:spacing w:line="360" w:lineRule="auto"/>
        <w:jc w:val="center"/>
        <w:rPr>
          <w:rFonts w:ascii="宋体" w:hAnsi="宋体" w:cs="宋体"/>
          <w:b/>
          <w:spacing w:val="6"/>
          <w:sz w:val="32"/>
          <w:szCs w:val="32"/>
          <w:highlight w:val="none"/>
        </w:rPr>
      </w:pPr>
      <w:bookmarkStart w:id="400" w:name="OLE_LINK13"/>
      <w:bookmarkStart w:id="401" w:name="OLE_LINK14"/>
      <w:r>
        <w:rPr>
          <w:rFonts w:hint="eastAsia" w:ascii="宋体" w:hAnsi="宋体" w:cs="宋体"/>
          <w:b/>
          <w:spacing w:val="6"/>
          <w:sz w:val="32"/>
          <w:szCs w:val="32"/>
          <w:highlight w:val="none"/>
        </w:rPr>
        <w:t>残疾人福利性单位声明函</w:t>
      </w:r>
    </w:p>
    <w:bookmarkEnd w:id="400"/>
    <w:bookmarkEnd w:id="401"/>
    <w:p>
      <w:pPr>
        <w:spacing w:line="360" w:lineRule="auto"/>
        <w:rPr>
          <w:rFonts w:ascii="宋体" w:hAnsi="宋体" w:cs="宋体"/>
          <w:b/>
          <w:spacing w:val="6"/>
          <w:sz w:val="30"/>
          <w:szCs w:val="30"/>
          <w:highlight w:val="none"/>
        </w:rPr>
      </w:pP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本单位对上述声明的真实性负责。如有虚假，将依法承担相应责任。</w:t>
      </w:r>
    </w:p>
    <w:p>
      <w:pPr>
        <w:spacing w:line="360" w:lineRule="auto"/>
        <w:ind w:firstLine="480" w:firstLineChars="200"/>
        <w:rPr>
          <w:rFonts w:ascii="宋体" w:hAnsi="宋体" w:cs="宋体"/>
          <w:sz w:val="24"/>
          <w:highlight w:val="none"/>
        </w:rPr>
      </w:pPr>
    </w:p>
    <w:p>
      <w:pPr>
        <w:spacing w:line="360" w:lineRule="auto"/>
        <w:ind w:firstLine="480" w:firstLineChars="200"/>
        <w:rPr>
          <w:rFonts w:ascii="宋体" w:hAnsi="宋体" w:cs="宋体"/>
          <w:sz w:val="24"/>
          <w:highlight w:val="none"/>
        </w:rPr>
      </w:pPr>
    </w:p>
    <w:p>
      <w:pPr>
        <w:tabs>
          <w:tab w:val="left" w:pos="4860"/>
        </w:tabs>
        <w:spacing w:line="360" w:lineRule="auto"/>
        <w:ind w:right="1560" w:firstLine="480" w:firstLineChars="200"/>
        <w:jc w:val="center"/>
        <w:rPr>
          <w:rFonts w:ascii="宋体" w:hAnsi="宋体" w:cs="宋体"/>
          <w:sz w:val="24"/>
          <w:highlight w:val="none"/>
        </w:rPr>
      </w:pPr>
      <w:r>
        <w:rPr>
          <w:rFonts w:hint="eastAsia" w:ascii="宋体" w:hAnsi="宋体" w:cs="宋体"/>
          <w:sz w:val="24"/>
          <w:highlight w:val="none"/>
        </w:rPr>
        <w:t xml:space="preserve">               </w:t>
      </w:r>
      <w:r>
        <w:rPr>
          <w:rFonts w:hint="eastAsia" w:ascii="宋体" w:hAnsi="宋体" w:cs="宋体"/>
          <w:kern w:val="0"/>
          <w:sz w:val="24"/>
          <w:highlight w:val="none"/>
          <w:lang w:val="zh-CN"/>
        </w:rPr>
        <w:t>投标人名称（电子签名）</w:t>
      </w:r>
      <w:r>
        <w:rPr>
          <w:rFonts w:hint="eastAsia" w:ascii="宋体" w:hAnsi="宋体" w:cs="宋体"/>
          <w:sz w:val="24"/>
          <w:highlight w:val="none"/>
        </w:rPr>
        <w:t>：</w:t>
      </w:r>
    </w:p>
    <w:p>
      <w:pPr>
        <w:tabs>
          <w:tab w:val="left" w:pos="4860"/>
        </w:tabs>
        <w:spacing w:line="360" w:lineRule="auto"/>
        <w:ind w:right="1560" w:firstLine="480" w:firstLineChars="200"/>
        <w:jc w:val="center"/>
        <w:rPr>
          <w:rFonts w:ascii="宋体" w:hAnsi="宋体" w:cs="宋体"/>
          <w:sz w:val="24"/>
          <w:highlight w:val="none"/>
        </w:rPr>
      </w:pPr>
      <w:r>
        <w:rPr>
          <w:rFonts w:hint="eastAsia" w:ascii="宋体" w:hAnsi="宋体" w:cs="宋体"/>
          <w:sz w:val="24"/>
          <w:highlight w:val="none"/>
        </w:rPr>
        <w:t xml:space="preserve">       日  期：</w:t>
      </w:r>
    </w:p>
    <w:p>
      <w:pPr>
        <w:spacing w:line="360" w:lineRule="auto"/>
        <w:ind w:firstLine="480" w:firstLineChars="200"/>
        <w:rPr>
          <w:rFonts w:ascii="宋体" w:hAnsi="宋体" w:cs="宋体"/>
          <w:sz w:val="24"/>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jc w:val="left"/>
        <w:rPr>
          <w:rFonts w:ascii="宋体" w:hAnsi="宋体" w:cs="宋体"/>
          <w:b/>
          <w:spacing w:val="6"/>
          <w:sz w:val="32"/>
          <w:szCs w:val="32"/>
          <w:highlight w:val="none"/>
        </w:rPr>
      </w:pPr>
      <w:r>
        <w:rPr>
          <w:rFonts w:hint="eastAsia" w:ascii="宋体" w:hAnsi="宋体" w:cs="宋体"/>
          <w:b/>
          <w:spacing w:val="6"/>
          <w:sz w:val="32"/>
          <w:szCs w:val="32"/>
          <w:highlight w:val="none"/>
        </w:rPr>
        <w:t>附件2：质疑函范本及制作说明</w:t>
      </w:r>
    </w:p>
    <w:p>
      <w:pPr>
        <w:spacing w:line="360" w:lineRule="auto"/>
        <w:jc w:val="center"/>
        <w:rPr>
          <w:rFonts w:ascii="宋体" w:hAnsi="宋体" w:cs="宋体"/>
          <w:b/>
          <w:spacing w:val="6"/>
          <w:sz w:val="32"/>
          <w:szCs w:val="32"/>
          <w:highlight w:val="none"/>
        </w:rPr>
      </w:pPr>
      <w:r>
        <w:rPr>
          <w:rFonts w:hint="eastAsia" w:ascii="宋体" w:hAnsi="宋体" w:cs="宋体"/>
          <w:b/>
          <w:spacing w:val="6"/>
          <w:sz w:val="32"/>
          <w:szCs w:val="32"/>
          <w:highlight w:val="none"/>
        </w:rPr>
        <w:t>质疑函范本</w:t>
      </w:r>
    </w:p>
    <w:p>
      <w:pPr>
        <w:snapToGrid w:val="0"/>
        <w:spacing w:before="240" w:beforeLines="100" w:line="360" w:lineRule="auto"/>
        <w:rPr>
          <w:rFonts w:ascii="宋体" w:hAnsi="宋体" w:cs="宋体"/>
          <w:bCs/>
          <w:sz w:val="24"/>
          <w:highlight w:val="none"/>
        </w:rPr>
      </w:pPr>
      <w:r>
        <w:rPr>
          <w:rFonts w:hint="eastAsia" w:ascii="宋体" w:hAnsi="宋体" w:cs="宋体"/>
          <w:bCs/>
          <w:sz w:val="24"/>
          <w:highlight w:val="none"/>
        </w:rPr>
        <w:t>一、质疑供应商基本信息</w:t>
      </w:r>
    </w:p>
    <w:p>
      <w:pPr>
        <w:snapToGrid w:val="0"/>
        <w:spacing w:line="360" w:lineRule="auto"/>
        <w:rPr>
          <w:rFonts w:ascii="宋体" w:hAnsi="宋体" w:cs="宋体"/>
          <w:sz w:val="24"/>
          <w:highlight w:val="none"/>
          <w:u w:val="dotted"/>
        </w:rPr>
      </w:pPr>
      <w:r>
        <w:rPr>
          <w:rFonts w:hint="eastAsia" w:ascii="宋体" w:hAnsi="宋体" w:cs="宋体"/>
          <w:sz w:val="24"/>
          <w:highlight w:val="none"/>
        </w:rPr>
        <w:t>质疑供应商：</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地址：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授权代表：</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 xml:space="preserve">地址： </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p>
    <w:p>
      <w:pPr>
        <w:snapToGrid w:val="0"/>
        <w:spacing w:line="360" w:lineRule="auto"/>
        <w:rPr>
          <w:rFonts w:ascii="宋体" w:hAnsi="宋体" w:cs="宋体"/>
          <w:bCs/>
          <w:sz w:val="24"/>
          <w:highlight w:val="none"/>
        </w:rPr>
      </w:pPr>
      <w:r>
        <w:rPr>
          <w:rFonts w:hint="eastAsia" w:ascii="宋体" w:hAnsi="宋体" w:cs="宋体"/>
          <w:bCs/>
          <w:sz w:val="24"/>
          <w:highlight w:val="none"/>
        </w:rPr>
        <w:t>二、质疑项目基本情况</w:t>
      </w:r>
    </w:p>
    <w:p>
      <w:pPr>
        <w:snapToGrid w:val="0"/>
        <w:spacing w:line="360" w:lineRule="auto"/>
        <w:rPr>
          <w:rFonts w:ascii="宋体" w:hAnsi="宋体" w:cs="宋体"/>
          <w:sz w:val="24"/>
          <w:highlight w:val="none"/>
        </w:rPr>
      </w:pPr>
      <w:r>
        <w:rPr>
          <w:rFonts w:hint="eastAsia" w:ascii="宋体" w:hAnsi="宋体" w:cs="宋体"/>
          <w:sz w:val="24"/>
          <w:highlight w:val="none"/>
        </w:rPr>
        <w:t>质疑项目的名称：</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质疑项目的编号：</w:t>
      </w:r>
      <w:r>
        <w:rPr>
          <w:rFonts w:hint="eastAsia" w:ascii="宋体" w:hAnsi="宋体" w:cs="宋体"/>
          <w:sz w:val="24"/>
          <w:highlight w:val="none"/>
          <w:u w:val="dotted"/>
        </w:rPr>
        <w:t xml:space="preserve">               </w:t>
      </w:r>
      <w:r>
        <w:rPr>
          <w:rFonts w:hint="eastAsia" w:ascii="宋体" w:hAnsi="宋体" w:cs="宋体"/>
          <w:sz w:val="24"/>
          <w:highlight w:val="none"/>
        </w:rPr>
        <w:t>包号：</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采购人名称：</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采购文件获取日期：</w:t>
      </w:r>
      <w:r>
        <w:rPr>
          <w:rFonts w:hint="eastAsia" w:ascii="宋体" w:hAnsi="宋体" w:cs="宋体"/>
          <w:sz w:val="24"/>
          <w:highlight w:val="none"/>
          <w:u w:val="dotted"/>
        </w:rPr>
        <w:t xml:space="preserve">                                           </w:t>
      </w:r>
    </w:p>
    <w:p>
      <w:pPr>
        <w:snapToGrid w:val="0"/>
        <w:spacing w:line="360" w:lineRule="auto"/>
        <w:rPr>
          <w:rFonts w:ascii="宋体" w:hAnsi="宋体" w:cs="宋体"/>
          <w:bCs/>
          <w:sz w:val="24"/>
          <w:highlight w:val="none"/>
        </w:rPr>
      </w:pPr>
      <w:r>
        <w:rPr>
          <w:rFonts w:hint="eastAsia" w:ascii="宋体" w:hAnsi="宋体" w:cs="宋体"/>
          <w:bCs/>
          <w:sz w:val="24"/>
          <w:highlight w:val="none"/>
        </w:rPr>
        <w:t>三、质疑事项具体内容</w:t>
      </w:r>
    </w:p>
    <w:p>
      <w:pPr>
        <w:snapToGrid w:val="0"/>
        <w:spacing w:line="360" w:lineRule="auto"/>
        <w:rPr>
          <w:rFonts w:ascii="宋体" w:hAnsi="宋体" w:cs="宋体"/>
          <w:sz w:val="24"/>
          <w:highlight w:val="none"/>
          <w:u w:val="dotted"/>
        </w:rPr>
      </w:pPr>
      <w:r>
        <w:rPr>
          <w:rFonts w:hint="eastAsia" w:ascii="宋体" w:hAnsi="宋体" w:cs="宋体"/>
          <w:sz w:val="24"/>
          <w:highlight w:val="none"/>
        </w:rPr>
        <w:t>质疑事项1：</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事实依据：</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法律依据：</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质疑事项2</w:t>
      </w:r>
    </w:p>
    <w:p>
      <w:pPr>
        <w:snapToGrid w:val="0"/>
        <w:spacing w:line="360" w:lineRule="auto"/>
        <w:rPr>
          <w:rFonts w:ascii="宋体" w:hAnsi="宋体" w:cs="宋体"/>
          <w:sz w:val="24"/>
          <w:highlight w:val="none"/>
        </w:rPr>
      </w:pPr>
      <w:r>
        <w:rPr>
          <w:rFonts w:hint="eastAsia" w:ascii="宋体" w:hAnsi="宋体" w:cs="宋体"/>
          <w:sz w:val="24"/>
          <w:highlight w:val="none"/>
        </w:rPr>
        <w:t>……</w:t>
      </w:r>
    </w:p>
    <w:p>
      <w:pPr>
        <w:snapToGrid w:val="0"/>
        <w:spacing w:line="360" w:lineRule="auto"/>
        <w:rPr>
          <w:rFonts w:ascii="宋体" w:hAnsi="宋体" w:cs="宋体"/>
          <w:bCs/>
          <w:sz w:val="24"/>
          <w:highlight w:val="none"/>
        </w:rPr>
      </w:pPr>
      <w:r>
        <w:rPr>
          <w:rFonts w:hint="eastAsia" w:ascii="宋体" w:hAnsi="宋体" w:cs="宋体"/>
          <w:bCs/>
          <w:sz w:val="24"/>
          <w:highlight w:val="none"/>
        </w:rPr>
        <w:t>四、与质疑事项相关的质疑请求</w:t>
      </w:r>
    </w:p>
    <w:p>
      <w:pPr>
        <w:snapToGrid w:val="0"/>
        <w:spacing w:line="360" w:lineRule="auto"/>
        <w:rPr>
          <w:rFonts w:ascii="宋体" w:hAnsi="宋体" w:cs="宋体"/>
          <w:sz w:val="24"/>
          <w:highlight w:val="none"/>
          <w:u w:val="dotted"/>
        </w:rPr>
      </w:pPr>
      <w:r>
        <w:rPr>
          <w:rFonts w:hint="eastAsia" w:ascii="宋体" w:hAnsi="宋体" w:cs="宋体"/>
          <w:sz w:val="24"/>
          <w:highlight w:val="none"/>
        </w:rPr>
        <w:t>请求：</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签字(签章)：                   公章：                      </w:t>
      </w:r>
    </w:p>
    <w:p>
      <w:pPr>
        <w:spacing w:line="360" w:lineRule="auto"/>
        <w:rPr>
          <w:rFonts w:ascii="宋体" w:hAnsi="宋体" w:cs="宋体"/>
          <w:sz w:val="24"/>
          <w:highlight w:val="none"/>
        </w:rPr>
      </w:pPr>
      <w:r>
        <w:rPr>
          <w:rFonts w:hint="eastAsia" w:ascii="宋体" w:hAnsi="宋体" w:cs="宋体"/>
          <w:sz w:val="24"/>
          <w:highlight w:val="none"/>
        </w:rPr>
        <w:t xml:space="preserve">日期：    </w:t>
      </w:r>
    </w:p>
    <w:p>
      <w:pPr>
        <w:spacing w:line="360" w:lineRule="auto"/>
        <w:jc w:val="center"/>
        <w:rPr>
          <w:rFonts w:ascii="宋体" w:hAnsi="宋体" w:cs="宋体"/>
          <w:b/>
          <w:bCs/>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r>
        <w:rPr>
          <w:rFonts w:hint="eastAsia" w:ascii="宋体" w:hAnsi="宋体" w:cs="宋体"/>
          <w:b/>
          <w:sz w:val="24"/>
          <w:highlight w:val="none"/>
        </w:rPr>
        <w:t>质疑函制作说明：</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1.供应商提出质疑时，应提交质疑函和必要的证明材料。</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2.质疑供应商若委托代理人进行质疑的，质疑函应按要求列明“授权代表”的有关内容，并在附件中提交由质疑</w:t>
      </w:r>
      <w:r>
        <w:rPr>
          <w:rFonts w:hint="eastAsia" w:ascii="宋体" w:hAnsi="宋体" w:cs="宋体"/>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5.质疑函的质疑请求应与质疑事项相关。</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left"/>
        <w:rPr>
          <w:rFonts w:ascii="宋体" w:hAnsi="宋体" w:cs="宋体"/>
          <w:b/>
          <w:spacing w:val="6"/>
          <w:sz w:val="32"/>
          <w:szCs w:val="32"/>
          <w:highlight w:val="none"/>
        </w:rPr>
      </w:pPr>
    </w:p>
    <w:p>
      <w:pPr>
        <w:spacing w:line="360" w:lineRule="auto"/>
        <w:jc w:val="left"/>
        <w:rPr>
          <w:rFonts w:ascii="宋体" w:hAnsi="宋体" w:cs="宋体"/>
          <w:b/>
          <w:spacing w:val="6"/>
          <w:sz w:val="32"/>
          <w:szCs w:val="32"/>
          <w:highlight w:val="none"/>
        </w:rPr>
      </w:pPr>
    </w:p>
    <w:p>
      <w:pPr>
        <w:spacing w:line="360" w:lineRule="auto"/>
        <w:jc w:val="left"/>
        <w:rPr>
          <w:rFonts w:ascii="宋体" w:hAnsi="宋体" w:cs="宋体"/>
          <w:b/>
          <w:spacing w:val="6"/>
          <w:sz w:val="32"/>
          <w:szCs w:val="32"/>
          <w:highlight w:val="none"/>
        </w:rPr>
      </w:pPr>
      <w:r>
        <w:rPr>
          <w:rFonts w:hint="eastAsia" w:ascii="宋体" w:hAnsi="宋体" w:cs="宋体"/>
          <w:b/>
          <w:spacing w:val="6"/>
          <w:sz w:val="32"/>
          <w:szCs w:val="32"/>
          <w:highlight w:val="none"/>
        </w:rPr>
        <w:t>附件3：投诉书范本及制作说明</w:t>
      </w:r>
    </w:p>
    <w:p>
      <w:pPr>
        <w:spacing w:line="360" w:lineRule="auto"/>
        <w:jc w:val="center"/>
        <w:rPr>
          <w:rFonts w:ascii="宋体" w:hAnsi="宋体" w:cs="宋体"/>
          <w:b/>
          <w:sz w:val="24"/>
          <w:highlight w:val="none"/>
        </w:rPr>
      </w:pPr>
    </w:p>
    <w:p>
      <w:pPr>
        <w:spacing w:line="360" w:lineRule="auto"/>
        <w:jc w:val="center"/>
        <w:rPr>
          <w:rFonts w:ascii="宋体" w:hAnsi="宋体" w:cs="宋体"/>
          <w:b/>
          <w:spacing w:val="6"/>
          <w:sz w:val="32"/>
          <w:szCs w:val="32"/>
          <w:highlight w:val="none"/>
        </w:rPr>
      </w:pPr>
      <w:r>
        <w:rPr>
          <w:rFonts w:hint="eastAsia" w:ascii="宋体" w:hAnsi="宋体" w:cs="宋体"/>
          <w:b/>
          <w:spacing w:val="6"/>
          <w:sz w:val="32"/>
          <w:szCs w:val="32"/>
          <w:highlight w:val="none"/>
        </w:rPr>
        <w:t>投诉书范本</w:t>
      </w:r>
    </w:p>
    <w:p>
      <w:pPr>
        <w:spacing w:line="360" w:lineRule="auto"/>
        <w:rPr>
          <w:rFonts w:ascii="宋体" w:hAnsi="宋体" w:cs="宋体"/>
          <w:sz w:val="24"/>
          <w:highlight w:val="none"/>
        </w:rPr>
      </w:pPr>
      <w:r>
        <w:rPr>
          <w:rFonts w:hint="eastAsia" w:ascii="宋体" w:hAnsi="宋体" w:cs="宋体"/>
          <w:sz w:val="24"/>
          <w:highlight w:val="none"/>
        </w:rPr>
        <w:t>一、投诉相关主体基本情况</w:t>
      </w:r>
    </w:p>
    <w:p>
      <w:pPr>
        <w:spacing w:line="360" w:lineRule="auto"/>
        <w:rPr>
          <w:rFonts w:ascii="宋体" w:hAnsi="宋体" w:cs="宋体"/>
          <w:sz w:val="24"/>
          <w:highlight w:val="none"/>
          <w:u w:val="dotted"/>
        </w:rPr>
      </w:pPr>
      <w:r>
        <w:rPr>
          <w:rFonts w:hint="eastAsia" w:ascii="宋体" w:hAnsi="宋体" w:cs="宋体"/>
          <w:sz w:val="24"/>
          <w:highlight w:val="none"/>
        </w:rPr>
        <w:t>投诉人：</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tabs>
          <w:tab w:val="left" w:pos="6510"/>
        </w:tabs>
        <w:spacing w:line="360" w:lineRule="auto"/>
        <w:jc w:val="left"/>
        <w:rPr>
          <w:rFonts w:ascii="宋体" w:hAnsi="宋体" w:cs="宋体"/>
          <w:sz w:val="24"/>
          <w:highlight w:val="none"/>
        </w:rPr>
      </w:pPr>
      <w:r>
        <w:rPr>
          <w:rFonts w:hint="eastAsia" w:ascii="宋体" w:hAnsi="宋体" w:cs="宋体"/>
          <w:sz w:val="24"/>
          <w:highlight w:val="none"/>
        </w:rPr>
        <w:t>法定代表人/主要负责人：</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tabs>
          <w:tab w:val="left" w:pos="6510"/>
        </w:tabs>
        <w:spacing w:line="360" w:lineRule="auto"/>
        <w:rPr>
          <w:rFonts w:ascii="宋体" w:hAnsi="宋体" w:cs="宋体"/>
          <w:sz w:val="24"/>
          <w:highlight w:val="none"/>
          <w:u w:val="dotted"/>
        </w:rPr>
      </w:pPr>
      <w:r>
        <w:rPr>
          <w:rFonts w:hint="eastAsia" w:ascii="宋体" w:hAnsi="宋体" w:cs="宋体"/>
          <w:sz w:val="24"/>
          <w:highlight w:val="none"/>
        </w:rPr>
        <w:t>联系电话：</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rPr>
        <w:t>授权代表：</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被投诉人1：</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rPr>
      </w:pPr>
      <w:r>
        <w:rPr>
          <w:rFonts w:hint="eastAsia" w:ascii="宋体" w:hAnsi="宋体" w:cs="宋体"/>
          <w:sz w:val="24"/>
          <w:highlight w:val="none"/>
        </w:rPr>
        <w:t>被投诉人2</w:t>
      </w:r>
    </w:p>
    <w:p>
      <w:pPr>
        <w:spacing w:line="360" w:lineRule="auto"/>
        <w:rPr>
          <w:rFonts w:ascii="宋体" w:hAnsi="宋体" w:cs="宋体"/>
          <w:sz w:val="24"/>
          <w:highlight w:val="none"/>
          <w:u w:val="dotted"/>
        </w:rPr>
      </w:pPr>
      <w:r>
        <w:rPr>
          <w:rFonts w:hint="eastAsia" w:ascii="宋体" w:hAnsi="宋体" w:cs="宋体"/>
          <w:sz w:val="24"/>
          <w:highlight w:val="none"/>
        </w:rPr>
        <w:t>……</w:t>
      </w:r>
    </w:p>
    <w:p>
      <w:pPr>
        <w:spacing w:line="360" w:lineRule="auto"/>
        <w:rPr>
          <w:rFonts w:ascii="宋体" w:hAnsi="宋体" w:cs="宋体"/>
          <w:sz w:val="24"/>
          <w:highlight w:val="none"/>
          <w:u w:val="single"/>
        </w:rPr>
      </w:pPr>
      <w:r>
        <w:rPr>
          <w:rFonts w:hint="eastAsia" w:ascii="宋体" w:hAnsi="宋体" w:cs="宋体"/>
          <w:sz w:val="24"/>
          <w:highlight w:val="none"/>
        </w:rPr>
        <w:t>相关供应商：</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rPr>
      </w:pPr>
      <w:r>
        <w:rPr>
          <w:rFonts w:hint="eastAsia" w:ascii="宋体" w:hAnsi="宋体" w:cs="宋体"/>
          <w:sz w:val="24"/>
          <w:highlight w:val="none"/>
        </w:rPr>
        <w:t>二、投诉项目基本情况</w:t>
      </w:r>
    </w:p>
    <w:p>
      <w:pPr>
        <w:spacing w:line="360" w:lineRule="auto"/>
        <w:rPr>
          <w:rFonts w:ascii="宋体" w:hAnsi="宋体" w:cs="宋体"/>
          <w:sz w:val="24"/>
          <w:highlight w:val="none"/>
          <w:u w:val="dotted"/>
        </w:rPr>
      </w:pPr>
      <w:r>
        <w:rPr>
          <w:rFonts w:hint="eastAsia" w:ascii="宋体" w:hAnsi="宋体" w:cs="宋体"/>
          <w:sz w:val="24"/>
          <w:highlight w:val="none"/>
        </w:rPr>
        <w:t>采购项目名称：</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采购项目编号：</w:t>
      </w:r>
      <w:r>
        <w:rPr>
          <w:rFonts w:hint="eastAsia" w:ascii="宋体" w:hAnsi="宋体" w:cs="宋体"/>
          <w:sz w:val="24"/>
          <w:highlight w:val="none"/>
          <w:u w:val="dotted"/>
        </w:rPr>
        <w:t xml:space="preserve">                 </w:t>
      </w:r>
      <w:r>
        <w:rPr>
          <w:rFonts w:hint="eastAsia" w:ascii="宋体" w:hAnsi="宋体" w:cs="宋体"/>
          <w:sz w:val="24"/>
          <w:highlight w:val="none"/>
        </w:rPr>
        <w:t>包号：</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采购人名称：</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代理机构名称：</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rPr>
        <w:t>采购文件公告:</w:t>
      </w:r>
      <w:r>
        <w:rPr>
          <w:rFonts w:hint="eastAsia" w:ascii="宋体" w:hAnsi="宋体" w:cs="宋体"/>
          <w:sz w:val="24"/>
          <w:highlight w:val="none"/>
          <w:u w:val="dotted"/>
        </w:rPr>
        <w:t xml:space="preserve">是/否 </w:t>
      </w:r>
      <w:r>
        <w:rPr>
          <w:rFonts w:hint="eastAsia" w:ascii="宋体" w:hAnsi="宋体" w:cs="宋体"/>
          <w:sz w:val="24"/>
          <w:highlight w:val="none"/>
        </w:rPr>
        <w:t>公告期限：</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采购结果公告:</w:t>
      </w:r>
      <w:r>
        <w:rPr>
          <w:rFonts w:hint="eastAsia" w:ascii="宋体" w:hAnsi="宋体" w:cs="宋体"/>
          <w:sz w:val="24"/>
          <w:highlight w:val="none"/>
          <w:u w:val="dotted"/>
        </w:rPr>
        <w:t xml:space="preserve">是/否 </w:t>
      </w:r>
      <w:r>
        <w:rPr>
          <w:rFonts w:hint="eastAsia" w:ascii="宋体" w:hAnsi="宋体" w:cs="宋体"/>
          <w:sz w:val="24"/>
          <w:highlight w:val="none"/>
        </w:rPr>
        <w:t>公告期限：</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三、质疑基本情况</w:t>
      </w:r>
    </w:p>
    <w:p>
      <w:pPr>
        <w:spacing w:line="360" w:lineRule="auto"/>
        <w:ind w:firstLine="480" w:firstLineChars="200"/>
        <w:rPr>
          <w:rFonts w:ascii="宋体" w:hAnsi="宋体" w:cs="宋体"/>
          <w:sz w:val="24"/>
          <w:highlight w:val="none"/>
          <w:u w:val="dotted"/>
        </w:rPr>
      </w:pPr>
      <w:r>
        <w:rPr>
          <w:rFonts w:hint="eastAsia" w:ascii="宋体" w:hAnsi="宋体" w:cs="宋体"/>
          <w:sz w:val="24"/>
          <w:highlight w:val="none"/>
        </w:rPr>
        <w:t>投诉人于</w:t>
      </w:r>
      <w:r>
        <w:rPr>
          <w:rFonts w:hint="eastAsia" w:ascii="宋体" w:hAnsi="宋体" w:cs="宋体"/>
          <w:sz w:val="24"/>
          <w:highlight w:val="none"/>
          <w:u w:val="dotted"/>
        </w:rPr>
        <w:t xml:space="preserve">   </w:t>
      </w:r>
      <w:r>
        <w:rPr>
          <w:rFonts w:hint="eastAsia" w:ascii="宋体" w:hAnsi="宋体" w:cs="宋体"/>
          <w:sz w:val="24"/>
          <w:highlight w:val="none"/>
        </w:rPr>
        <w:t>年</w:t>
      </w:r>
      <w:r>
        <w:rPr>
          <w:rFonts w:hint="eastAsia" w:ascii="宋体" w:hAnsi="宋体" w:cs="宋体"/>
          <w:sz w:val="24"/>
          <w:highlight w:val="none"/>
          <w:u w:val="dotted"/>
        </w:rPr>
        <w:t xml:space="preserve">   </w:t>
      </w:r>
      <w:r>
        <w:rPr>
          <w:rFonts w:hint="eastAsia" w:ascii="宋体" w:hAnsi="宋体" w:cs="宋体"/>
          <w:sz w:val="24"/>
          <w:highlight w:val="none"/>
        </w:rPr>
        <w:t>月</w:t>
      </w:r>
      <w:r>
        <w:rPr>
          <w:rFonts w:hint="eastAsia" w:ascii="宋体" w:hAnsi="宋体" w:cs="宋体"/>
          <w:sz w:val="24"/>
          <w:highlight w:val="none"/>
          <w:u w:val="dotted"/>
        </w:rPr>
        <w:t xml:space="preserve">  </w:t>
      </w:r>
      <w:r>
        <w:rPr>
          <w:rFonts w:hint="eastAsia" w:ascii="宋体" w:hAnsi="宋体" w:cs="宋体"/>
          <w:sz w:val="24"/>
          <w:highlight w:val="none"/>
        </w:rPr>
        <w:t>日,向</w:t>
      </w:r>
      <w:r>
        <w:rPr>
          <w:rFonts w:hint="eastAsia" w:ascii="宋体" w:hAnsi="宋体" w:cs="宋体"/>
          <w:sz w:val="24"/>
          <w:highlight w:val="none"/>
          <w:u w:val="dotted"/>
        </w:rPr>
        <w:t xml:space="preserve">                   </w:t>
      </w:r>
      <w:r>
        <w:rPr>
          <w:rFonts w:hint="eastAsia" w:ascii="宋体" w:hAnsi="宋体" w:cs="宋体"/>
          <w:sz w:val="24"/>
          <w:highlight w:val="none"/>
        </w:rPr>
        <w:t>提出质疑，质疑事项为：</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spacing w:line="360" w:lineRule="auto"/>
        <w:ind w:firstLine="360" w:firstLineChars="150"/>
        <w:rPr>
          <w:rFonts w:ascii="宋体" w:hAnsi="宋体" w:cs="宋体"/>
          <w:sz w:val="24"/>
          <w:highlight w:val="none"/>
        </w:rPr>
      </w:pPr>
      <w:r>
        <w:rPr>
          <w:rFonts w:hint="eastAsia" w:ascii="宋体" w:hAnsi="宋体" w:cs="宋体"/>
          <w:sz w:val="24"/>
          <w:highlight w:val="none"/>
          <w:u w:val="dotted"/>
        </w:rPr>
        <w:t>采购人/代理机构</w:t>
      </w:r>
      <w:r>
        <w:rPr>
          <w:rFonts w:hint="eastAsia" w:ascii="宋体" w:hAnsi="宋体" w:cs="宋体"/>
          <w:sz w:val="24"/>
          <w:highlight w:val="none"/>
        </w:rPr>
        <w:t>于</w:t>
      </w:r>
      <w:r>
        <w:rPr>
          <w:rFonts w:hint="eastAsia" w:ascii="宋体" w:hAnsi="宋体" w:cs="宋体"/>
          <w:sz w:val="24"/>
          <w:highlight w:val="none"/>
          <w:u w:val="dotted"/>
        </w:rPr>
        <w:t xml:space="preserve">   </w:t>
      </w:r>
      <w:r>
        <w:rPr>
          <w:rFonts w:hint="eastAsia" w:ascii="宋体" w:hAnsi="宋体" w:cs="宋体"/>
          <w:sz w:val="24"/>
          <w:highlight w:val="none"/>
        </w:rPr>
        <w:t>年</w:t>
      </w:r>
      <w:r>
        <w:rPr>
          <w:rFonts w:hint="eastAsia" w:ascii="宋体" w:hAnsi="宋体" w:cs="宋体"/>
          <w:sz w:val="24"/>
          <w:highlight w:val="none"/>
          <w:u w:val="dotted"/>
        </w:rPr>
        <w:t xml:space="preserve">   </w:t>
      </w:r>
      <w:r>
        <w:rPr>
          <w:rFonts w:hint="eastAsia" w:ascii="宋体" w:hAnsi="宋体" w:cs="宋体"/>
          <w:sz w:val="24"/>
          <w:highlight w:val="none"/>
        </w:rPr>
        <w:t>月</w:t>
      </w:r>
      <w:r>
        <w:rPr>
          <w:rFonts w:hint="eastAsia" w:ascii="宋体" w:hAnsi="宋体" w:cs="宋体"/>
          <w:sz w:val="24"/>
          <w:highlight w:val="none"/>
          <w:u w:val="dotted"/>
        </w:rPr>
        <w:t xml:space="preserve">   </w:t>
      </w:r>
      <w:r>
        <w:rPr>
          <w:rFonts w:hint="eastAsia" w:ascii="宋体" w:hAnsi="宋体" w:cs="宋体"/>
          <w:sz w:val="24"/>
          <w:highlight w:val="none"/>
        </w:rPr>
        <w:t>日,就质疑事项作出了答复/没有在法定期限内作出答复。</w:t>
      </w:r>
    </w:p>
    <w:p>
      <w:pPr>
        <w:spacing w:line="360" w:lineRule="auto"/>
        <w:rPr>
          <w:rFonts w:ascii="宋体" w:hAnsi="宋体" w:cs="宋体"/>
          <w:sz w:val="24"/>
          <w:highlight w:val="none"/>
        </w:rPr>
      </w:pPr>
      <w:r>
        <w:rPr>
          <w:rFonts w:hint="eastAsia" w:ascii="宋体" w:hAnsi="宋体" w:cs="宋体"/>
          <w:sz w:val="24"/>
          <w:highlight w:val="none"/>
        </w:rPr>
        <w:t>四、投诉事项具体内容</w:t>
      </w:r>
    </w:p>
    <w:p>
      <w:pPr>
        <w:spacing w:line="360" w:lineRule="auto"/>
        <w:rPr>
          <w:rFonts w:ascii="宋体" w:hAnsi="宋体" w:cs="宋体"/>
          <w:sz w:val="24"/>
          <w:highlight w:val="none"/>
          <w:u w:val="single"/>
        </w:rPr>
      </w:pPr>
      <w:r>
        <w:rPr>
          <w:rFonts w:hint="eastAsia" w:ascii="宋体" w:hAnsi="宋体" w:cs="宋体"/>
          <w:sz w:val="24"/>
          <w:highlight w:val="none"/>
        </w:rPr>
        <w:t>投诉事项 1：</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事实依据：</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法律依据：</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投诉事项2</w:t>
      </w:r>
    </w:p>
    <w:p>
      <w:pPr>
        <w:spacing w:line="360" w:lineRule="auto"/>
        <w:rPr>
          <w:rFonts w:ascii="宋体" w:hAnsi="宋体" w:cs="宋体"/>
          <w:sz w:val="24"/>
          <w:highlight w:val="none"/>
          <w:u w:val="dotted"/>
        </w:rPr>
      </w:pPr>
      <w:r>
        <w:rPr>
          <w:rFonts w:hint="eastAsia" w:ascii="宋体" w:hAnsi="宋体" w:cs="宋体"/>
          <w:sz w:val="24"/>
          <w:highlight w:val="none"/>
        </w:rPr>
        <w:t>……</w:t>
      </w:r>
    </w:p>
    <w:p>
      <w:pPr>
        <w:spacing w:line="360" w:lineRule="auto"/>
        <w:rPr>
          <w:rFonts w:ascii="宋体" w:hAnsi="宋体" w:cs="宋体"/>
          <w:sz w:val="24"/>
          <w:highlight w:val="none"/>
        </w:rPr>
      </w:pPr>
      <w:r>
        <w:rPr>
          <w:rFonts w:hint="eastAsia" w:ascii="宋体" w:hAnsi="宋体" w:cs="宋体"/>
          <w:sz w:val="24"/>
          <w:highlight w:val="none"/>
        </w:rPr>
        <w:t>五、与投诉事项相关的投诉请求</w:t>
      </w:r>
    </w:p>
    <w:p>
      <w:pPr>
        <w:spacing w:line="360" w:lineRule="auto"/>
        <w:rPr>
          <w:rFonts w:ascii="宋体" w:hAnsi="宋体" w:cs="宋体"/>
          <w:sz w:val="24"/>
          <w:highlight w:val="none"/>
        </w:rPr>
      </w:pPr>
      <w:r>
        <w:rPr>
          <w:rFonts w:hint="eastAsia" w:ascii="宋体" w:hAnsi="宋体" w:cs="宋体"/>
          <w:sz w:val="24"/>
          <w:highlight w:val="none"/>
        </w:rPr>
        <w:t>请求：</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签字(签章)：                   公章：                      </w:t>
      </w:r>
    </w:p>
    <w:p>
      <w:pPr>
        <w:spacing w:line="360" w:lineRule="auto"/>
        <w:rPr>
          <w:rFonts w:ascii="宋体" w:hAnsi="宋体" w:cs="宋体"/>
          <w:sz w:val="24"/>
          <w:highlight w:val="none"/>
        </w:rPr>
      </w:pPr>
      <w:r>
        <w:rPr>
          <w:rFonts w:hint="eastAsia" w:ascii="宋体" w:hAnsi="宋体" w:cs="宋体"/>
          <w:sz w:val="24"/>
          <w:highlight w:val="none"/>
        </w:rPr>
        <w:t xml:space="preserve">日期：    </w:t>
      </w: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r>
        <w:rPr>
          <w:rFonts w:hint="eastAsia" w:ascii="宋体" w:hAnsi="宋体" w:cs="宋体"/>
          <w:b/>
          <w:sz w:val="24"/>
          <w:highlight w:val="none"/>
        </w:rPr>
        <w:t>投诉书制作说明：</w:t>
      </w:r>
    </w:p>
    <w:p>
      <w:pPr>
        <w:widowControl/>
        <w:spacing w:line="360" w:lineRule="auto"/>
        <w:ind w:firstLine="480" w:firstLineChars="200"/>
        <w:rPr>
          <w:rFonts w:ascii="宋体" w:hAnsi="宋体" w:cs="宋体"/>
          <w:kern w:val="0"/>
          <w:sz w:val="24"/>
          <w:highlight w:val="none"/>
        </w:rPr>
      </w:pPr>
      <w:r>
        <w:rPr>
          <w:rFonts w:hint="eastAsia" w:ascii="宋体" w:hAnsi="宋体" w:cs="宋体"/>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sz w:val="24"/>
          <w:highlight w:val="none"/>
        </w:rPr>
        <w:t>2.投诉人若委托代理人进行投诉的，投诉书应按照要求列明“授权代表”的有关内容，并在附件中提交由</w:t>
      </w:r>
      <w:r>
        <w:rPr>
          <w:rFonts w:hint="eastAsia" w:ascii="宋体" w:hAnsi="宋体" w:cs="宋体"/>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6.投诉书的投诉请求应与投诉事项相关。</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bCs/>
          <w:sz w:val="32"/>
          <w:szCs w:val="32"/>
          <w:highlight w:val="none"/>
        </w:rPr>
      </w:pPr>
      <w:r>
        <w:rPr>
          <w:rFonts w:hint="eastAsia" w:ascii="宋体" w:hAnsi="宋体" w:cs="宋体"/>
          <w:b/>
          <w:spacing w:val="6"/>
          <w:sz w:val="32"/>
          <w:szCs w:val="32"/>
          <w:highlight w:val="none"/>
        </w:rPr>
        <w:t>附件4：</w:t>
      </w:r>
      <w:r>
        <w:rPr>
          <w:rFonts w:hint="eastAsia" w:ascii="宋体" w:hAnsi="宋体" w:cs="宋体"/>
          <w:b/>
          <w:bCs/>
          <w:sz w:val="32"/>
          <w:szCs w:val="32"/>
          <w:highlight w:val="none"/>
        </w:rPr>
        <w:t>业务专用章使用说明函</w:t>
      </w:r>
    </w:p>
    <w:p>
      <w:pPr>
        <w:spacing w:line="360" w:lineRule="auto"/>
        <w:rPr>
          <w:rFonts w:ascii="宋体" w:hAnsi="宋体" w:cs="宋体"/>
          <w:sz w:val="24"/>
          <w:highlight w:val="none"/>
        </w:rPr>
      </w:pPr>
      <w:r>
        <w:rPr>
          <w:rFonts w:hint="eastAsia" w:ascii="宋体" w:hAnsi="宋体" w:cs="宋体"/>
          <w:sz w:val="24"/>
          <w:highlight w:val="none"/>
          <w:u w:val="single"/>
          <w:lang w:eastAsia="zh-CN"/>
        </w:rPr>
        <w:t>杭州市文溪中学</w:t>
      </w:r>
      <w:r>
        <w:rPr>
          <w:rFonts w:hint="eastAsia" w:ascii="宋体" w:hAnsi="宋体" w:cs="宋体"/>
          <w:sz w:val="24"/>
          <w:highlight w:val="none"/>
          <w:u w:val="single"/>
        </w:rPr>
        <w:t>、杭州市西湖区政府采购中心</w:t>
      </w:r>
    </w:p>
    <w:p>
      <w:pPr>
        <w:spacing w:line="360" w:lineRule="auto"/>
        <w:ind w:firstLine="480" w:firstLineChars="200"/>
        <w:rPr>
          <w:rFonts w:ascii="宋体" w:hAnsi="宋体" w:cs="宋体"/>
          <w:sz w:val="24"/>
          <w:highlight w:val="none"/>
        </w:rPr>
      </w:pPr>
      <w:r>
        <w:rPr>
          <w:rFonts w:hint="eastAsia" w:ascii="宋体" w:hAnsi="宋体" w:cs="宋体"/>
          <w:kern w:val="0"/>
          <w:sz w:val="24"/>
          <w:highlight w:val="none"/>
          <w:lang w:val="zh-CN"/>
        </w:rPr>
        <w:t>我方</w:t>
      </w:r>
      <w:r>
        <w:rPr>
          <w:rFonts w:hint="eastAsia" w:ascii="宋体" w:hAnsi="宋体" w:cs="宋体"/>
          <w:kern w:val="0"/>
          <w:sz w:val="24"/>
          <w:highlight w:val="none"/>
          <w:u w:val="single"/>
          <w:lang w:val="zh-CN"/>
        </w:rPr>
        <w:t xml:space="preserve">                         </w:t>
      </w:r>
      <w:r>
        <w:rPr>
          <w:rFonts w:hint="eastAsia" w:ascii="宋体" w:hAnsi="宋体" w:cs="宋体"/>
          <w:sz w:val="24"/>
          <w:highlight w:val="none"/>
        </w:rPr>
        <w:t>(投标人全称)是中华人民共和国依法登记注册的合法企业，</w:t>
      </w:r>
      <w:r>
        <w:rPr>
          <w:rFonts w:hint="eastAsia" w:ascii="宋体" w:hAnsi="宋体" w:cs="宋体"/>
          <w:bCs/>
          <w:sz w:val="24"/>
          <w:highlight w:val="none"/>
        </w:rPr>
        <w:t>在参加</w:t>
      </w:r>
      <w:r>
        <w:rPr>
          <w:rFonts w:hint="eastAsia" w:ascii="宋体" w:hAnsi="宋体" w:cs="宋体"/>
          <w:sz w:val="24"/>
          <w:highlight w:val="none"/>
        </w:rPr>
        <w:t>你方组织的</w:t>
      </w:r>
      <w:r>
        <w:rPr>
          <w:rFonts w:hint="eastAsia" w:ascii="宋体" w:hAnsi="宋体" w:cs="宋体"/>
          <w:sz w:val="24"/>
          <w:highlight w:val="none"/>
          <w:lang w:eastAsia="zh-CN"/>
        </w:rPr>
        <w:t>杭州市文溪中学校园网络及监控系统建设采购项目</w:t>
      </w:r>
      <w:r>
        <w:rPr>
          <w:rFonts w:hint="eastAsia" w:ascii="宋体" w:hAnsi="宋体" w:cs="宋体"/>
          <w:sz w:val="24"/>
          <w:highlight w:val="none"/>
        </w:rPr>
        <w:t>【招标编号：</w:t>
      </w:r>
      <w:r>
        <w:rPr>
          <w:rFonts w:hint="eastAsia" w:ascii="宋体" w:hAnsi="宋体" w:cs="宋体"/>
          <w:sz w:val="24"/>
          <w:highlight w:val="none"/>
          <w:lang w:eastAsia="zh-CN"/>
        </w:rPr>
        <w:t>XHZFCG-2023-G-18</w:t>
      </w:r>
      <w:r>
        <w:rPr>
          <w:rFonts w:hint="eastAsia" w:ascii="宋体" w:hAnsi="宋体" w:cs="宋体"/>
          <w:sz w:val="24"/>
          <w:highlight w:val="none"/>
        </w:rPr>
        <w:t>】</w:t>
      </w:r>
      <w:r>
        <w:rPr>
          <w:rFonts w:hint="eastAsia" w:ascii="宋体" w:hAnsi="宋体" w:cs="宋体"/>
          <w:bCs/>
          <w:sz w:val="24"/>
          <w:highlight w:val="none"/>
        </w:rPr>
        <w:t>投标活动中作如下说明：</w:t>
      </w:r>
      <w:r>
        <w:rPr>
          <w:rFonts w:hint="eastAsia" w:ascii="宋体" w:hAnsi="宋体" w:cs="宋体"/>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特此说明。</w:t>
      </w:r>
    </w:p>
    <w:p>
      <w:pPr>
        <w:spacing w:line="360" w:lineRule="auto"/>
        <w:ind w:firstLine="494"/>
        <w:rPr>
          <w:rFonts w:ascii="宋体" w:hAnsi="宋体" w:cs="宋体"/>
          <w:sz w:val="24"/>
          <w:highlight w:val="none"/>
        </w:rPr>
      </w:pPr>
    </w:p>
    <w:p>
      <w:pPr>
        <w:spacing w:line="360" w:lineRule="auto"/>
        <w:ind w:firstLine="494"/>
        <w:rPr>
          <w:rFonts w:ascii="宋体" w:hAnsi="宋体" w:cs="宋体"/>
          <w:sz w:val="24"/>
          <w:highlight w:val="none"/>
        </w:rPr>
      </w:pPr>
    </w:p>
    <w:p>
      <w:pPr>
        <w:spacing w:line="360" w:lineRule="auto"/>
        <w:ind w:firstLine="494"/>
        <w:rPr>
          <w:rFonts w:ascii="宋体" w:hAnsi="宋体" w:cs="宋体"/>
          <w:sz w:val="24"/>
          <w:highlight w:val="none"/>
        </w:rPr>
      </w:pPr>
    </w:p>
    <w:p>
      <w:pPr>
        <w:spacing w:line="360" w:lineRule="auto"/>
        <w:ind w:firstLine="494"/>
        <w:rPr>
          <w:rFonts w:ascii="宋体" w:hAnsi="宋体" w:cs="宋体"/>
          <w:sz w:val="24"/>
          <w:highlight w:val="none"/>
        </w:rPr>
      </w:pPr>
    </w:p>
    <w:p>
      <w:pPr>
        <w:spacing w:line="360" w:lineRule="auto"/>
        <w:ind w:right="480" w:firstLine="4080" w:firstLineChars="1700"/>
        <w:rPr>
          <w:rFonts w:ascii="宋体" w:hAnsi="宋体" w:cs="宋体"/>
          <w:sz w:val="24"/>
          <w:highlight w:val="none"/>
        </w:rPr>
      </w:pPr>
      <w:r>
        <w:rPr>
          <w:rFonts w:hint="eastAsia" w:ascii="宋体" w:hAnsi="宋体" w:cs="宋体"/>
          <w:sz w:val="24"/>
          <w:highlight w:val="none"/>
        </w:rPr>
        <w:t>投标单位（法定名称章）：</w:t>
      </w:r>
    </w:p>
    <w:p>
      <w:pPr>
        <w:ind w:right="1440" w:firstLine="494"/>
        <w:jc w:val="center"/>
        <w:rPr>
          <w:rFonts w:ascii="宋体" w:hAnsi="宋体" w:cs="宋体"/>
          <w:sz w:val="24"/>
          <w:highlight w:val="none"/>
        </w:rPr>
      </w:pPr>
      <w:r>
        <w:rPr>
          <w:rFonts w:hint="eastAsia" w:ascii="宋体" w:hAnsi="宋体" w:cs="宋体"/>
          <w:sz w:val="24"/>
          <w:highlight w:val="none"/>
        </w:rPr>
        <w:t xml:space="preserve">                              日期：       年     月     日</w:t>
      </w:r>
    </w:p>
    <w:p>
      <w:pPr>
        <w:rPr>
          <w:rFonts w:ascii="宋体" w:hAnsi="宋体" w:cs="宋体"/>
          <w:sz w:val="24"/>
          <w:highlight w:val="none"/>
        </w:rPr>
      </w:pPr>
      <w:r>
        <w:rPr>
          <w:rFonts w:hint="eastAsia" w:ascii="宋体" w:hAnsi="宋体" w:cs="宋体"/>
          <w:b/>
          <w:bCs/>
          <w:sz w:val="24"/>
          <w:highlight w:val="none"/>
        </w:rPr>
        <w:t>附：</w:t>
      </w:r>
    </w:p>
    <w:p>
      <w:pPr>
        <w:spacing w:line="360" w:lineRule="auto"/>
        <w:rPr>
          <w:rFonts w:ascii="宋体" w:hAnsi="宋体" w:cs="宋体"/>
          <w:bCs/>
          <w:sz w:val="24"/>
          <w:highlight w:val="none"/>
        </w:rPr>
      </w:pPr>
      <w:r>
        <w:rPr>
          <w:rFonts w:hint="eastAsia" w:ascii="宋体" w:hAnsi="宋体" w:cs="宋体"/>
          <w:b/>
          <w:bCs/>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highlight w:val="none"/>
        </w:rPr>
        <w:t>投标单位法定名称章（印模）                投标单位“XX专用章”（印模）</w:t>
      </w: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kern w:val="0"/>
          <w:sz w:val="32"/>
          <w:szCs w:val="32"/>
          <w:highlight w:val="none"/>
          <w:lang w:val="zh-CN"/>
        </w:rPr>
      </w:pPr>
      <w:r>
        <w:rPr>
          <w:rFonts w:hint="eastAsia" w:ascii="宋体" w:hAnsi="宋体" w:cs="宋体"/>
          <w:b/>
          <w:spacing w:val="6"/>
          <w:sz w:val="32"/>
          <w:szCs w:val="32"/>
          <w:highlight w:val="none"/>
        </w:rPr>
        <w:t>附件</w:t>
      </w:r>
      <w:r>
        <w:rPr>
          <w:rFonts w:ascii="宋体" w:hAnsi="宋体" w:cs="宋体"/>
          <w:b/>
          <w:spacing w:val="6"/>
          <w:sz w:val="32"/>
          <w:szCs w:val="32"/>
          <w:highlight w:val="none"/>
        </w:rPr>
        <w:t>5</w:t>
      </w:r>
      <w:r>
        <w:rPr>
          <w:rFonts w:hint="eastAsia" w:ascii="宋体" w:hAnsi="宋体" w:cs="宋体"/>
          <w:b/>
          <w:spacing w:val="6"/>
          <w:sz w:val="32"/>
          <w:szCs w:val="32"/>
          <w:highlight w:val="none"/>
        </w:rPr>
        <w:t>：</w:t>
      </w:r>
      <w:r>
        <w:rPr>
          <w:rFonts w:hint="eastAsia" w:ascii="宋体" w:hAnsi="宋体" w:cs="宋体"/>
          <w:b/>
          <w:kern w:val="0"/>
          <w:sz w:val="32"/>
          <w:szCs w:val="32"/>
          <w:highlight w:val="none"/>
          <w:lang w:val="zh-CN"/>
        </w:rPr>
        <w:t>联合协议</w:t>
      </w:r>
    </w:p>
    <w:p>
      <w:pPr>
        <w:widowControl/>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（联合体所有成员名称）</w:t>
      </w:r>
      <w:r>
        <w:rPr>
          <w:rFonts w:hint="eastAsia" w:ascii="宋体" w:hAnsi="宋体" w:cs="宋体"/>
          <w:kern w:val="0"/>
          <w:sz w:val="24"/>
          <w:highlight w:val="none"/>
        </w:rPr>
        <w:t>自愿</w:t>
      </w:r>
      <w:r>
        <w:rPr>
          <w:rFonts w:hint="eastAsia" w:ascii="宋体" w:hAnsi="宋体" w:cs="宋体"/>
          <w:kern w:val="0"/>
          <w:sz w:val="24"/>
          <w:highlight w:val="none"/>
          <w:lang w:val="zh-CN"/>
        </w:rPr>
        <w:t>组成一个联合体，以一个投标人的身份</w:t>
      </w:r>
      <w:r>
        <w:rPr>
          <w:rFonts w:hint="eastAsia" w:ascii="宋体" w:hAnsi="宋体" w:cs="宋体"/>
          <w:kern w:val="0"/>
          <w:sz w:val="24"/>
          <w:highlight w:val="none"/>
        </w:rPr>
        <w:t>参加</w:t>
      </w:r>
      <w:r>
        <w:rPr>
          <w:rFonts w:hint="eastAsia" w:ascii="宋体" w:hAnsi="宋体" w:cs="宋体"/>
          <w:sz w:val="24"/>
          <w:highlight w:val="none"/>
          <w:lang w:eastAsia="zh-CN"/>
        </w:rPr>
        <w:t>杭州市文溪中学校园网络及监控系统建设采购项目</w:t>
      </w:r>
      <w:r>
        <w:rPr>
          <w:rFonts w:hint="eastAsia" w:ascii="宋体" w:hAnsi="宋体" w:cs="宋体"/>
          <w:sz w:val="24"/>
          <w:highlight w:val="none"/>
        </w:rPr>
        <w:t>【招标编号：</w:t>
      </w:r>
      <w:r>
        <w:rPr>
          <w:rFonts w:hint="eastAsia" w:ascii="宋体" w:hAnsi="宋体" w:cs="宋体"/>
          <w:sz w:val="24"/>
          <w:highlight w:val="none"/>
          <w:lang w:eastAsia="zh-CN"/>
        </w:rPr>
        <w:t>XHZFCG-2023-G-18</w:t>
      </w:r>
      <w:r>
        <w:rPr>
          <w:rFonts w:hint="eastAsia" w:ascii="宋体" w:hAnsi="宋体" w:cs="宋体"/>
          <w:sz w:val="24"/>
          <w:highlight w:val="none"/>
        </w:rPr>
        <w:t>】</w:t>
      </w:r>
      <w:r>
        <w:rPr>
          <w:rFonts w:hint="eastAsia" w:ascii="宋体" w:hAnsi="宋体" w:cs="宋体"/>
          <w:kern w:val="0"/>
          <w:sz w:val="24"/>
          <w:highlight w:val="none"/>
          <w:lang w:val="zh-CN"/>
        </w:rPr>
        <w:t xml:space="preserve">投标。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一、各方一致决定，</w:t>
      </w:r>
      <w:r>
        <w:rPr>
          <w:rFonts w:hint="eastAsia" w:ascii="宋体" w:hAnsi="宋体" w:cs="宋体"/>
          <w:kern w:val="0"/>
          <w:sz w:val="24"/>
          <w:highlight w:val="none"/>
          <w:u w:val="single"/>
        </w:rPr>
        <w:t>（某联合体成员名称）</w:t>
      </w:r>
      <w:r>
        <w:rPr>
          <w:rFonts w:hint="eastAsia" w:ascii="宋体" w:hAnsi="宋体" w:cs="宋体"/>
          <w:kern w:val="0"/>
          <w:sz w:val="24"/>
          <w:highlight w:val="none"/>
        </w:rPr>
        <w:t>为联合体</w:t>
      </w:r>
      <w:r>
        <w:rPr>
          <w:rFonts w:hint="eastAsia" w:ascii="宋体" w:hAnsi="宋体" w:cs="宋体"/>
          <w:kern w:val="0"/>
          <w:sz w:val="24"/>
          <w:highlight w:val="none"/>
          <w:lang w:val="zh-CN"/>
        </w:rPr>
        <w:t>牵头人</w:t>
      </w:r>
      <w:r>
        <w:rPr>
          <w:rFonts w:hint="eastAsia" w:ascii="宋体" w:hAnsi="宋体" w:cs="宋体"/>
          <w:sz w:val="24"/>
          <w:highlight w:val="none"/>
        </w:rPr>
        <w:t>，代表所有联合体成员负责投标和合同实施阶段的主办、协调工作</w:t>
      </w:r>
      <w:r>
        <w:rPr>
          <w:rFonts w:hint="eastAsia" w:ascii="宋体" w:hAnsi="宋体" w:cs="宋体"/>
          <w:kern w:val="0"/>
          <w:sz w:val="24"/>
          <w:highlight w:val="none"/>
          <w:lang w:val="zh-CN"/>
        </w:rPr>
        <w:t>。</w:t>
      </w:r>
    </w:p>
    <w:p>
      <w:pPr>
        <w:snapToGrid w:val="0"/>
        <w:spacing w:line="360" w:lineRule="auto"/>
        <w:ind w:firstLine="576"/>
        <w:rPr>
          <w:rFonts w:hint="eastAsia" w:ascii="宋体" w:hAnsi="宋体" w:cs="宋体"/>
          <w:kern w:val="0"/>
          <w:sz w:val="24"/>
          <w:highlight w:val="none"/>
          <w:lang w:val="zh-CN"/>
        </w:rPr>
      </w:pPr>
      <w:r>
        <w:rPr>
          <w:rFonts w:hint="eastAsia" w:ascii="宋体" w:hAnsi="宋体" w:cs="宋体"/>
          <w:kern w:val="0"/>
          <w:sz w:val="24"/>
          <w:highlight w:val="none"/>
          <w:lang w:val="zh-CN"/>
        </w:rPr>
        <w:t>二、</w:t>
      </w:r>
      <w:r>
        <w:rPr>
          <w:rFonts w:hint="eastAsia" w:ascii="宋体" w:hAnsi="宋体" w:cs="宋体"/>
          <w:sz w:val="24"/>
          <w:highlight w:val="none"/>
        </w:rPr>
        <w:t>所有联合体成员各方签署授权书，授权书载明的</w:t>
      </w:r>
      <w:r>
        <w:rPr>
          <w:rFonts w:hint="eastAsia" w:ascii="宋体" w:hAnsi="宋体" w:cs="宋体"/>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ins w:id="0" w:author="Administrator" w:date="2022-04-18T00:30:00Z"/>
          <w:rFonts w:hint="eastAsia" w:ascii="宋体" w:hAnsi="宋体" w:cs="宋体"/>
          <w:kern w:val="0"/>
          <w:sz w:val="24"/>
          <w:highlight w:val="none"/>
          <w:lang w:val="zh-CN"/>
        </w:rPr>
      </w:pPr>
      <w:r>
        <w:rPr>
          <w:rFonts w:hint="eastAsia" w:ascii="宋体" w:hAnsi="宋体" w:cs="宋体"/>
          <w:kern w:val="0"/>
          <w:sz w:val="24"/>
          <w:highlight w:val="none"/>
          <w:lang w:val="zh-CN"/>
        </w:rPr>
        <w:t>三、本次联合投标中，分工如下：</w:t>
      </w:r>
    </w:p>
    <w:p>
      <w:pPr>
        <w:snapToGrid w:val="0"/>
        <w:spacing w:line="360" w:lineRule="auto"/>
        <w:ind w:firstLine="576"/>
        <w:rPr>
          <w:rFonts w:ascii="宋体" w:hAnsi="宋体" w:cs="宋体"/>
          <w:kern w:val="0"/>
          <w:sz w:val="24"/>
          <w:highlight w:val="none"/>
          <w:lang w:val="zh-CN"/>
        </w:rPr>
      </w:pPr>
      <w:bookmarkStart w:id="402" w:name="_Hlk101134295"/>
      <w:r>
        <w:rPr>
          <w:rFonts w:hint="eastAsia" w:ascii="宋体" w:hAnsi="宋体" w:cs="宋体"/>
          <w:kern w:val="0"/>
          <w:sz w:val="24"/>
          <w:highlight w:val="none"/>
          <w:lang w:val="zh-CN"/>
        </w:rPr>
        <w:t>（联合体成员1）承担的工作和义务为：</w:t>
      </w:r>
      <w:r>
        <w:rPr>
          <w:rFonts w:hint="eastAsia" w:ascii="宋体" w:hAnsi="宋体" w:cs="宋体"/>
          <w:highlight w:val="none"/>
          <w:u w:val="single"/>
        </w:rPr>
        <w:t xml:space="preserve">             </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（联合体成员</w:t>
      </w:r>
      <w:r>
        <w:rPr>
          <w:rFonts w:ascii="宋体" w:hAnsi="宋体" w:cs="宋体"/>
          <w:kern w:val="0"/>
          <w:sz w:val="24"/>
          <w:highlight w:val="none"/>
          <w:u w:val="single"/>
        </w:rPr>
        <w:t>2</w:t>
      </w:r>
      <w:r>
        <w:rPr>
          <w:rFonts w:hint="eastAsia" w:ascii="宋体" w:hAnsi="宋体" w:cs="宋体"/>
          <w:kern w:val="0"/>
          <w:sz w:val="24"/>
          <w:highlight w:val="none"/>
          <w:u w:val="single"/>
        </w:rPr>
        <w:t>）</w:t>
      </w:r>
      <w:r>
        <w:rPr>
          <w:rFonts w:hint="eastAsia" w:ascii="宋体" w:hAnsi="宋体" w:cs="宋体"/>
          <w:kern w:val="0"/>
          <w:sz w:val="24"/>
          <w:highlight w:val="none"/>
          <w:lang w:val="zh-CN"/>
        </w:rPr>
        <w:t>承担的工作和义务为：</w:t>
      </w:r>
      <w:r>
        <w:rPr>
          <w:rFonts w:hint="eastAsia" w:ascii="宋体" w:hAnsi="宋体" w:cs="宋体"/>
          <w:highlight w:val="none"/>
          <w:u w:val="single"/>
        </w:rPr>
        <w:t xml:space="preserve">             </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w:t>
      </w:r>
    </w:p>
    <w:bookmarkEnd w:id="402"/>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四、联合体成员中小企业合同份额。</w:t>
      </w:r>
    </w:p>
    <w:p>
      <w:pPr>
        <w:snapToGrid w:val="0"/>
        <w:spacing w:line="360" w:lineRule="auto"/>
        <w:ind w:firstLine="576"/>
        <w:rPr>
          <w:rFonts w:ascii="宋体" w:hAnsi="宋体" w:cs="宋体"/>
          <w:b/>
          <w:kern w:val="0"/>
          <w:sz w:val="24"/>
          <w:highlight w:val="none"/>
          <w:lang w:val="zh-CN"/>
        </w:rPr>
      </w:pPr>
      <w:r>
        <w:rPr>
          <w:rFonts w:hint="eastAsia" w:ascii="宋体" w:hAnsi="宋体" w:cs="宋体"/>
          <w:kern w:val="0"/>
          <w:sz w:val="24"/>
          <w:highlight w:val="none"/>
          <w:lang w:val="zh-CN"/>
        </w:rPr>
        <w:t>1、</w:t>
      </w:r>
      <w:r>
        <w:rPr>
          <w:rFonts w:hint="eastAsia" w:ascii="宋体" w:hAnsi="宋体" w:cs="宋体"/>
          <w:kern w:val="0"/>
          <w:sz w:val="24"/>
          <w:highlight w:val="none"/>
          <w:u w:val="single"/>
        </w:rPr>
        <w:t>（联合体成员</w:t>
      </w:r>
      <w:r>
        <w:rPr>
          <w:rFonts w:ascii="宋体" w:hAnsi="宋体" w:cs="宋体"/>
          <w:kern w:val="0"/>
          <w:sz w:val="24"/>
          <w:highlight w:val="none"/>
          <w:u w:val="single"/>
        </w:rPr>
        <w:t>X,</w:t>
      </w:r>
      <w:r>
        <w:rPr>
          <w:rFonts w:hint="eastAsia" w:ascii="宋体" w:hAnsi="宋体" w:cs="宋体"/>
          <w:kern w:val="0"/>
          <w:sz w:val="24"/>
          <w:highlight w:val="none"/>
          <w:u w:val="single"/>
        </w:rPr>
        <w:t>……）</w:t>
      </w:r>
      <w:r>
        <w:rPr>
          <w:rFonts w:hint="eastAsia" w:ascii="宋体" w:hAnsi="宋体" w:cs="宋体"/>
          <w:kern w:val="0"/>
          <w:sz w:val="24"/>
          <w:highlight w:val="none"/>
        </w:rPr>
        <w:t>提供的全部货物由小微企业制造，其合同份额占到合同总金额</w:t>
      </w:r>
      <w:r>
        <w:rPr>
          <w:rFonts w:hint="eastAsia" w:ascii="宋体" w:hAnsi="宋体" w:cs="宋体"/>
          <w:kern w:val="0"/>
          <w:sz w:val="24"/>
          <w:highlight w:val="none"/>
          <w:u w:val="single"/>
        </w:rPr>
        <w:t xml:space="preserve">     </w:t>
      </w:r>
      <w:r>
        <w:rPr>
          <w:rFonts w:hint="eastAsia" w:ascii="宋体" w:hAnsi="宋体" w:cs="宋体"/>
          <w:kern w:val="0"/>
          <w:sz w:val="24"/>
          <w:highlight w:val="none"/>
        </w:rPr>
        <w:t>%以上；</w:t>
      </w:r>
      <w:r>
        <w:rPr>
          <w:rFonts w:hint="eastAsia" w:ascii="宋体" w:hAnsi="宋体" w:cs="宋体"/>
          <w:kern w:val="0"/>
          <w:sz w:val="24"/>
          <w:highlight w:val="none"/>
          <w:lang w:val="zh-CN"/>
        </w:rPr>
        <w:t>……。</w:t>
      </w:r>
      <w:r>
        <w:rPr>
          <w:rFonts w:hint="eastAsia" w:ascii="宋体" w:hAnsi="宋体" w:cs="宋体"/>
          <w:b/>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（未预留份额专门面向中小企业采购的采购项目，以及预留份额中的非预留部分采购包，接受联合体投标的，联合协议约定小微企业的合同份额占到合同总金额30%以上的，对联合体报价给予</w:t>
      </w:r>
      <w:r>
        <w:rPr>
          <w:rFonts w:hint="default" w:ascii="宋体" w:hAnsi="宋体" w:cs="宋体"/>
          <w:b/>
          <w:kern w:val="0"/>
          <w:sz w:val="24"/>
          <w:highlight w:val="none"/>
          <w:lang w:val="en-US"/>
        </w:rPr>
        <w:t>6</w:t>
      </w:r>
      <w:r>
        <w:rPr>
          <w:rFonts w:hint="eastAsia" w:ascii="宋体" w:hAnsi="宋体" w:cs="宋体"/>
          <w:b/>
          <w:kern w:val="0"/>
          <w:sz w:val="24"/>
          <w:highlight w:val="none"/>
          <w:lang w:val="zh-CN"/>
        </w:rPr>
        <w:t>%的扣除。供应商</w:t>
      </w:r>
      <w:r>
        <w:rPr>
          <w:rFonts w:hint="eastAsia" w:ascii="宋体" w:hAnsi="宋体" w:cs="宋体"/>
          <w:b/>
          <w:sz w:val="24"/>
          <w:highlight w:val="none"/>
        </w:rPr>
        <w:t>拟享受以上价格扣除政策的，填写有关内容。</w:t>
      </w:r>
      <w:r>
        <w:rPr>
          <w:rFonts w:hint="eastAsia" w:ascii="宋体" w:hAnsi="宋体" w:cs="宋体"/>
          <w:b/>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sz w:val="24"/>
          <w:highlight w:val="none"/>
        </w:rPr>
        <w:t>2、中小企业合同金额达到</w:t>
      </w:r>
      <w:r>
        <w:rPr>
          <w:rFonts w:hint="eastAsia" w:ascii="宋体" w:hAnsi="宋体" w:cs="宋体"/>
          <w:sz w:val="24"/>
          <w:highlight w:val="none"/>
          <w:u w:val="single"/>
        </w:rPr>
        <w:t xml:space="preserve">  </w:t>
      </w:r>
      <w:r>
        <w:rPr>
          <w:rFonts w:hint="eastAsia" w:ascii="宋体" w:hAnsi="宋体" w:cs="宋体"/>
          <w:sz w:val="24"/>
          <w:highlight w:val="none"/>
        </w:rPr>
        <w:t>%，小微企业合同金额达到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kern w:val="0"/>
          <w:sz w:val="24"/>
          <w:highlight w:val="none"/>
          <w:lang w:val="zh-CN"/>
        </w:rPr>
        <w:t>。</w:t>
      </w:r>
      <w:r>
        <w:rPr>
          <w:rFonts w:hint="eastAsia" w:ascii="宋体" w:hAnsi="宋体" w:cs="宋体"/>
          <w:b/>
          <w:bCs/>
          <w:kern w:val="0"/>
          <w:sz w:val="24"/>
          <w:highlight w:val="none"/>
          <w:lang w:val="zh-CN"/>
        </w:rPr>
        <w:t>（</w:t>
      </w:r>
      <w:r>
        <w:rPr>
          <w:rFonts w:hint="eastAsia" w:ascii="宋体" w:hAnsi="宋体" w:cs="宋体"/>
          <w:b/>
          <w:bCs/>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五、如果中标，</w:t>
      </w:r>
      <w:r>
        <w:rPr>
          <w:rFonts w:hint="eastAsia" w:ascii="宋体" w:hAnsi="宋体" w:cs="宋体"/>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六、有关本次联合投标的其他事宜：</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联合体成员名称(电子签名/公章)：</w:t>
      </w:r>
    </w:p>
    <w:p>
      <w:pPr>
        <w:snapToGrid w:val="0"/>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spacing w:line="360" w:lineRule="auto"/>
        <w:ind w:right="420"/>
        <w:rPr>
          <w:rFonts w:hint="eastAsia" w:ascii="宋体" w:hAnsi="宋体" w:cs="宋体"/>
          <w:sz w:val="24"/>
          <w:highlight w:val="none"/>
        </w:rPr>
      </w:pPr>
      <w:r>
        <w:rPr>
          <w:rFonts w:hint="eastAsia" w:ascii="宋体" w:hAnsi="宋体" w:cs="宋体"/>
          <w:sz w:val="24"/>
          <w:highlight w:val="none"/>
        </w:rPr>
        <w:t>注：按本格式和要求提供。</w:t>
      </w:r>
    </w:p>
    <w:p>
      <w:pPr>
        <w:pStyle w:val="4"/>
        <w:rPr>
          <w:rFonts w:hint="eastAsia" w:ascii="宋体" w:hAnsi="宋体" w:cs="宋体"/>
          <w:sz w:val="24"/>
          <w:highlight w:val="none"/>
        </w:rPr>
      </w:pPr>
    </w:p>
    <w:p>
      <w:pPr>
        <w:snapToGrid w:val="0"/>
        <w:spacing w:line="360" w:lineRule="auto"/>
        <w:ind w:firstLine="3666" w:firstLineChars="1100"/>
        <w:rPr>
          <w:rFonts w:ascii="宋体" w:hAnsi="宋体" w:cs="宋体"/>
          <w:b/>
          <w:kern w:val="0"/>
          <w:sz w:val="32"/>
          <w:szCs w:val="32"/>
          <w:highlight w:val="none"/>
        </w:rPr>
      </w:pPr>
      <w:r>
        <w:rPr>
          <w:rFonts w:hint="eastAsia" w:ascii="宋体" w:hAnsi="宋体" w:cs="宋体"/>
          <w:b/>
          <w:spacing w:val="6"/>
          <w:sz w:val="32"/>
          <w:szCs w:val="32"/>
          <w:highlight w:val="none"/>
        </w:rPr>
        <w:t>附件</w:t>
      </w:r>
      <w:r>
        <w:rPr>
          <w:rFonts w:ascii="宋体" w:hAnsi="宋体" w:cs="宋体"/>
          <w:b/>
          <w:spacing w:val="6"/>
          <w:sz w:val="32"/>
          <w:szCs w:val="32"/>
          <w:highlight w:val="none"/>
        </w:rPr>
        <w:t>6</w:t>
      </w:r>
      <w:r>
        <w:rPr>
          <w:rFonts w:hint="eastAsia" w:ascii="宋体" w:hAnsi="宋体" w:cs="宋体"/>
          <w:b/>
          <w:spacing w:val="6"/>
          <w:sz w:val="32"/>
          <w:szCs w:val="32"/>
          <w:highlight w:val="none"/>
        </w:rPr>
        <w:t>：</w:t>
      </w:r>
      <w:r>
        <w:rPr>
          <w:rFonts w:hint="eastAsia" w:ascii="宋体" w:hAnsi="宋体" w:cs="宋体"/>
          <w:b/>
          <w:kern w:val="0"/>
          <w:sz w:val="32"/>
          <w:szCs w:val="32"/>
          <w:highlight w:val="none"/>
        </w:rPr>
        <w:t>分包意向协议</w:t>
      </w:r>
    </w:p>
    <w:p>
      <w:pPr>
        <w:widowControl/>
        <w:spacing w:line="360" w:lineRule="auto"/>
        <w:ind w:firstLine="120" w:firstLineChars="50"/>
        <w:jc w:val="left"/>
        <w:rPr>
          <w:rFonts w:ascii="宋体" w:hAnsi="宋体" w:cs="宋体"/>
          <w:sz w:val="24"/>
          <w:highlight w:val="none"/>
        </w:rPr>
      </w:pPr>
      <w:r>
        <w:rPr>
          <w:rFonts w:hint="eastAsia" w:ascii="宋体" w:hAnsi="宋体" w:cs="宋体"/>
          <w:sz w:val="24"/>
          <w:highlight w:val="none"/>
        </w:rPr>
        <w:t>（</w:t>
      </w:r>
      <w:r>
        <w:rPr>
          <w:rFonts w:hint="eastAsia" w:ascii="宋体" w:hAnsi="宋体" w:cs="宋体"/>
          <w:b/>
          <w:sz w:val="24"/>
          <w:highlight w:val="none"/>
        </w:rPr>
        <w:t>中标后以分包方式履行合同的，提供分包意向协议；采购人不同意分包或者投标人中标后不以分包方式履行合同的，则不需要提供。</w:t>
      </w:r>
      <w:r>
        <w:rPr>
          <w:rFonts w:hint="eastAsia" w:ascii="宋体" w:hAnsi="宋体" w:cs="宋体"/>
          <w:sz w:val="24"/>
          <w:highlight w:val="none"/>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（投标人名称）</w:t>
      </w:r>
      <w:r>
        <w:rPr>
          <w:rFonts w:hint="eastAsia" w:ascii="宋体" w:hAnsi="宋体" w:cs="宋体"/>
          <w:kern w:val="0"/>
          <w:sz w:val="24"/>
          <w:highlight w:val="none"/>
          <w:lang w:val="zh-CN"/>
        </w:rPr>
        <w:t>若成为</w:t>
      </w:r>
      <w:r>
        <w:rPr>
          <w:rFonts w:hint="eastAsia" w:ascii="宋体" w:hAnsi="宋体" w:cs="宋体"/>
          <w:sz w:val="24"/>
          <w:highlight w:val="none"/>
          <w:lang w:eastAsia="zh-CN"/>
        </w:rPr>
        <w:t>杭州市文溪中学校园网络及监控系统建设采购项目</w:t>
      </w:r>
      <w:r>
        <w:rPr>
          <w:rFonts w:hint="eastAsia" w:ascii="宋体" w:hAnsi="宋体" w:cs="宋体"/>
          <w:sz w:val="24"/>
          <w:highlight w:val="none"/>
        </w:rPr>
        <w:t>【招标编号：</w:t>
      </w:r>
      <w:r>
        <w:rPr>
          <w:rFonts w:hint="eastAsia" w:ascii="宋体" w:hAnsi="宋体" w:cs="宋体"/>
          <w:sz w:val="24"/>
          <w:highlight w:val="none"/>
          <w:lang w:eastAsia="zh-CN"/>
        </w:rPr>
        <w:t>XHZFCG-2023-G-18</w:t>
      </w:r>
      <w:r>
        <w:rPr>
          <w:rFonts w:hint="eastAsia" w:ascii="宋体" w:hAnsi="宋体" w:cs="宋体"/>
          <w:sz w:val="24"/>
          <w:highlight w:val="none"/>
        </w:rPr>
        <w:t>】</w:t>
      </w:r>
      <w:r>
        <w:rPr>
          <w:rFonts w:hint="eastAsia" w:ascii="宋体" w:hAnsi="宋体" w:cs="宋体"/>
          <w:kern w:val="0"/>
          <w:sz w:val="24"/>
          <w:highlight w:val="none"/>
          <w:lang w:val="zh-CN"/>
        </w:rPr>
        <w:t>的中标供应商，将依法采取分包方式履行合同。</w:t>
      </w:r>
      <w:r>
        <w:rPr>
          <w:rFonts w:hint="eastAsia" w:ascii="宋体" w:hAnsi="宋体" w:cs="宋体"/>
          <w:kern w:val="0"/>
          <w:sz w:val="24"/>
          <w:highlight w:val="none"/>
          <w:u w:val="single"/>
        </w:rPr>
        <w:t>（投标人名称）</w:t>
      </w:r>
      <w:r>
        <w:rPr>
          <w:rFonts w:hint="eastAsia" w:ascii="宋体" w:hAnsi="宋体" w:cs="宋体"/>
          <w:kern w:val="0"/>
          <w:sz w:val="24"/>
          <w:highlight w:val="none"/>
        </w:rPr>
        <w:t>与</w:t>
      </w:r>
      <w:r>
        <w:rPr>
          <w:rFonts w:hint="eastAsia" w:ascii="宋体" w:hAnsi="宋体" w:cs="宋体"/>
          <w:kern w:val="0"/>
          <w:sz w:val="24"/>
          <w:highlight w:val="none"/>
          <w:u w:val="single"/>
        </w:rPr>
        <w:t>（所有分包供应商名称）</w:t>
      </w:r>
      <w:r>
        <w:rPr>
          <w:rFonts w:hint="eastAsia" w:ascii="宋体" w:hAnsi="宋体" w:cs="宋体"/>
          <w:kern w:val="0"/>
          <w:sz w:val="24"/>
          <w:highlight w:val="none"/>
        </w:rPr>
        <w:t>达成分包意向协议</w:t>
      </w:r>
      <w:r>
        <w:rPr>
          <w:rFonts w:hint="eastAsia" w:ascii="宋体" w:hAnsi="宋体" w:cs="宋体"/>
          <w:kern w:val="0"/>
          <w:sz w:val="24"/>
          <w:highlight w:val="none"/>
          <w:lang w:val="zh-CN"/>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一、分包标的及数量</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（投标人名称）</w:t>
      </w:r>
      <w:r>
        <w:rPr>
          <w:rFonts w:hint="eastAsia" w:ascii="宋体" w:hAnsi="宋体" w:cs="宋体"/>
          <w:kern w:val="0"/>
          <w:sz w:val="24"/>
          <w:highlight w:val="none"/>
          <w:lang w:val="zh-CN"/>
        </w:rPr>
        <w:t>将</w:t>
      </w:r>
      <w:r>
        <w:rPr>
          <w:rFonts w:hint="eastAsia" w:ascii="宋体" w:hAnsi="宋体" w:cs="宋体"/>
          <w:highlight w:val="none"/>
          <w:u w:val="single"/>
        </w:rPr>
        <w:t xml:space="preserve"> </w:t>
      </w:r>
      <w:r>
        <w:rPr>
          <w:rFonts w:ascii="宋体" w:hAnsi="宋体" w:cs="宋体"/>
          <w:kern w:val="0"/>
          <w:sz w:val="24"/>
          <w:highlight w:val="none"/>
          <w:u w:val="single"/>
        </w:rPr>
        <w:t xml:space="preserve">  XX工作内容   </w:t>
      </w:r>
      <w:r>
        <w:rPr>
          <w:rFonts w:hint="eastAsia" w:ascii="宋体" w:hAnsi="宋体" w:cs="宋体"/>
          <w:sz w:val="24"/>
          <w:highlight w:val="none"/>
        </w:rPr>
        <w:t>分包给</w:t>
      </w:r>
      <w:r>
        <w:rPr>
          <w:rFonts w:hint="eastAsia" w:ascii="宋体" w:hAnsi="宋体" w:cs="宋体"/>
          <w:kern w:val="0"/>
          <w:sz w:val="24"/>
          <w:highlight w:val="none"/>
          <w:u w:val="single"/>
        </w:rPr>
        <w:t>（分包供应商1名称）</w:t>
      </w:r>
      <w:r>
        <w:rPr>
          <w:rFonts w:hint="eastAsia" w:ascii="宋体" w:hAnsi="宋体" w:cs="宋体"/>
          <w:kern w:val="0"/>
          <w:sz w:val="24"/>
          <w:highlight w:val="none"/>
          <w:lang w:val="zh-CN"/>
        </w:rPr>
        <w:t>，</w:t>
      </w:r>
      <w:r>
        <w:rPr>
          <w:rFonts w:hint="eastAsia" w:ascii="宋体" w:hAnsi="宋体" w:cs="宋体"/>
          <w:kern w:val="0"/>
          <w:sz w:val="24"/>
          <w:highlight w:val="none"/>
          <w:u w:val="single"/>
        </w:rPr>
        <w:t>（分包供应商1名称），</w:t>
      </w:r>
      <w:r>
        <w:rPr>
          <w:rFonts w:hint="eastAsia" w:ascii="宋体" w:hAnsi="宋体" w:cs="宋体"/>
          <w:kern w:val="0"/>
          <w:sz w:val="24"/>
          <w:highlight w:val="none"/>
          <w:lang w:val="zh-CN"/>
        </w:rPr>
        <w:t>具备承</w:t>
      </w:r>
      <w:r>
        <w:rPr>
          <w:rFonts w:hint="eastAsia" w:ascii="宋体" w:hAnsi="宋体" w:cs="宋体"/>
          <w:kern w:val="0"/>
          <w:sz w:val="24"/>
          <w:highlight w:val="none"/>
        </w:rPr>
        <w:t>担</w:t>
      </w:r>
      <w:r>
        <w:rPr>
          <w:rFonts w:hint="eastAsia" w:ascii="宋体" w:hAnsi="宋体" w:cs="宋体"/>
          <w:kern w:val="0"/>
          <w:sz w:val="24"/>
          <w:highlight w:val="none"/>
          <w:u w:val="single"/>
          <w:lang w:val="zh-CN"/>
        </w:rPr>
        <w:t>XX工作内容</w:t>
      </w:r>
      <w:r>
        <w:rPr>
          <w:rFonts w:hint="eastAsia" w:ascii="宋体" w:hAnsi="宋体" w:cs="宋体"/>
          <w:kern w:val="0"/>
          <w:sz w:val="24"/>
          <w:highlight w:val="none"/>
          <w:lang w:val="zh-CN"/>
        </w:rPr>
        <w:t>相应资质条件且不得再次分包；</w:t>
      </w:r>
    </w:p>
    <w:p>
      <w:pPr>
        <w:pStyle w:val="4"/>
        <w:ind w:left="664" w:leftChars="316" w:firstLine="229" w:firstLineChars="95"/>
        <w:rPr>
          <w:rFonts w:ascii="宋体" w:hAnsi="宋体" w:eastAsia="宋体" w:cs="宋体"/>
          <w:kern w:val="0"/>
          <w:sz w:val="24"/>
          <w:szCs w:val="24"/>
          <w:highlight w:val="none"/>
        </w:rPr>
      </w:pPr>
      <w:r>
        <w:rPr>
          <w:rFonts w:hint="eastAsia" w:ascii="宋体" w:hAnsi="宋体" w:eastAsia="宋体" w:cs="宋体"/>
          <w:kern w:val="0"/>
          <w:sz w:val="24"/>
          <w:szCs w:val="24"/>
          <w:highlight w:val="none"/>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二、分包供应商中小企业合同份额</w:t>
      </w:r>
    </w:p>
    <w:p>
      <w:pPr>
        <w:snapToGrid w:val="0"/>
        <w:spacing w:line="360" w:lineRule="auto"/>
        <w:ind w:firstLine="576"/>
        <w:rPr>
          <w:rFonts w:ascii="宋体" w:hAnsi="宋体" w:cs="宋体"/>
          <w:b/>
          <w:kern w:val="0"/>
          <w:sz w:val="24"/>
          <w:highlight w:val="none"/>
          <w:lang w:val="zh-CN"/>
        </w:rPr>
      </w:pPr>
      <w:r>
        <w:rPr>
          <w:rFonts w:ascii="宋体" w:hAnsi="宋体" w:cs="宋体"/>
          <w:kern w:val="0"/>
          <w:sz w:val="24"/>
          <w:highlight w:val="none"/>
          <w:u w:val="none"/>
        </w:rPr>
        <w:t>1、</w:t>
      </w:r>
      <w:r>
        <w:rPr>
          <w:rFonts w:hint="eastAsia" w:ascii="宋体" w:hAnsi="宋体" w:cs="宋体"/>
          <w:kern w:val="0"/>
          <w:sz w:val="24"/>
          <w:highlight w:val="none"/>
          <w:u w:val="single"/>
        </w:rPr>
        <w:t>（分包供应商X</w:t>
      </w:r>
      <w:r>
        <w:rPr>
          <w:rFonts w:ascii="宋体" w:hAnsi="宋体" w:cs="宋体"/>
          <w:kern w:val="0"/>
          <w:sz w:val="24"/>
          <w:highlight w:val="none"/>
          <w:u w:val="single"/>
        </w:rPr>
        <w:t>,</w:t>
      </w:r>
      <w:r>
        <w:rPr>
          <w:rFonts w:hint="eastAsia" w:ascii="宋体" w:hAnsi="宋体" w:cs="宋体"/>
          <w:kern w:val="0"/>
          <w:sz w:val="24"/>
          <w:highlight w:val="none"/>
          <w:u w:val="single"/>
        </w:rPr>
        <w:t>……）提供的货物全部由小微企业制造，</w:t>
      </w:r>
      <w:r>
        <w:rPr>
          <w:rFonts w:hint="eastAsia" w:ascii="宋体" w:hAnsi="宋体" w:cs="宋体"/>
          <w:kern w:val="0"/>
          <w:sz w:val="24"/>
          <w:highlight w:val="none"/>
        </w:rPr>
        <w:t>其合同份额占到合同总金额</w:t>
      </w:r>
      <w:r>
        <w:rPr>
          <w:rFonts w:hint="eastAsia" w:ascii="宋体" w:hAnsi="宋体" w:cs="宋体"/>
          <w:kern w:val="0"/>
          <w:sz w:val="24"/>
          <w:highlight w:val="none"/>
          <w:u w:val="single"/>
        </w:rPr>
        <w:t xml:space="preserve">     </w:t>
      </w:r>
      <w:r>
        <w:rPr>
          <w:rFonts w:hint="eastAsia" w:ascii="宋体" w:hAnsi="宋体" w:cs="宋体"/>
          <w:kern w:val="0"/>
          <w:sz w:val="24"/>
          <w:highlight w:val="none"/>
        </w:rPr>
        <w:t>%以上</w:t>
      </w:r>
      <w:r>
        <w:rPr>
          <w:rFonts w:hint="eastAsia" w:ascii="宋体" w:hAnsi="宋体" w:cs="宋体"/>
          <w:highlight w:val="none"/>
        </w:rPr>
        <w:t>。</w:t>
      </w:r>
      <w:r>
        <w:rPr>
          <w:rFonts w:hint="eastAsia" w:ascii="宋体" w:hAnsi="宋体" w:cs="宋体"/>
          <w:b/>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（未预留份额专门面向中小企业采购的采购项目，以及预留份额中的非预留部分采购包，允许分包的，分包意向协议约定小微企业的合同份额占到合同总金额30%以上的，对大中型企业的报价给予</w:t>
      </w:r>
      <w:r>
        <w:rPr>
          <w:rFonts w:hint="default" w:ascii="宋体" w:hAnsi="宋体" w:cs="宋体"/>
          <w:b/>
          <w:kern w:val="0"/>
          <w:sz w:val="24"/>
          <w:highlight w:val="none"/>
          <w:lang w:val="en-US"/>
        </w:rPr>
        <w:t>6</w:t>
      </w:r>
      <w:r>
        <w:rPr>
          <w:rFonts w:hint="eastAsia" w:ascii="宋体" w:hAnsi="宋体" w:cs="宋体"/>
          <w:b/>
          <w:kern w:val="0"/>
          <w:sz w:val="24"/>
          <w:highlight w:val="none"/>
          <w:lang w:val="zh-CN"/>
        </w:rPr>
        <w:t>%的扣除。供应商</w:t>
      </w:r>
      <w:r>
        <w:rPr>
          <w:rFonts w:hint="eastAsia" w:ascii="宋体" w:hAnsi="宋体" w:cs="宋体"/>
          <w:b/>
          <w:sz w:val="24"/>
          <w:highlight w:val="none"/>
        </w:rPr>
        <w:t>拟享受以上价格扣除政策的，填写有关内容。</w:t>
      </w:r>
      <w:r>
        <w:rPr>
          <w:rFonts w:hint="eastAsia" w:ascii="宋体" w:hAnsi="宋体" w:cs="宋体"/>
          <w:b/>
          <w:kern w:val="0"/>
          <w:sz w:val="24"/>
          <w:highlight w:val="none"/>
          <w:lang w:val="zh-CN"/>
        </w:rPr>
        <w:t>）</w:t>
      </w:r>
    </w:p>
    <w:p>
      <w:pPr>
        <w:spacing w:line="360" w:lineRule="auto"/>
        <w:ind w:firstLine="480" w:firstLineChars="200"/>
        <w:rPr>
          <w:rFonts w:ascii="宋体" w:hAnsi="宋体" w:cs="宋体"/>
          <w:b/>
          <w:bCs/>
          <w:kern w:val="0"/>
          <w:sz w:val="24"/>
          <w:highlight w:val="none"/>
          <w:lang w:val="zh-CN"/>
        </w:rPr>
      </w:pPr>
      <w:r>
        <w:rPr>
          <w:rFonts w:hint="eastAsia" w:ascii="宋体" w:hAnsi="宋体" w:cs="宋体"/>
          <w:sz w:val="24"/>
          <w:highlight w:val="none"/>
        </w:rPr>
        <w:t>2、</w:t>
      </w:r>
      <w:bookmarkStart w:id="403" w:name="_Hlk101133173"/>
      <w:r>
        <w:rPr>
          <w:rFonts w:hint="eastAsia" w:ascii="宋体" w:hAnsi="宋体" w:cs="宋体"/>
          <w:sz w:val="24"/>
          <w:highlight w:val="none"/>
        </w:rPr>
        <w:t>中小企业合同金额达到</w:t>
      </w:r>
      <w:r>
        <w:rPr>
          <w:rFonts w:hint="eastAsia" w:ascii="宋体" w:hAnsi="宋体" w:cs="宋体"/>
          <w:sz w:val="24"/>
          <w:highlight w:val="none"/>
          <w:u w:val="single"/>
        </w:rPr>
        <w:t xml:space="preserve">  </w:t>
      </w:r>
      <w:r>
        <w:rPr>
          <w:rFonts w:hint="eastAsia" w:ascii="宋体" w:hAnsi="宋体" w:cs="宋体"/>
          <w:sz w:val="24"/>
          <w:highlight w:val="none"/>
        </w:rPr>
        <w:t>%，小微企业合同金额达到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kern w:val="0"/>
          <w:sz w:val="24"/>
          <w:highlight w:val="none"/>
          <w:lang w:val="zh-CN"/>
        </w:rPr>
        <w:t>。</w:t>
      </w:r>
      <w:r>
        <w:rPr>
          <w:rFonts w:hint="eastAsia" w:ascii="宋体" w:hAnsi="宋体" w:cs="宋体"/>
          <w:b/>
          <w:bCs/>
          <w:kern w:val="0"/>
          <w:sz w:val="24"/>
          <w:highlight w:val="none"/>
          <w:lang w:val="zh-CN"/>
        </w:rPr>
        <w:t>（</w:t>
      </w:r>
      <w:r>
        <w:rPr>
          <w:rFonts w:hint="eastAsia" w:ascii="宋体" w:hAnsi="宋体" w:cs="宋体"/>
          <w:b/>
          <w:bCs/>
          <w:sz w:val="24"/>
          <w:highlight w:val="none"/>
        </w:rPr>
        <w:t>要求合同分包形式参加的项目或采购包，供应商按招标文件第一部分招标公告申请人的资格要求中规定的</w:t>
      </w:r>
      <w:r>
        <w:rPr>
          <w:rFonts w:hint="eastAsia" w:ascii="宋体" w:hAnsi="宋体" w:cs="宋体"/>
          <w:b/>
          <w:kern w:val="0"/>
          <w:sz w:val="24"/>
          <w:highlight w:val="none"/>
          <w:lang w:val="zh-CN"/>
        </w:rPr>
        <w:t>分包意向协议</w:t>
      </w:r>
      <w:r>
        <w:rPr>
          <w:rFonts w:hint="eastAsia" w:ascii="宋体" w:hAnsi="宋体" w:cs="宋体"/>
          <w:b/>
          <w:bCs/>
          <w:sz w:val="24"/>
          <w:highlight w:val="none"/>
        </w:rPr>
        <w:t>中中小企业、小微企业合同金额应当达到的比例要求填写。</w:t>
      </w:r>
      <w:r>
        <w:rPr>
          <w:rFonts w:hint="eastAsia" w:ascii="宋体" w:hAnsi="宋体" w:cs="宋体"/>
          <w:b/>
          <w:bCs/>
          <w:kern w:val="0"/>
          <w:sz w:val="24"/>
          <w:highlight w:val="none"/>
          <w:lang w:val="zh-CN"/>
        </w:rPr>
        <w:t>）</w:t>
      </w:r>
      <w:bookmarkEnd w:id="403"/>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三、分包工作履行期限、地点、方式</w:t>
      </w:r>
    </w:p>
    <w:p>
      <w:pPr>
        <w:snapToGrid w:val="0"/>
        <w:spacing w:line="360" w:lineRule="auto"/>
        <w:ind w:firstLine="576"/>
        <w:rPr>
          <w:rFonts w:ascii="宋体" w:hAnsi="宋体" w:cs="宋体"/>
          <w:highlight w:val="none"/>
          <w:u w:val="single"/>
        </w:rPr>
      </w:pPr>
      <w:r>
        <w:rPr>
          <w:rFonts w:hint="eastAsia" w:ascii="宋体" w:hAnsi="宋体" w:cs="宋体"/>
          <w:highlight w:val="none"/>
          <w:u w:val="single"/>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四、质量</w:t>
      </w:r>
    </w:p>
    <w:p>
      <w:pPr>
        <w:snapToGrid w:val="0"/>
        <w:spacing w:line="360" w:lineRule="auto"/>
        <w:ind w:firstLine="576"/>
        <w:rPr>
          <w:rFonts w:ascii="宋体" w:hAnsi="宋体" w:cs="宋体"/>
          <w:kern w:val="0"/>
          <w:sz w:val="24"/>
          <w:highlight w:val="none"/>
          <w:lang w:val="zh-CN"/>
        </w:rPr>
      </w:pPr>
      <w:r>
        <w:rPr>
          <w:rFonts w:hint="eastAsia" w:ascii="宋体" w:hAnsi="宋体" w:cs="宋体"/>
          <w:highlight w:val="none"/>
          <w:u w:val="single"/>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五、价款或者报酬</w:t>
      </w:r>
    </w:p>
    <w:p>
      <w:pPr>
        <w:snapToGrid w:val="0"/>
        <w:spacing w:line="360" w:lineRule="auto"/>
        <w:ind w:left="573" w:leftChars="273"/>
        <w:rPr>
          <w:rFonts w:ascii="宋体" w:hAnsi="宋体" w:cs="宋体"/>
          <w:kern w:val="0"/>
          <w:sz w:val="24"/>
          <w:highlight w:val="none"/>
          <w:lang w:val="zh-CN"/>
        </w:rPr>
      </w:pPr>
      <w:r>
        <w:rPr>
          <w:rFonts w:hint="eastAsia" w:ascii="宋体" w:hAnsi="宋体" w:cs="宋体"/>
          <w:highlight w:val="none"/>
          <w:u w:val="single"/>
        </w:rPr>
        <w:t xml:space="preserve">                                                                                     </w:t>
      </w:r>
      <w:r>
        <w:rPr>
          <w:rFonts w:hint="eastAsia" w:ascii="宋体" w:hAnsi="宋体" w:cs="宋体"/>
          <w:kern w:val="0"/>
          <w:sz w:val="24"/>
          <w:highlight w:val="none"/>
          <w:lang w:val="zh-CN"/>
        </w:rPr>
        <w:t>六、违约责任</w:t>
      </w:r>
    </w:p>
    <w:p>
      <w:pPr>
        <w:snapToGrid w:val="0"/>
        <w:spacing w:line="360" w:lineRule="auto"/>
        <w:ind w:firstLine="576"/>
        <w:rPr>
          <w:rFonts w:ascii="宋体" w:hAnsi="宋体" w:cs="宋体"/>
          <w:kern w:val="0"/>
          <w:sz w:val="24"/>
          <w:highlight w:val="none"/>
          <w:lang w:val="zh-CN"/>
        </w:rPr>
      </w:pPr>
      <w:r>
        <w:rPr>
          <w:rFonts w:hint="eastAsia" w:ascii="宋体" w:hAnsi="宋体" w:cs="宋体"/>
          <w:highlight w:val="none"/>
          <w:u w:val="single"/>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七、争议解决的办法</w:t>
      </w:r>
    </w:p>
    <w:p>
      <w:pPr>
        <w:snapToGrid w:val="0"/>
        <w:spacing w:line="360" w:lineRule="auto"/>
        <w:ind w:firstLine="576"/>
        <w:rPr>
          <w:rFonts w:ascii="宋体" w:hAnsi="宋体" w:cs="宋体"/>
          <w:kern w:val="0"/>
          <w:sz w:val="24"/>
          <w:highlight w:val="none"/>
          <w:lang w:val="zh-CN"/>
        </w:rPr>
      </w:pPr>
      <w:r>
        <w:rPr>
          <w:rFonts w:hint="eastAsia" w:ascii="宋体" w:hAnsi="宋体" w:cs="宋体"/>
          <w:highlight w:val="none"/>
          <w:u w:val="single"/>
        </w:rPr>
        <w:t xml:space="preserve">                                                                                  </w:t>
      </w:r>
    </w:p>
    <w:p>
      <w:pPr>
        <w:snapToGrid w:val="0"/>
        <w:spacing w:line="360" w:lineRule="auto"/>
        <w:ind w:left="5758" w:leftChars="342" w:hanging="5040" w:hangingChars="2100"/>
        <w:rPr>
          <w:rFonts w:ascii="宋体" w:hAnsi="宋体" w:cs="宋体"/>
          <w:kern w:val="0"/>
          <w:sz w:val="24"/>
          <w:highlight w:val="none"/>
          <w:lang w:val="zh-CN"/>
        </w:rPr>
      </w:pPr>
      <w:r>
        <w:rPr>
          <w:rFonts w:hint="eastAsia" w:ascii="宋体" w:hAnsi="宋体" w:cs="宋体"/>
          <w:kern w:val="0"/>
          <w:sz w:val="24"/>
          <w:highlight w:val="none"/>
          <w:lang w:val="zh-CN"/>
        </w:rPr>
        <w:t xml:space="preserve">                                          投标人名称(电子签名)：</w:t>
      </w:r>
    </w:p>
    <w:p>
      <w:pPr>
        <w:snapToGrid w:val="0"/>
        <w:spacing w:line="360" w:lineRule="auto"/>
        <w:ind w:firstLine="5640" w:firstLineChars="2350"/>
        <w:rPr>
          <w:rFonts w:ascii="宋体" w:hAnsi="宋体" w:cs="宋体"/>
          <w:kern w:val="0"/>
          <w:sz w:val="24"/>
          <w:highlight w:val="none"/>
          <w:lang w:val="zh-CN"/>
        </w:rPr>
      </w:pPr>
      <w:r>
        <w:rPr>
          <w:rFonts w:hint="eastAsia" w:ascii="宋体" w:hAnsi="宋体" w:cs="宋体"/>
          <w:kern w:val="0"/>
          <w:sz w:val="24"/>
          <w:highlight w:val="none"/>
          <w:lang w:val="zh-CN"/>
        </w:rPr>
        <w:t>分包供应商名称：</w:t>
      </w:r>
    </w:p>
    <w:p>
      <w:pPr>
        <w:snapToGrid w:val="0"/>
        <w:spacing w:line="360" w:lineRule="auto"/>
        <w:ind w:firstLine="5760" w:firstLineChars="2400"/>
        <w:rPr>
          <w:rFonts w:ascii="宋体" w:hAnsi="宋体" w:cs="宋体"/>
          <w:highlight w:val="none"/>
        </w:rPr>
      </w:pPr>
      <w:r>
        <w:rPr>
          <w:rFonts w:hint="eastAsia" w:ascii="宋体" w:hAnsi="宋体" w:cs="宋体"/>
          <w:kern w:val="0"/>
          <w:sz w:val="24"/>
          <w:highlight w:val="none"/>
          <w:lang w:val="zh-CN"/>
        </w:rPr>
        <w:t>……</w:t>
      </w:r>
    </w:p>
    <w:p>
      <w:pPr>
        <w:spacing w:line="360" w:lineRule="auto"/>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autoSpaceDE w:val="0"/>
        <w:autoSpaceDN w:val="0"/>
        <w:jc w:val="center"/>
        <w:rPr>
          <w:rFonts w:hint="eastAsia" w:ascii="宋体" w:hAnsi="宋体" w:cs="宋体"/>
          <w:b/>
          <w:spacing w:val="6"/>
          <w:sz w:val="32"/>
          <w:szCs w:val="32"/>
          <w:highlight w:val="none"/>
        </w:rPr>
      </w:pPr>
    </w:p>
    <w:p>
      <w:pPr>
        <w:autoSpaceDE w:val="0"/>
        <w:autoSpaceDN w:val="0"/>
        <w:jc w:val="center"/>
        <w:rPr>
          <w:rFonts w:hint="eastAsia" w:ascii="宋体" w:hAnsi="宋体" w:cs="宋体"/>
          <w:b/>
          <w:spacing w:val="6"/>
          <w:sz w:val="32"/>
          <w:szCs w:val="32"/>
          <w:highlight w:val="none"/>
        </w:rPr>
      </w:pPr>
    </w:p>
    <w:p>
      <w:pPr>
        <w:autoSpaceDE w:val="0"/>
        <w:autoSpaceDN w:val="0"/>
        <w:jc w:val="center"/>
        <w:rPr>
          <w:rFonts w:ascii="宋体" w:hAnsi="宋体" w:cs="宋体"/>
          <w:b/>
          <w:bCs/>
          <w:sz w:val="32"/>
          <w:szCs w:val="32"/>
          <w:highlight w:val="none"/>
        </w:rPr>
      </w:pPr>
      <w:r>
        <w:rPr>
          <w:rFonts w:hint="eastAsia" w:ascii="宋体" w:hAnsi="宋体" w:cs="宋体"/>
          <w:b/>
          <w:spacing w:val="6"/>
          <w:sz w:val="32"/>
          <w:szCs w:val="32"/>
          <w:highlight w:val="none"/>
        </w:rPr>
        <w:t>附件</w:t>
      </w:r>
      <w:r>
        <w:rPr>
          <w:rFonts w:ascii="宋体" w:hAnsi="宋体" w:cs="宋体"/>
          <w:b/>
          <w:spacing w:val="6"/>
          <w:sz w:val="32"/>
          <w:szCs w:val="32"/>
          <w:highlight w:val="none"/>
        </w:rPr>
        <w:t>7</w:t>
      </w:r>
      <w:r>
        <w:rPr>
          <w:rFonts w:hint="eastAsia" w:ascii="宋体" w:hAnsi="宋体" w:cs="宋体"/>
          <w:b/>
          <w:spacing w:val="6"/>
          <w:sz w:val="32"/>
          <w:szCs w:val="32"/>
          <w:highlight w:val="none"/>
        </w:rPr>
        <w:t>：</w:t>
      </w:r>
      <w:r>
        <w:rPr>
          <w:rFonts w:hint="eastAsia" w:ascii="宋体" w:hAnsi="宋体" w:cs="宋体"/>
          <w:b/>
          <w:sz w:val="32"/>
          <w:szCs w:val="32"/>
          <w:highlight w:val="none"/>
        </w:rPr>
        <w:t>中小企业声明函</w:t>
      </w:r>
    </w:p>
    <w:p>
      <w:pPr>
        <w:spacing w:line="360" w:lineRule="auto"/>
        <w:jc w:val="center"/>
        <w:rPr>
          <w:rFonts w:ascii="宋体" w:hAnsi="宋体" w:cs="宋体"/>
          <w:sz w:val="24"/>
          <w:highlight w:val="none"/>
          <w:u w:val="single"/>
        </w:rPr>
      </w:pPr>
    </w:p>
    <w:p>
      <w:pPr>
        <w:spacing w:line="360" w:lineRule="auto"/>
        <w:jc w:val="center"/>
        <w:rPr>
          <w:rFonts w:ascii="宋体" w:hAnsi="宋体" w:cs="宋体"/>
          <w:b/>
          <w:sz w:val="32"/>
          <w:szCs w:val="32"/>
          <w:highlight w:val="none"/>
        </w:rPr>
      </w:pPr>
      <w:r>
        <w:rPr>
          <w:rFonts w:hint="eastAsia" w:ascii="宋体" w:hAnsi="宋体" w:cs="宋体"/>
          <w:b/>
          <w:sz w:val="32"/>
          <w:szCs w:val="32"/>
          <w:highlight w:val="none"/>
        </w:rPr>
        <w:t>中小企业声明函（货物）</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本公司（联合体）郑重声明，根据《政府采购促进中小企业发展管理办法》（财库﹝2020﹞46 号）的规定，本公司（联合体）参加 </w:t>
      </w:r>
      <w:r>
        <w:rPr>
          <w:rFonts w:hint="eastAsia" w:ascii="宋体" w:hAnsi="宋体" w:cs="宋体"/>
          <w:sz w:val="24"/>
          <w:highlight w:val="none"/>
          <w:u w:val="single"/>
          <w:lang w:eastAsia="zh-CN"/>
        </w:rPr>
        <w:t>杭州市文溪中学</w:t>
      </w:r>
      <w:r>
        <w:rPr>
          <w:rFonts w:hint="eastAsia" w:ascii="宋体" w:hAnsi="宋体" w:cs="宋体"/>
          <w:sz w:val="24"/>
          <w:highlight w:val="none"/>
          <w:u w:val="single"/>
        </w:rPr>
        <w:t xml:space="preserve"> </w:t>
      </w:r>
      <w:r>
        <w:rPr>
          <w:rFonts w:hint="eastAsia" w:ascii="宋体" w:hAnsi="宋体" w:cs="宋体"/>
          <w:sz w:val="24"/>
          <w:highlight w:val="none"/>
        </w:rPr>
        <w:t xml:space="preserve">的 </w:t>
      </w:r>
      <w:r>
        <w:rPr>
          <w:rFonts w:hint="eastAsia" w:ascii="宋体" w:hAnsi="宋体" w:cs="宋体"/>
          <w:sz w:val="24"/>
          <w:highlight w:val="none"/>
          <w:u w:val="single"/>
          <w:lang w:eastAsia="zh-CN"/>
        </w:rPr>
        <w:t>杭州市文溪中学校园网络及监控系统建设采购项目</w:t>
      </w:r>
      <w:r>
        <w:rPr>
          <w:rFonts w:hint="eastAsia" w:ascii="宋体" w:hAnsi="宋体" w:cs="宋体"/>
          <w:sz w:val="24"/>
          <w:highlight w:val="none"/>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w:t>
      </w:r>
      <w:r>
        <w:rPr>
          <w:rFonts w:hint="eastAsia" w:ascii="宋体" w:hAnsi="宋体" w:cs="宋体"/>
          <w:highlight w:val="none"/>
        </w:rPr>
        <w:t xml:space="preserve"> </w:t>
      </w:r>
      <w:r>
        <w:rPr>
          <w:rFonts w:hint="eastAsia" w:ascii="宋体" w:hAnsi="宋体" w:cs="宋体"/>
          <w:sz w:val="24"/>
          <w:highlight w:val="none"/>
          <w:u w:val="single"/>
        </w:rPr>
        <w:t>（标的名称）</w:t>
      </w:r>
      <w:r>
        <w:rPr>
          <w:rFonts w:hint="eastAsia" w:ascii="宋体" w:hAnsi="宋体" w:cs="宋体"/>
          <w:sz w:val="24"/>
          <w:highlight w:val="none"/>
        </w:rPr>
        <w:t xml:space="preserve"> ，属于 </w:t>
      </w:r>
      <w:r>
        <w:rPr>
          <w:rFonts w:hint="eastAsia" w:ascii="宋体" w:hAnsi="宋体" w:cs="宋体"/>
          <w:sz w:val="24"/>
          <w:highlight w:val="none"/>
          <w:u w:val="single"/>
        </w:rPr>
        <w:t>（采购文件中明确的所属行业）</w:t>
      </w:r>
      <w:r>
        <w:rPr>
          <w:rFonts w:hint="eastAsia" w:ascii="宋体" w:hAnsi="宋体" w:cs="宋体"/>
          <w:sz w:val="24"/>
          <w:highlight w:val="none"/>
        </w:rPr>
        <w:t>行业 ；制造商为</w:t>
      </w:r>
      <w:r>
        <w:rPr>
          <w:rFonts w:hint="eastAsia" w:ascii="宋体" w:hAnsi="宋体" w:cs="宋体"/>
          <w:sz w:val="24"/>
          <w:highlight w:val="none"/>
          <w:u w:val="single"/>
        </w:rPr>
        <w:t xml:space="preserve"> （企业名称）</w:t>
      </w:r>
      <w:r>
        <w:rPr>
          <w:rFonts w:hint="eastAsia" w:ascii="宋体" w:hAnsi="宋体" w:cs="宋体"/>
          <w:sz w:val="24"/>
          <w:highlight w:val="none"/>
        </w:rPr>
        <w:t xml:space="preserve"> ，从业人员</w:t>
      </w:r>
      <w:r>
        <w:rPr>
          <w:rFonts w:hint="eastAsia" w:ascii="宋体" w:hAnsi="宋体" w:cs="宋体"/>
          <w:sz w:val="24"/>
          <w:highlight w:val="none"/>
          <w:u w:val="single"/>
        </w:rPr>
        <w:t xml:space="preserve">  </w:t>
      </w:r>
      <w:r>
        <w:rPr>
          <w:rFonts w:hint="eastAsia" w:ascii="宋体" w:hAnsi="宋体" w:cs="宋体"/>
          <w:sz w:val="24"/>
          <w:highlight w:val="none"/>
        </w:rPr>
        <w:t>人，营业收入为</w:t>
      </w:r>
      <w:r>
        <w:rPr>
          <w:rFonts w:hint="eastAsia" w:ascii="宋体" w:hAnsi="宋体" w:cs="宋体"/>
          <w:sz w:val="24"/>
          <w:highlight w:val="none"/>
          <w:u w:val="single"/>
        </w:rPr>
        <w:t xml:space="preserve">  </w:t>
      </w:r>
      <w:r>
        <w:rPr>
          <w:rFonts w:hint="eastAsia" w:ascii="宋体" w:hAnsi="宋体" w:cs="宋体"/>
          <w:sz w:val="24"/>
          <w:highlight w:val="none"/>
        </w:rPr>
        <w:t>万元，资产总额为</w:t>
      </w:r>
      <w:r>
        <w:rPr>
          <w:rFonts w:hint="eastAsia" w:ascii="宋体" w:hAnsi="宋体" w:cs="宋体"/>
          <w:sz w:val="24"/>
          <w:highlight w:val="none"/>
          <w:u w:val="single"/>
        </w:rPr>
        <w:t xml:space="preserve">   </w:t>
      </w:r>
      <w:r>
        <w:rPr>
          <w:rFonts w:hint="eastAsia" w:ascii="宋体" w:hAnsi="宋体" w:cs="宋体"/>
          <w:sz w:val="24"/>
          <w:highlight w:val="none"/>
        </w:rPr>
        <w:t>万元，属于</w:t>
      </w:r>
      <w:r>
        <w:rPr>
          <w:rFonts w:hint="eastAsia" w:ascii="宋体" w:hAnsi="宋体" w:cs="宋体"/>
          <w:sz w:val="24"/>
          <w:highlight w:val="none"/>
          <w:u w:val="single"/>
        </w:rPr>
        <w:t xml:space="preserve"> （中型企业、小型企业、微型企业）</w:t>
      </w:r>
      <w:r>
        <w:rPr>
          <w:rFonts w:hint="eastAsia" w:ascii="宋体" w:hAnsi="宋体" w:cs="宋体"/>
          <w:sz w:val="24"/>
          <w:highlight w:val="none"/>
        </w:rPr>
        <w:t xml:space="preserve">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w:t>
      </w:r>
      <w:r>
        <w:rPr>
          <w:rFonts w:hint="eastAsia" w:ascii="宋体" w:hAnsi="宋体" w:cs="宋体"/>
          <w:highlight w:val="none"/>
        </w:rPr>
        <w:t xml:space="preserve"> </w:t>
      </w:r>
      <w:r>
        <w:rPr>
          <w:rFonts w:hint="eastAsia" w:ascii="宋体" w:hAnsi="宋体" w:cs="宋体"/>
          <w:sz w:val="24"/>
          <w:highlight w:val="none"/>
          <w:u w:val="single"/>
        </w:rPr>
        <w:t>（标的名称）</w:t>
      </w:r>
      <w:r>
        <w:rPr>
          <w:rFonts w:hint="eastAsia" w:ascii="宋体" w:hAnsi="宋体" w:cs="宋体"/>
          <w:sz w:val="24"/>
          <w:highlight w:val="none"/>
        </w:rPr>
        <w:t xml:space="preserve"> ，属于 </w:t>
      </w:r>
      <w:r>
        <w:rPr>
          <w:rFonts w:hint="eastAsia" w:ascii="宋体" w:hAnsi="宋体" w:cs="宋体"/>
          <w:sz w:val="24"/>
          <w:highlight w:val="none"/>
          <w:u w:val="single"/>
        </w:rPr>
        <w:t>（采购文件中明确的所属行业）</w:t>
      </w:r>
      <w:r>
        <w:rPr>
          <w:rFonts w:hint="eastAsia" w:ascii="宋体" w:hAnsi="宋体" w:cs="宋体"/>
          <w:sz w:val="24"/>
          <w:highlight w:val="none"/>
        </w:rPr>
        <w:t>行业 ；制造商为</w:t>
      </w:r>
      <w:r>
        <w:rPr>
          <w:rFonts w:hint="eastAsia" w:ascii="宋体" w:hAnsi="宋体" w:cs="宋体"/>
          <w:sz w:val="24"/>
          <w:highlight w:val="none"/>
          <w:u w:val="single"/>
        </w:rPr>
        <w:t xml:space="preserve"> （企业名称）</w:t>
      </w:r>
      <w:r>
        <w:rPr>
          <w:rFonts w:hint="eastAsia" w:ascii="宋体" w:hAnsi="宋体" w:cs="宋体"/>
          <w:sz w:val="24"/>
          <w:highlight w:val="none"/>
        </w:rPr>
        <w:t xml:space="preserve"> ，从业人员</w:t>
      </w:r>
      <w:r>
        <w:rPr>
          <w:rFonts w:hint="eastAsia" w:ascii="宋体" w:hAnsi="宋体" w:cs="宋体"/>
          <w:sz w:val="24"/>
          <w:highlight w:val="none"/>
          <w:u w:val="single"/>
        </w:rPr>
        <w:t xml:space="preserve">  </w:t>
      </w:r>
      <w:r>
        <w:rPr>
          <w:rFonts w:hint="eastAsia" w:ascii="宋体" w:hAnsi="宋体" w:cs="宋体"/>
          <w:sz w:val="24"/>
          <w:highlight w:val="none"/>
        </w:rPr>
        <w:t>人，营业收入为</w:t>
      </w:r>
      <w:r>
        <w:rPr>
          <w:rFonts w:hint="eastAsia" w:ascii="宋体" w:hAnsi="宋体" w:cs="宋体"/>
          <w:sz w:val="24"/>
          <w:highlight w:val="none"/>
          <w:u w:val="single"/>
        </w:rPr>
        <w:t xml:space="preserve">  </w:t>
      </w:r>
      <w:r>
        <w:rPr>
          <w:rFonts w:hint="eastAsia" w:ascii="宋体" w:hAnsi="宋体" w:cs="宋体"/>
          <w:sz w:val="24"/>
          <w:highlight w:val="none"/>
        </w:rPr>
        <w:t>万元，资产总额为</w:t>
      </w:r>
      <w:r>
        <w:rPr>
          <w:rFonts w:hint="eastAsia" w:ascii="宋体" w:hAnsi="宋体" w:cs="宋体"/>
          <w:sz w:val="24"/>
          <w:highlight w:val="none"/>
          <w:u w:val="single"/>
        </w:rPr>
        <w:t xml:space="preserve">   </w:t>
      </w:r>
      <w:r>
        <w:rPr>
          <w:rFonts w:hint="eastAsia" w:ascii="宋体" w:hAnsi="宋体" w:cs="宋体"/>
          <w:sz w:val="24"/>
          <w:highlight w:val="none"/>
        </w:rPr>
        <w:t>万元，属于</w:t>
      </w:r>
      <w:r>
        <w:rPr>
          <w:rFonts w:hint="eastAsia" w:ascii="宋体" w:hAnsi="宋体" w:cs="宋体"/>
          <w:sz w:val="24"/>
          <w:highlight w:val="none"/>
          <w:u w:val="single"/>
        </w:rPr>
        <w:t xml:space="preserve"> （中型企业、小型企业、微型企业）</w:t>
      </w:r>
      <w:r>
        <w:rPr>
          <w:rFonts w:hint="eastAsia" w:ascii="宋体" w:hAnsi="宋体" w:cs="宋体"/>
          <w:sz w:val="24"/>
          <w:highlight w:val="none"/>
        </w:rPr>
        <w:t xml:space="preserve">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本企业对上述声明内容的真实性负责。如有虚假，将依法承担相应责任。</w:t>
      </w:r>
    </w:p>
    <w:p>
      <w:pPr>
        <w:snapToGrid w:val="0"/>
        <w:spacing w:line="360" w:lineRule="auto"/>
        <w:ind w:firstLine="5160" w:firstLineChars="2150"/>
        <w:rPr>
          <w:rFonts w:ascii="宋体" w:hAnsi="宋体" w:cs="宋体"/>
          <w:kern w:val="0"/>
          <w:sz w:val="24"/>
          <w:highlight w:val="none"/>
        </w:rPr>
      </w:pPr>
      <w:r>
        <w:rPr>
          <w:rFonts w:hint="eastAsia" w:ascii="宋体" w:hAnsi="宋体" w:cs="宋体"/>
          <w:kern w:val="0"/>
          <w:sz w:val="24"/>
          <w:highlight w:val="none"/>
          <w:lang w:val="zh-CN"/>
        </w:rPr>
        <w:t>投标人名称(电子签名)：</w:t>
      </w:r>
    </w:p>
    <w:p>
      <w:pPr>
        <w:snapToGrid w:val="0"/>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 xml:space="preserve">                                           日期</w:t>
      </w:r>
      <w:r>
        <w:rPr>
          <w:rFonts w:hint="eastAsia" w:ascii="宋体" w:hAnsi="宋体" w:cs="宋体"/>
          <w:kern w:val="0"/>
          <w:sz w:val="24"/>
          <w:highlight w:val="none"/>
        </w:rPr>
        <w:t xml:space="preserve">：  年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w:t>
      </w:r>
    </w:p>
    <w:p>
      <w:pPr>
        <w:spacing w:line="360" w:lineRule="auto"/>
        <w:jc w:val="left"/>
        <w:rPr>
          <w:rFonts w:ascii="宋体" w:hAnsi="宋体" w:cs="宋体"/>
          <w:b/>
          <w:bCs/>
          <w:sz w:val="21"/>
          <w:szCs w:val="21"/>
          <w:highlight w:val="none"/>
        </w:rPr>
      </w:pPr>
      <w:r>
        <w:rPr>
          <w:rFonts w:hint="eastAsia" w:ascii="宋体" w:hAnsi="宋体" w:cs="宋体"/>
          <w:b/>
          <w:bCs/>
          <w:sz w:val="21"/>
          <w:szCs w:val="21"/>
          <w:highlight w:val="none"/>
        </w:rPr>
        <w:t>从业人员、营业收入、资产总额填报上一年度数据，无上一年度数据的新成立企业可不填报。</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w:t>
      </w:r>
      <w:r>
        <w:rPr>
          <w:rFonts w:hint="eastAsia" w:ascii="宋体" w:hAnsi="宋体" w:cs="宋体"/>
          <w:b/>
          <w:bCs/>
          <w:color w:val="auto"/>
          <w:sz w:val="24"/>
          <w:highlight w:val="none"/>
        </w:rPr>
        <w:t>逐一填写，不得缺漏</w:t>
      </w:r>
      <w:r>
        <w:rPr>
          <w:rFonts w:hint="eastAsia" w:ascii="宋体" w:hAnsi="宋体" w:cs="宋体"/>
          <w:color w:val="auto"/>
          <w:sz w:val="24"/>
          <w:highlight w:val="none"/>
        </w:rPr>
        <w:t>；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sz w:val="24"/>
          <w:highlight w:val="none"/>
        </w:rPr>
      </w:pPr>
      <w:r>
        <w:rPr>
          <w:rFonts w:hint="eastAsia" w:ascii="宋体" w:hAnsi="宋体" w:cs="宋体"/>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spacing w:line="360" w:lineRule="auto"/>
        <w:jc w:val="both"/>
        <w:rPr>
          <w:rFonts w:ascii="宋体" w:hAnsi="宋体" w:cs="宋体"/>
          <w:b/>
          <w:sz w:val="32"/>
          <w:szCs w:val="32"/>
          <w:highlight w:val="none"/>
        </w:rPr>
      </w:pPr>
    </w:p>
    <w:p>
      <w:pPr>
        <w:spacing w:line="360" w:lineRule="auto"/>
        <w:rPr>
          <w:rFonts w:ascii="宋体" w:hAnsi="宋体" w:cs="宋体"/>
          <w:bCs/>
          <w:sz w:val="24"/>
          <w:highlight w:val="none"/>
        </w:rPr>
      </w:pPr>
    </w:p>
    <w:sectPr>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bookmarkStart w:id="404" w:name="_Toc131845147"/>
    <w:bookmarkStart w:id="405" w:name="_Toc91899912"/>
    <w:bookmarkStart w:id="406" w:name="_Toc36110187"/>
    <w:bookmarkStart w:id="407" w:name="_Toc164085800"/>
    <w:r>
      <w:rPr>
        <w:rFonts w:hint="eastAsia" w:ascii="仿宋_GB2312" w:eastAsia="仿宋_GB2312"/>
        <w:kern w:val="0"/>
        <w:szCs w:val="21"/>
      </w:rPr>
      <w:t xml:space="preserve"> 页</w:t>
    </w:r>
    <w:bookmarkEnd w:id="404"/>
    <w:bookmarkEnd w:id="405"/>
    <w:bookmarkEnd w:id="406"/>
    <w:bookmarkEnd w:id="40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33</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91</w:t>
    </w:r>
    <w:r>
      <w:rPr>
        <w:kern w:val="0"/>
        <w:szCs w:val="21"/>
      </w:rPr>
      <w:fldChar w:fldCharType="end"/>
    </w:r>
    <w:r>
      <w:rPr>
        <w:rFonts w:hint="eastAsia"/>
        <w:kern w:val="0"/>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center" w:y="1"/>
      <w:rPr>
        <w:rStyle w:val="72"/>
      </w:rPr>
    </w:pPr>
    <w:r>
      <w:fldChar w:fldCharType="begin"/>
    </w:r>
    <w:r>
      <w:rPr>
        <w:rStyle w:val="72"/>
      </w:rPr>
      <w:instrText xml:space="preserve">PAGE  </w:instrText>
    </w:r>
    <w:r>
      <w:fldChar w:fldCharType="end"/>
    </w:r>
  </w:p>
  <w:p>
    <w:pPr>
      <w:pStyle w:val="4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4"/>
      </w:pBdr>
      <w:jc w:val="right"/>
      <w:rPr>
        <w:rFonts w:ascii="仿宋_GB2312" w:eastAsia="仿宋_GB2312"/>
        <w:b w:val="0"/>
        <w:i/>
        <w:sz w:val="18"/>
        <w:u w:val="single"/>
        <w:lang w:val="en-US"/>
      </w:rPr>
    </w:pPr>
    <w:r>
      <w:t></w:t>
    </w:r>
    <w:r>
      <w:rPr>
        <w:rFonts w:hint="eastAsia"/>
      </w:rPr>
      <w:t xml:space="preserve">             </w:t>
    </w:r>
    <w:r>
      <w:rPr>
        <w:rFonts w:hint="eastAsia" w:ascii="宋体" w:hAnsi="宋体" w:eastAsia="宋体" w:cs="宋体"/>
        <w:sz w:val="21"/>
        <w:szCs w:val="21"/>
        <w:lang w:val="en-US" w:eastAsia="zh-CN"/>
      </w:rPr>
      <w:t>西湖区</w:t>
    </w:r>
    <w:r>
      <w:rPr>
        <w:rFonts w:hint="eastAsia" w:ascii="宋体" w:hAnsi="宋体" w:eastAsia="宋体" w:cs="宋体"/>
        <w:sz w:val="21"/>
        <w:szCs w:val="21"/>
      </w:rP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en-US" w:eastAsia="zh-CN"/>
      </w:rPr>
      <w:t>西湖区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hint="eastAsia" w:ascii="仿宋_GB2312" w:eastAsia="仿宋_GB2312"/>
        <w:sz w:val="24"/>
        <w:szCs w:val="24"/>
      </w:rPr>
    </w:pPr>
    <w:r>
      <w:rPr>
        <w:rFonts w:hint="eastAsia" w:ascii="仿宋_GB2312" w:eastAsia="仿宋_GB2312"/>
        <w:sz w:val="24"/>
        <w:szCs w:val="24"/>
      </w:rPr>
      <w:t>杭州市西湖区政府采购公开招标文件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hint="eastAsia" w:ascii="仿宋_GB2312" w:eastAsia="宋体"/>
        <w:b/>
        <w:i/>
        <w:u w:val="single"/>
        <w:lang w:eastAsia="zh-CN"/>
      </w:rPr>
    </w:pPr>
    <w:r>
      <w:t></w:t>
    </w:r>
    <w:r>
      <w:rPr>
        <w:rFonts w:hint="eastAsia"/>
      </w:rPr>
      <w:t xml:space="preserve">                                               </w:t>
    </w:r>
    <w:r>
      <w:rPr>
        <w:rFonts w:hint="eastAsia"/>
        <w:lang w:eastAsia="zh-CN"/>
      </w:rPr>
      <w:t>西湖区政府采购公开招标文件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both"/>
    </w:pPr>
    <w:r>
      <w:rPr>
        <w:rFonts w:hint="eastAsia"/>
      </w:rPr>
      <w:t xml:space="preserve">       </w:t>
    </w:r>
  </w:p>
  <w:p>
    <w:pPr>
      <w:pStyle w:val="41"/>
      <w:rPr>
        <w:rFonts w:hint="eastAsia" w:eastAsia="宋体"/>
        <w:lang w:eastAsia="zh-CN"/>
      </w:rPr>
    </w:pPr>
    <w:r>
      <w:rPr>
        <w:rFonts w:hint="eastAsia"/>
      </w:rPr>
      <w:t xml:space="preserve">                                                                  </w:t>
    </w:r>
    <w:r>
      <w:rPr>
        <w:rFonts w:hint="eastAsia"/>
        <w:lang w:eastAsia="zh-CN"/>
      </w:rPr>
      <w:t>西湖区政府采购公开招标文件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hint="eastAsia" w:ascii="仿宋_GB2312" w:eastAsia="宋体"/>
        <w:b/>
        <w:i/>
        <w:u w:val="single"/>
        <w:lang w:eastAsia="zh-CN"/>
      </w:rPr>
    </w:pPr>
    <w:r>
      <w:rPr>
        <w:rFonts w:hint="eastAsia"/>
      </w:rPr>
      <w:t xml:space="preserve">                                  </w:t>
    </w:r>
    <w:r>
      <w:rPr>
        <w:rFonts w:hint="eastAsia"/>
        <w:lang w:eastAsia="zh-CN"/>
      </w:rPr>
      <w:t>西湖区政府采购公开招标文件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hint="eastAsia" w:eastAsia="宋体"/>
        <w:lang w:eastAsia="zh-CN"/>
      </w:rPr>
    </w:pPr>
    <w:r>
      <w:rPr>
        <w:rFonts w:hint="eastAsia"/>
      </w:rPr>
      <w:t xml:space="preserve">                                                                                                        </w:t>
    </w:r>
    <w:r>
      <w:rPr>
        <w:rFonts w:hint="eastAsia"/>
        <w:lang w:eastAsia="zh-CN"/>
      </w:rPr>
      <w:t>西湖区政府采购公开招标文件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hint="eastAsia" w:ascii="仿宋_GB2312" w:eastAsia="宋体"/>
        <w:b/>
        <w:i/>
        <w:iCs/>
        <w:u w:val="single"/>
        <w:lang w:eastAsia="zh-CN"/>
      </w:rPr>
    </w:pPr>
    <w:r>
      <w:t></w:t>
    </w:r>
    <w:r>
      <w:rPr>
        <w:rFonts w:hint="eastAsia"/>
        <w:lang w:eastAsia="zh-CN"/>
      </w:rPr>
      <w:t>西湖区政府采购公开招标文件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hint="eastAsia" w:eastAsia="宋体"/>
        <w:lang w:eastAsia="zh-CN"/>
      </w:rPr>
    </w:pPr>
    <w:r>
      <w:t></w:t>
    </w:r>
    <w:r>
      <w:rPr>
        <w:rFonts w:hint="eastAsia"/>
      </w:rPr>
      <w:t xml:space="preserve">                                             </w:t>
    </w:r>
    <w:r>
      <w:rPr>
        <w:rFonts w:hint="eastAsia"/>
        <w:lang w:eastAsia="zh-CN"/>
      </w:rPr>
      <w:t>西湖区政府采购公开招标文件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DF8518"/>
    <w:multiLevelType w:val="singleLevel"/>
    <w:tmpl w:val="81DF8518"/>
    <w:lvl w:ilvl="0" w:tentative="0">
      <w:start w:val="5"/>
      <w:numFmt w:val="chineseCounting"/>
      <w:suff w:val="space"/>
      <w:lvlText w:val="第%1部分"/>
      <w:lvlJc w:val="left"/>
      <w:rPr>
        <w:rFonts w:hint="eastAsia"/>
      </w:rPr>
    </w:lvl>
  </w:abstractNum>
  <w:abstractNum w:abstractNumId="1">
    <w:nsid w:val="DB88F7E7"/>
    <w:multiLevelType w:val="singleLevel"/>
    <w:tmpl w:val="DB88F7E7"/>
    <w:lvl w:ilvl="0" w:tentative="0">
      <w:start w:val="2"/>
      <w:numFmt w:val="chineseCounting"/>
      <w:suff w:val="nothing"/>
      <w:lvlText w:val="（%1）"/>
      <w:lvlJc w:val="left"/>
      <w:rPr>
        <w:rFonts w:hint="eastAsia"/>
      </w:rPr>
    </w:lvl>
  </w:abstractNum>
  <w:abstractNum w:abstractNumId="2">
    <w:nsid w:val="E7BB9D71"/>
    <w:multiLevelType w:val="singleLevel"/>
    <w:tmpl w:val="E7BB9D71"/>
    <w:lvl w:ilvl="0" w:tentative="0">
      <w:start w:val="1"/>
      <w:numFmt w:val="decimal"/>
      <w:suff w:val="nothing"/>
      <w:lvlText w:val="（%1）"/>
      <w:lvlJc w:val="left"/>
    </w:lvl>
  </w:abstractNum>
  <w:abstractNum w:abstractNumId="3">
    <w:nsid w:val="F680CFB7"/>
    <w:multiLevelType w:val="singleLevel"/>
    <w:tmpl w:val="F680CFB7"/>
    <w:lvl w:ilvl="0" w:tentative="0">
      <w:start w:val="2"/>
      <w:numFmt w:val="chineseCounting"/>
      <w:suff w:val="nothing"/>
      <w:lvlText w:val="（%1）"/>
      <w:lvlJc w:val="left"/>
      <w:rPr>
        <w:rFonts w:hint="eastAsia"/>
      </w:rPr>
    </w:lvl>
  </w:abstractNum>
  <w:abstractNum w:abstractNumId="4">
    <w:nsid w:val="0A8BED87"/>
    <w:multiLevelType w:val="singleLevel"/>
    <w:tmpl w:val="0A8BED87"/>
    <w:lvl w:ilvl="0" w:tentative="0">
      <w:start w:val="3"/>
      <w:numFmt w:val="decimal"/>
      <w:suff w:val="space"/>
      <w:lvlText w:val="%1."/>
      <w:lvlJc w:val="left"/>
    </w:lvl>
  </w:abstractNum>
  <w:abstractNum w:abstractNumId="5">
    <w:nsid w:val="0FB687AB"/>
    <w:multiLevelType w:val="singleLevel"/>
    <w:tmpl w:val="0FB687AB"/>
    <w:lvl w:ilvl="0" w:tentative="0">
      <w:start w:val="1"/>
      <w:numFmt w:val="decimal"/>
      <w:suff w:val="nothing"/>
      <w:lvlText w:val="%1、"/>
      <w:lvlJc w:val="left"/>
    </w:lvl>
  </w:abstractNum>
  <w:abstractNum w:abstractNumId="6">
    <w:nsid w:val="37F7E2EB"/>
    <w:multiLevelType w:val="singleLevel"/>
    <w:tmpl w:val="37F7E2EB"/>
    <w:lvl w:ilvl="0" w:tentative="0">
      <w:start w:val="8"/>
      <w:numFmt w:val="decimal"/>
      <w:suff w:val="space"/>
      <w:lvlText w:val="%1."/>
      <w:lvlJc w:val="left"/>
    </w:lvl>
  </w:abstractNum>
  <w:abstractNum w:abstractNumId="7">
    <w:nsid w:val="40AE30C0"/>
    <w:multiLevelType w:val="singleLevel"/>
    <w:tmpl w:val="40AE30C0"/>
    <w:lvl w:ilvl="0" w:tentative="0">
      <w:start w:val="1"/>
      <w:numFmt w:val="decimal"/>
      <w:suff w:val="nothing"/>
      <w:lvlText w:val="（%1）"/>
      <w:lvlJc w:val="left"/>
    </w:lvl>
  </w:abstractNum>
  <w:abstractNum w:abstractNumId="8">
    <w:nsid w:val="7655A73E"/>
    <w:multiLevelType w:val="singleLevel"/>
    <w:tmpl w:val="7655A73E"/>
    <w:lvl w:ilvl="0" w:tentative="0">
      <w:start w:val="1"/>
      <w:numFmt w:val="decimal"/>
      <w:suff w:val="nothing"/>
      <w:lvlText w:val="（%1）"/>
      <w:lvlJc w:val="left"/>
    </w:lvl>
  </w:abstractNum>
  <w:num w:numId="1">
    <w:abstractNumId w:val="5"/>
  </w:num>
  <w:num w:numId="2">
    <w:abstractNumId w:val="3"/>
  </w:num>
  <w:num w:numId="3">
    <w:abstractNumId w:val="1"/>
  </w:num>
  <w:num w:numId="4">
    <w:abstractNumId w:val="0"/>
  </w:num>
  <w:num w:numId="5">
    <w:abstractNumId w:val="4"/>
  </w:num>
  <w:num w:numId="6">
    <w:abstractNumId w:val="6"/>
  </w:num>
  <w:num w:numId="7">
    <w:abstractNumId w:val="2"/>
  </w:num>
  <w:num w:numId="8">
    <w:abstractNumId w:val="7"/>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hMmRmZjBkMzY0Mzc3ZDdhOTViYWQ1OTY3ZmJmMj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414"/>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39CA"/>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423"/>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E7368"/>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6B9"/>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2B48B5"/>
    <w:rsid w:val="019F7441"/>
    <w:rsid w:val="01B37585"/>
    <w:rsid w:val="01D55165"/>
    <w:rsid w:val="01DF6BF8"/>
    <w:rsid w:val="01EC2C57"/>
    <w:rsid w:val="020C26B0"/>
    <w:rsid w:val="025F0711"/>
    <w:rsid w:val="026B2E25"/>
    <w:rsid w:val="02824D4D"/>
    <w:rsid w:val="02D86D25"/>
    <w:rsid w:val="02DC4B10"/>
    <w:rsid w:val="02DD76CE"/>
    <w:rsid w:val="02F36323"/>
    <w:rsid w:val="02F5619C"/>
    <w:rsid w:val="0326446A"/>
    <w:rsid w:val="032D5555"/>
    <w:rsid w:val="036634D2"/>
    <w:rsid w:val="03DD35E4"/>
    <w:rsid w:val="04076900"/>
    <w:rsid w:val="041A5A3B"/>
    <w:rsid w:val="042311BA"/>
    <w:rsid w:val="0426603B"/>
    <w:rsid w:val="042B157A"/>
    <w:rsid w:val="048F763B"/>
    <w:rsid w:val="049F330E"/>
    <w:rsid w:val="04AA775C"/>
    <w:rsid w:val="04AF1889"/>
    <w:rsid w:val="04AF1A7E"/>
    <w:rsid w:val="04F66F48"/>
    <w:rsid w:val="05251E14"/>
    <w:rsid w:val="05A16594"/>
    <w:rsid w:val="05A7762D"/>
    <w:rsid w:val="060E5941"/>
    <w:rsid w:val="06110FAF"/>
    <w:rsid w:val="06493CA7"/>
    <w:rsid w:val="065A6178"/>
    <w:rsid w:val="066F1CF3"/>
    <w:rsid w:val="06930BB8"/>
    <w:rsid w:val="07245D42"/>
    <w:rsid w:val="07264C62"/>
    <w:rsid w:val="0779354C"/>
    <w:rsid w:val="07C17B95"/>
    <w:rsid w:val="08061376"/>
    <w:rsid w:val="08452D77"/>
    <w:rsid w:val="086401F8"/>
    <w:rsid w:val="08751CAA"/>
    <w:rsid w:val="087E4C40"/>
    <w:rsid w:val="08A871D0"/>
    <w:rsid w:val="08BB18F5"/>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640676"/>
    <w:rsid w:val="0AA374A5"/>
    <w:rsid w:val="0AAB7649"/>
    <w:rsid w:val="0ABC5606"/>
    <w:rsid w:val="0AED608E"/>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143FCA"/>
    <w:rsid w:val="0E5604B2"/>
    <w:rsid w:val="0E6A0AA4"/>
    <w:rsid w:val="0E6D5D79"/>
    <w:rsid w:val="0E9D0089"/>
    <w:rsid w:val="0EB803EE"/>
    <w:rsid w:val="0EDD59EC"/>
    <w:rsid w:val="0EF94D4B"/>
    <w:rsid w:val="0F4958DC"/>
    <w:rsid w:val="0F515DF7"/>
    <w:rsid w:val="0F596BA8"/>
    <w:rsid w:val="0F6248D2"/>
    <w:rsid w:val="0F693536"/>
    <w:rsid w:val="0F7B0511"/>
    <w:rsid w:val="0F7B76D9"/>
    <w:rsid w:val="0F816ACD"/>
    <w:rsid w:val="0F9832DB"/>
    <w:rsid w:val="0F9B693F"/>
    <w:rsid w:val="0FB7537C"/>
    <w:rsid w:val="0FBF3FD2"/>
    <w:rsid w:val="0FBF7FF3"/>
    <w:rsid w:val="101C21C7"/>
    <w:rsid w:val="10646583"/>
    <w:rsid w:val="107D4B15"/>
    <w:rsid w:val="108A3C80"/>
    <w:rsid w:val="10C26171"/>
    <w:rsid w:val="10F33360"/>
    <w:rsid w:val="10FC16EA"/>
    <w:rsid w:val="110F1D40"/>
    <w:rsid w:val="11266F33"/>
    <w:rsid w:val="11345598"/>
    <w:rsid w:val="118963A1"/>
    <w:rsid w:val="11C6522A"/>
    <w:rsid w:val="11E104CC"/>
    <w:rsid w:val="11E20309"/>
    <w:rsid w:val="12255233"/>
    <w:rsid w:val="122856C3"/>
    <w:rsid w:val="12530213"/>
    <w:rsid w:val="127723A9"/>
    <w:rsid w:val="12862074"/>
    <w:rsid w:val="12883966"/>
    <w:rsid w:val="129E45B4"/>
    <w:rsid w:val="12D81596"/>
    <w:rsid w:val="13072A44"/>
    <w:rsid w:val="135F4BE2"/>
    <w:rsid w:val="139B1A0A"/>
    <w:rsid w:val="139D25C7"/>
    <w:rsid w:val="13BF3CE4"/>
    <w:rsid w:val="13CD08FA"/>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8D000BA"/>
    <w:rsid w:val="18E246D1"/>
    <w:rsid w:val="190330EF"/>
    <w:rsid w:val="19932372"/>
    <w:rsid w:val="19A20DD5"/>
    <w:rsid w:val="19A40DA3"/>
    <w:rsid w:val="19AE03F1"/>
    <w:rsid w:val="1A071A03"/>
    <w:rsid w:val="1A1F16AE"/>
    <w:rsid w:val="1A3B5C77"/>
    <w:rsid w:val="1A984BAD"/>
    <w:rsid w:val="1A991646"/>
    <w:rsid w:val="1AB8220E"/>
    <w:rsid w:val="1AE4166C"/>
    <w:rsid w:val="1AF06CFB"/>
    <w:rsid w:val="1AF11B8D"/>
    <w:rsid w:val="1B11359C"/>
    <w:rsid w:val="1B2A271F"/>
    <w:rsid w:val="1B530544"/>
    <w:rsid w:val="1B713184"/>
    <w:rsid w:val="1BA209CF"/>
    <w:rsid w:val="1BB4777D"/>
    <w:rsid w:val="1BD75AB8"/>
    <w:rsid w:val="1C0459C2"/>
    <w:rsid w:val="1C1B3B4A"/>
    <w:rsid w:val="1C69609F"/>
    <w:rsid w:val="1C88086E"/>
    <w:rsid w:val="1D266CE1"/>
    <w:rsid w:val="1D3963AF"/>
    <w:rsid w:val="1D547061"/>
    <w:rsid w:val="1D6A673C"/>
    <w:rsid w:val="1D9247AE"/>
    <w:rsid w:val="1DB567EC"/>
    <w:rsid w:val="1DF51A98"/>
    <w:rsid w:val="1E0C7EA5"/>
    <w:rsid w:val="1E3D060F"/>
    <w:rsid w:val="1E3F7D2E"/>
    <w:rsid w:val="1E4134E4"/>
    <w:rsid w:val="1E5062B3"/>
    <w:rsid w:val="1E523514"/>
    <w:rsid w:val="1E714A66"/>
    <w:rsid w:val="1E802593"/>
    <w:rsid w:val="1E8B6156"/>
    <w:rsid w:val="1EA703CC"/>
    <w:rsid w:val="1EB7330C"/>
    <w:rsid w:val="1EBE4409"/>
    <w:rsid w:val="1F0A0FF3"/>
    <w:rsid w:val="1F20479D"/>
    <w:rsid w:val="1F5771FF"/>
    <w:rsid w:val="1F6D15F4"/>
    <w:rsid w:val="1FE868A9"/>
    <w:rsid w:val="20034907"/>
    <w:rsid w:val="20173E4B"/>
    <w:rsid w:val="204E48BC"/>
    <w:rsid w:val="208921B3"/>
    <w:rsid w:val="208C394F"/>
    <w:rsid w:val="20973DEB"/>
    <w:rsid w:val="20B26522"/>
    <w:rsid w:val="20B44310"/>
    <w:rsid w:val="20C2357E"/>
    <w:rsid w:val="211116EB"/>
    <w:rsid w:val="216133FC"/>
    <w:rsid w:val="21D56769"/>
    <w:rsid w:val="21E52EF3"/>
    <w:rsid w:val="21FB5D7B"/>
    <w:rsid w:val="22015E94"/>
    <w:rsid w:val="220B1C3D"/>
    <w:rsid w:val="221D1D20"/>
    <w:rsid w:val="2224077E"/>
    <w:rsid w:val="22334A87"/>
    <w:rsid w:val="22BE6801"/>
    <w:rsid w:val="232A6913"/>
    <w:rsid w:val="233500BF"/>
    <w:rsid w:val="23377FF7"/>
    <w:rsid w:val="23526439"/>
    <w:rsid w:val="236B425F"/>
    <w:rsid w:val="23836192"/>
    <w:rsid w:val="23901F29"/>
    <w:rsid w:val="239C0061"/>
    <w:rsid w:val="23B908A4"/>
    <w:rsid w:val="23E95BEF"/>
    <w:rsid w:val="23FD0064"/>
    <w:rsid w:val="2437337B"/>
    <w:rsid w:val="245375B0"/>
    <w:rsid w:val="24642C0A"/>
    <w:rsid w:val="24B22173"/>
    <w:rsid w:val="24B95AD9"/>
    <w:rsid w:val="24BE24DA"/>
    <w:rsid w:val="24CF5825"/>
    <w:rsid w:val="24D663E6"/>
    <w:rsid w:val="24D77F2B"/>
    <w:rsid w:val="24E63C8B"/>
    <w:rsid w:val="258B00E2"/>
    <w:rsid w:val="258D3BD5"/>
    <w:rsid w:val="25A917A6"/>
    <w:rsid w:val="25BE27CC"/>
    <w:rsid w:val="25F74A5C"/>
    <w:rsid w:val="2628662C"/>
    <w:rsid w:val="262D45DE"/>
    <w:rsid w:val="26871DC8"/>
    <w:rsid w:val="26A53EF9"/>
    <w:rsid w:val="26A94201"/>
    <w:rsid w:val="26AC274F"/>
    <w:rsid w:val="27044A29"/>
    <w:rsid w:val="271A377D"/>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5C48D4"/>
    <w:rsid w:val="29806583"/>
    <w:rsid w:val="298B3C4C"/>
    <w:rsid w:val="299203EC"/>
    <w:rsid w:val="29CA2B72"/>
    <w:rsid w:val="29DC225D"/>
    <w:rsid w:val="29F26D24"/>
    <w:rsid w:val="2A15033F"/>
    <w:rsid w:val="2A1662C1"/>
    <w:rsid w:val="2A1C7367"/>
    <w:rsid w:val="2A1F6415"/>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ED26D4"/>
    <w:rsid w:val="2DF72DE4"/>
    <w:rsid w:val="2E0220AF"/>
    <w:rsid w:val="2E4B082A"/>
    <w:rsid w:val="2E5D4E86"/>
    <w:rsid w:val="2E5D790B"/>
    <w:rsid w:val="2E9A3C18"/>
    <w:rsid w:val="2EBB0FEE"/>
    <w:rsid w:val="2EC63002"/>
    <w:rsid w:val="2F0A6B38"/>
    <w:rsid w:val="2F5A6E7B"/>
    <w:rsid w:val="2F946CCB"/>
    <w:rsid w:val="2FD25781"/>
    <w:rsid w:val="2FDC745C"/>
    <w:rsid w:val="2FFD7934"/>
    <w:rsid w:val="30733ACD"/>
    <w:rsid w:val="308C3862"/>
    <w:rsid w:val="309379D8"/>
    <w:rsid w:val="30A270F7"/>
    <w:rsid w:val="30CF4393"/>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647963"/>
    <w:rsid w:val="34950E68"/>
    <w:rsid w:val="34986E94"/>
    <w:rsid w:val="34AF62C9"/>
    <w:rsid w:val="34CB4388"/>
    <w:rsid w:val="34F463BD"/>
    <w:rsid w:val="34FA6E12"/>
    <w:rsid w:val="3539483F"/>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2A3DBC"/>
    <w:rsid w:val="3B616CFF"/>
    <w:rsid w:val="3B6259F6"/>
    <w:rsid w:val="3B8E39EE"/>
    <w:rsid w:val="3B976654"/>
    <w:rsid w:val="3BC01EFC"/>
    <w:rsid w:val="3BCA786A"/>
    <w:rsid w:val="3BD31E2F"/>
    <w:rsid w:val="3BF15831"/>
    <w:rsid w:val="3C105946"/>
    <w:rsid w:val="3C471448"/>
    <w:rsid w:val="3C5F759A"/>
    <w:rsid w:val="3C6C525A"/>
    <w:rsid w:val="3C984118"/>
    <w:rsid w:val="3CB855DE"/>
    <w:rsid w:val="3CCE23CB"/>
    <w:rsid w:val="3CD17D17"/>
    <w:rsid w:val="3D3C47C7"/>
    <w:rsid w:val="3D3C7F39"/>
    <w:rsid w:val="3D440F09"/>
    <w:rsid w:val="3D4504A0"/>
    <w:rsid w:val="3D8734BB"/>
    <w:rsid w:val="3D9A11D4"/>
    <w:rsid w:val="3DA16D89"/>
    <w:rsid w:val="3DA364BE"/>
    <w:rsid w:val="3DB22A0E"/>
    <w:rsid w:val="3DE041CB"/>
    <w:rsid w:val="3E0D48F6"/>
    <w:rsid w:val="3E1868B4"/>
    <w:rsid w:val="3E377251"/>
    <w:rsid w:val="3E42664B"/>
    <w:rsid w:val="3E5210C3"/>
    <w:rsid w:val="3E5A7334"/>
    <w:rsid w:val="3E7B5D6B"/>
    <w:rsid w:val="3E843E66"/>
    <w:rsid w:val="3E8F51FE"/>
    <w:rsid w:val="3E926F87"/>
    <w:rsid w:val="3E9A59DE"/>
    <w:rsid w:val="3EAF4836"/>
    <w:rsid w:val="3EC33DFA"/>
    <w:rsid w:val="3F060E16"/>
    <w:rsid w:val="3F1D1096"/>
    <w:rsid w:val="3F2F0234"/>
    <w:rsid w:val="3F6363FE"/>
    <w:rsid w:val="3F756B8F"/>
    <w:rsid w:val="3F77438E"/>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881693"/>
    <w:rsid w:val="42CD1CE0"/>
    <w:rsid w:val="42E1381E"/>
    <w:rsid w:val="42ED6459"/>
    <w:rsid w:val="42FE58DD"/>
    <w:rsid w:val="43174B3D"/>
    <w:rsid w:val="434B790E"/>
    <w:rsid w:val="4360274F"/>
    <w:rsid w:val="43977AB6"/>
    <w:rsid w:val="43A3342B"/>
    <w:rsid w:val="43C77C27"/>
    <w:rsid w:val="43DE09EE"/>
    <w:rsid w:val="43E2665A"/>
    <w:rsid w:val="44002FAD"/>
    <w:rsid w:val="445525C3"/>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235E9"/>
    <w:rsid w:val="466A16E6"/>
    <w:rsid w:val="46893F2B"/>
    <w:rsid w:val="46C4686E"/>
    <w:rsid w:val="477B778F"/>
    <w:rsid w:val="478203EC"/>
    <w:rsid w:val="47B025FA"/>
    <w:rsid w:val="4809698F"/>
    <w:rsid w:val="4811697D"/>
    <w:rsid w:val="48250B08"/>
    <w:rsid w:val="487A3E25"/>
    <w:rsid w:val="488B5503"/>
    <w:rsid w:val="48937E21"/>
    <w:rsid w:val="489A0361"/>
    <w:rsid w:val="48B94FF3"/>
    <w:rsid w:val="48E37AAB"/>
    <w:rsid w:val="48FD4B4C"/>
    <w:rsid w:val="490721D3"/>
    <w:rsid w:val="490A68E0"/>
    <w:rsid w:val="491055FE"/>
    <w:rsid w:val="495F5B3E"/>
    <w:rsid w:val="496F77D7"/>
    <w:rsid w:val="497654FD"/>
    <w:rsid w:val="49B64211"/>
    <w:rsid w:val="49BA536E"/>
    <w:rsid w:val="49F6167F"/>
    <w:rsid w:val="4A064FA0"/>
    <w:rsid w:val="4A121A7F"/>
    <w:rsid w:val="4A16615C"/>
    <w:rsid w:val="4A4424D7"/>
    <w:rsid w:val="4A4825D5"/>
    <w:rsid w:val="4AB82D0F"/>
    <w:rsid w:val="4ACC2185"/>
    <w:rsid w:val="4AD37D5C"/>
    <w:rsid w:val="4AEB7664"/>
    <w:rsid w:val="4AFD7C19"/>
    <w:rsid w:val="4B0567D1"/>
    <w:rsid w:val="4B236AAE"/>
    <w:rsid w:val="4B707271"/>
    <w:rsid w:val="4B9739F7"/>
    <w:rsid w:val="4BEE2503"/>
    <w:rsid w:val="4C245A30"/>
    <w:rsid w:val="4CB6685F"/>
    <w:rsid w:val="4CC3342D"/>
    <w:rsid w:val="4CC367FE"/>
    <w:rsid w:val="4CF174F3"/>
    <w:rsid w:val="4D077F3C"/>
    <w:rsid w:val="4D123355"/>
    <w:rsid w:val="4D2A3B31"/>
    <w:rsid w:val="4D312C52"/>
    <w:rsid w:val="4D325D16"/>
    <w:rsid w:val="4D905305"/>
    <w:rsid w:val="4D964A72"/>
    <w:rsid w:val="4D9C1254"/>
    <w:rsid w:val="4E0A77A2"/>
    <w:rsid w:val="4E793892"/>
    <w:rsid w:val="4E796648"/>
    <w:rsid w:val="4E800872"/>
    <w:rsid w:val="4EA8717C"/>
    <w:rsid w:val="4EC569ED"/>
    <w:rsid w:val="4EC71E9A"/>
    <w:rsid w:val="4ED50EA1"/>
    <w:rsid w:val="4EEC050C"/>
    <w:rsid w:val="4F104EC3"/>
    <w:rsid w:val="4F47354A"/>
    <w:rsid w:val="4F911C54"/>
    <w:rsid w:val="4FA15C1D"/>
    <w:rsid w:val="4FE625E0"/>
    <w:rsid w:val="50110D44"/>
    <w:rsid w:val="5021480F"/>
    <w:rsid w:val="50962ECB"/>
    <w:rsid w:val="50A42E38"/>
    <w:rsid w:val="50A4577F"/>
    <w:rsid w:val="50B73D1F"/>
    <w:rsid w:val="50BD5BC9"/>
    <w:rsid w:val="50C11EEE"/>
    <w:rsid w:val="50E97CFC"/>
    <w:rsid w:val="50FA4028"/>
    <w:rsid w:val="510D65B7"/>
    <w:rsid w:val="511157AB"/>
    <w:rsid w:val="5142540C"/>
    <w:rsid w:val="51641D40"/>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4306B9"/>
    <w:rsid w:val="53544462"/>
    <w:rsid w:val="5397158E"/>
    <w:rsid w:val="53D6654F"/>
    <w:rsid w:val="53DF3E7E"/>
    <w:rsid w:val="54013861"/>
    <w:rsid w:val="54136627"/>
    <w:rsid w:val="54487265"/>
    <w:rsid w:val="544D6070"/>
    <w:rsid w:val="54605E1E"/>
    <w:rsid w:val="54B3506A"/>
    <w:rsid w:val="54B41724"/>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20D92"/>
    <w:rsid w:val="57D675AB"/>
    <w:rsid w:val="57D95FDD"/>
    <w:rsid w:val="5880340A"/>
    <w:rsid w:val="58917D2F"/>
    <w:rsid w:val="5894085C"/>
    <w:rsid w:val="58AE4F0C"/>
    <w:rsid w:val="58B85899"/>
    <w:rsid w:val="58BF6871"/>
    <w:rsid w:val="58E363A9"/>
    <w:rsid w:val="595E1678"/>
    <w:rsid w:val="596D5BD4"/>
    <w:rsid w:val="597E3DD8"/>
    <w:rsid w:val="598B7C59"/>
    <w:rsid w:val="59F13F3A"/>
    <w:rsid w:val="59F80043"/>
    <w:rsid w:val="5A09252F"/>
    <w:rsid w:val="5A0B2778"/>
    <w:rsid w:val="5A2A7C7B"/>
    <w:rsid w:val="5A3E2560"/>
    <w:rsid w:val="5A5D3B6E"/>
    <w:rsid w:val="5A637A76"/>
    <w:rsid w:val="5A6D33BA"/>
    <w:rsid w:val="5A792B1F"/>
    <w:rsid w:val="5A874767"/>
    <w:rsid w:val="5AA85BE2"/>
    <w:rsid w:val="5AAD6F28"/>
    <w:rsid w:val="5AD63A24"/>
    <w:rsid w:val="5B2E1A1D"/>
    <w:rsid w:val="5B6E5FBA"/>
    <w:rsid w:val="5B843A1C"/>
    <w:rsid w:val="5B873E3F"/>
    <w:rsid w:val="5B8A69B7"/>
    <w:rsid w:val="5BDD2AAD"/>
    <w:rsid w:val="5C02690E"/>
    <w:rsid w:val="5C196DA7"/>
    <w:rsid w:val="5C2A048C"/>
    <w:rsid w:val="5C80234E"/>
    <w:rsid w:val="5C8A680C"/>
    <w:rsid w:val="5D0C4701"/>
    <w:rsid w:val="5D0F0395"/>
    <w:rsid w:val="5D221076"/>
    <w:rsid w:val="5D397964"/>
    <w:rsid w:val="5D5A391C"/>
    <w:rsid w:val="5D5F10C0"/>
    <w:rsid w:val="5D891B7B"/>
    <w:rsid w:val="5D91253D"/>
    <w:rsid w:val="5DAD38EE"/>
    <w:rsid w:val="5DFE6352"/>
    <w:rsid w:val="5E006862"/>
    <w:rsid w:val="5E0207B9"/>
    <w:rsid w:val="5E10565B"/>
    <w:rsid w:val="5E1834A1"/>
    <w:rsid w:val="5E261785"/>
    <w:rsid w:val="5E4A7017"/>
    <w:rsid w:val="5E552BBA"/>
    <w:rsid w:val="5E611C10"/>
    <w:rsid w:val="5E7A0F3F"/>
    <w:rsid w:val="5EEF6479"/>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B94658"/>
    <w:rsid w:val="62F40B65"/>
    <w:rsid w:val="62FC2CFE"/>
    <w:rsid w:val="63024505"/>
    <w:rsid w:val="63127AD5"/>
    <w:rsid w:val="635600A5"/>
    <w:rsid w:val="635B1DB5"/>
    <w:rsid w:val="63711FED"/>
    <w:rsid w:val="63880DDC"/>
    <w:rsid w:val="638D750D"/>
    <w:rsid w:val="63A268B7"/>
    <w:rsid w:val="63AC6CC0"/>
    <w:rsid w:val="64055776"/>
    <w:rsid w:val="64240056"/>
    <w:rsid w:val="643E143A"/>
    <w:rsid w:val="64491666"/>
    <w:rsid w:val="648B6EEF"/>
    <w:rsid w:val="64C158BF"/>
    <w:rsid w:val="64CA0774"/>
    <w:rsid w:val="64CE2EAA"/>
    <w:rsid w:val="653C3090"/>
    <w:rsid w:val="65854376"/>
    <w:rsid w:val="658767BE"/>
    <w:rsid w:val="65892531"/>
    <w:rsid w:val="65E52CED"/>
    <w:rsid w:val="66195831"/>
    <w:rsid w:val="662E75B1"/>
    <w:rsid w:val="66342C2E"/>
    <w:rsid w:val="663E784C"/>
    <w:rsid w:val="668A32D0"/>
    <w:rsid w:val="668B6A45"/>
    <w:rsid w:val="672F3F24"/>
    <w:rsid w:val="673E055F"/>
    <w:rsid w:val="67551CE3"/>
    <w:rsid w:val="67A22552"/>
    <w:rsid w:val="67B22DCC"/>
    <w:rsid w:val="67BE71AA"/>
    <w:rsid w:val="67D90273"/>
    <w:rsid w:val="67DE5875"/>
    <w:rsid w:val="67E55852"/>
    <w:rsid w:val="67EB1AB4"/>
    <w:rsid w:val="67FA1285"/>
    <w:rsid w:val="6832302E"/>
    <w:rsid w:val="68551F4F"/>
    <w:rsid w:val="687C10C9"/>
    <w:rsid w:val="68840C16"/>
    <w:rsid w:val="68876EFB"/>
    <w:rsid w:val="68884654"/>
    <w:rsid w:val="689F444F"/>
    <w:rsid w:val="68B96DBB"/>
    <w:rsid w:val="68CA2805"/>
    <w:rsid w:val="68E937A3"/>
    <w:rsid w:val="693E15D3"/>
    <w:rsid w:val="69627681"/>
    <w:rsid w:val="6977531D"/>
    <w:rsid w:val="69BE66B5"/>
    <w:rsid w:val="69CC2BFF"/>
    <w:rsid w:val="69E51685"/>
    <w:rsid w:val="69FD55B8"/>
    <w:rsid w:val="6A0B1C62"/>
    <w:rsid w:val="6A2406C8"/>
    <w:rsid w:val="6A6E0137"/>
    <w:rsid w:val="6A846349"/>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EC1FCB"/>
    <w:rsid w:val="6DF43C2E"/>
    <w:rsid w:val="6DF51CA3"/>
    <w:rsid w:val="6E8335BD"/>
    <w:rsid w:val="6E8E12EF"/>
    <w:rsid w:val="6E972936"/>
    <w:rsid w:val="6ED446C5"/>
    <w:rsid w:val="6EF83FBF"/>
    <w:rsid w:val="6F2A7D94"/>
    <w:rsid w:val="6F8331F1"/>
    <w:rsid w:val="6FAE1A09"/>
    <w:rsid w:val="6FD75BF8"/>
    <w:rsid w:val="707723D0"/>
    <w:rsid w:val="70DC3F26"/>
    <w:rsid w:val="70F5661B"/>
    <w:rsid w:val="710A4D84"/>
    <w:rsid w:val="71360107"/>
    <w:rsid w:val="713B688E"/>
    <w:rsid w:val="7182771C"/>
    <w:rsid w:val="71D43752"/>
    <w:rsid w:val="71F1796A"/>
    <w:rsid w:val="72154626"/>
    <w:rsid w:val="72262B5D"/>
    <w:rsid w:val="72283FF7"/>
    <w:rsid w:val="722E7212"/>
    <w:rsid w:val="723A0474"/>
    <w:rsid w:val="725923E4"/>
    <w:rsid w:val="72864BF7"/>
    <w:rsid w:val="729023FC"/>
    <w:rsid w:val="73311100"/>
    <w:rsid w:val="73713C11"/>
    <w:rsid w:val="73C0646E"/>
    <w:rsid w:val="742222F5"/>
    <w:rsid w:val="743F2553"/>
    <w:rsid w:val="74476126"/>
    <w:rsid w:val="74706664"/>
    <w:rsid w:val="747F3682"/>
    <w:rsid w:val="74980BF6"/>
    <w:rsid w:val="749C4185"/>
    <w:rsid w:val="75067759"/>
    <w:rsid w:val="752E6DCD"/>
    <w:rsid w:val="7546339A"/>
    <w:rsid w:val="7551380D"/>
    <w:rsid w:val="75600BE5"/>
    <w:rsid w:val="7564475C"/>
    <w:rsid w:val="7583797F"/>
    <w:rsid w:val="75D20F1D"/>
    <w:rsid w:val="75DA2C18"/>
    <w:rsid w:val="75F54412"/>
    <w:rsid w:val="761D08E0"/>
    <w:rsid w:val="765D347C"/>
    <w:rsid w:val="7664729D"/>
    <w:rsid w:val="76826699"/>
    <w:rsid w:val="76C87133"/>
    <w:rsid w:val="76CD08D5"/>
    <w:rsid w:val="76DB4B92"/>
    <w:rsid w:val="77052AA4"/>
    <w:rsid w:val="77136511"/>
    <w:rsid w:val="77340A39"/>
    <w:rsid w:val="77351FD0"/>
    <w:rsid w:val="77472422"/>
    <w:rsid w:val="777F31F2"/>
    <w:rsid w:val="77D1700D"/>
    <w:rsid w:val="77EC04CC"/>
    <w:rsid w:val="78775729"/>
    <w:rsid w:val="788078FA"/>
    <w:rsid w:val="78A42DB0"/>
    <w:rsid w:val="78A656AB"/>
    <w:rsid w:val="78B2245C"/>
    <w:rsid w:val="78E172CC"/>
    <w:rsid w:val="78EA1D1F"/>
    <w:rsid w:val="7904172F"/>
    <w:rsid w:val="790F7E27"/>
    <w:rsid w:val="792A231A"/>
    <w:rsid w:val="79316829"/>
    <w:rsid w:val="797E66A9"/>
    <w:rsid w:val="798518A4"/>
    <w:rsid w:val="799F781A"/>
    <w:rsid w:val="79A97383"/>
    <w:rsid w:val="79E27E8B"/>
    <w:rsid w:val="79F850CE"/>
    <w:rsid w:val="79FD443C"/>
    <w:rsid w:val="7A1D1975"/>
    <w:rsid w:val="7A33702A"/>
    <w:rsid w:val="7A3E5150"/>
    <w:rsid w:val="7A4670D6"/>
    <w:rsid w:val="7A534B63"/>
    <w:rsid w:val="7A611232"/>
    <w:rsid w:val="7A615382"/>
    <w:rsid w:val="7A67303B"/>
    <w:rsid w:val="7AAB1D04"/>
    <w:rsid w:val="7ABA4368"/>
    <w:rsid w:val="7AD05746"/>
    <w:rsid w:val="7B257FFD"/>
    <w:rsid w:val="7B343476"/>
    <w:rsid w:val="7B4E7FF6"/>
    <w:rsid w:val="7B5A2978"/>
    <w:rsid w:val="7B5A7E4C"/>
    <w:rsid w:val="7B667AF9"/>
    <w:rsid w:val="7B7468F8"/>
    <w:rsid w:val="7BEE0103"/>
    <w:rsid w:val="7C0A0FE4"/>
    <w:rsid w:val="7C254906"/>
    <w:rsid w:val="7C271095"/>
    <w:rsid w:val="7C590818"/>
    <w:rsid w:val="7C7C10F6"/>
    <w:rsid w:val="7C853BEA"/>
    <w:rsid w:val="7C881368"/>
    <w:rsid w:val="7CE27788"/>
    <w:rsid w:val="7CF46400"/>
    <w:rsid w:val="7D0C32F1"/>
    <w:rsid w:val="7D0F408D"/>
    <w:rsid w:val="7D491C6C"/>
    <w:rsid w:val="7D5429C0"/>
    <w:rsid w:val="7D6E6D43"/>
    <w:rsid w:val="7DB57A34"/>
    <w:rsid w:val="7DD213BC"/>
    <w:rsid w:val="7DE60973"/>
    <w:rsid w:val="7DEF0916"/>
    <w:rsid w:val="7E1E5218"/>
    <w:rsid w:val="7E9A4E1F"/>
    <w:rsid w:val="7EA7723A"/>
    <w:rsid w:val="7ECD4D1C"/>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5"/>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28"/>
    <w:qFormat/>
    <w:uiPriority w:val="0"/>
    <w:pPr>
      <w:autoSpaceDE w:val="0"/>
      <w:autoSpaceDN w:val="0"/>
      <w:spacing w:line="360" w:lineRule="auto"/>
    </w:pPr>
    <w:rPr>
      <w:rFonts w:ascii="宋体" w:hAnsi="Arial" w:cs="Arial"/>
      <w:snapToGrid w:val="0"/>
      <w:sz w:val="24"/>
      <w:szCs w:val="21"/>
      <w:lang w:val="zh-CN"/>
    </w:rPr>
  </w:style>
  <w:style w:type="paragraph" w:styleId="5">
    <w:name w:val="Normal Indent"/>
    <w:basedOn w:val="1"/>
    <w:link w:val="191"/>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227"/>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0"/>
    <w:qFormat/>
    <w:uiPriority w:val="0"/>
    <w:pPr>
      <w:shd w:val="clear" w:color="auto" w:fill="000080"/>
    </w:pPr>
  </w:style>
  <w:style w:type="paragraph" w:styleId="20">
    <w:name w:val="annotation text"/>
    <w:basedOn w:val="1"/>
    <w:link w:val="342"/>
    <w:qFormat/>
    <w:uiPriority w:val="99"/>
    <w:pPr>
      <w:jc w:val="left"/>
    </w:pPr>
  </w:style>
  <w:style w:type="paragraph" w:styleId="21">
    <w:name w:val="Salutation"/>
    <w:basedOn w:val="1"/>
    <w:next w:val="1"/>
    <w:link w:val="296"/>
    <w:qFormat/>
    <w:uiPriority w:val="0"/>
    <w:rPr>
      <w:rFonts w:ascii="仿宋_GB2312" w:eastAsia="仿宋_GB2312"/>
      <w:sz w:val="28"/>
      <w:szCs w:val="20"/>
    </w:rPr>
  </w:style>
  <w:style w:type="paragraph" w:styleId="22">
    <w:name w:val="Body Text 3"/>
    <w:basedOn w:val="1"/>
    <w:link w:val="328"/>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Indent"/>
    <w:basedOn w:val="1"/>
    <w:next w:val="25"/>
    <w:link w:val="263"/>
    <w:qFormat/>
    <w:uiPriority w:val="0"/>
    <w:pPr>
      <w:spacing w:line="480" w:lineRule="exact"/>
      <w:ind w:firstLine="480" w:firstLineChars="200"/>
    </w:pPr>
    <w:rPr>
      <w:rFonts w:ascii="宋体" w:hAnsi="宋体"/>
      <w:sz w:val="24"/>
    </w:rPr>
  </w:style>
  <w:style w:type="paragraph" w:styleId="25">
    <w:name w:val="Body Text First Indent 2"/>
    <w:basedOn w:val="24"/>
    <w:next w:val="1"/>
    <w:link w:val="119"/>
    <w:qFormat/>
    <w:uiPriority w:val="0"/>
    <w:pPr>
      <w:adjustRightInd/>
      <w:spacing w:after="120" w:line="240" w:lineRule="auto"/>
      <w:ind w:left="420" w:leftChars="200" w:firstLine="210"/>
    </w:pPr>
    <w:rPr>
      <w:sz w:val="21"/>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3"/>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9"/>
    <w:qFormat/>
    <w:uiPriority w:val="0"/>
    <w:pPr>
      <w:ind w:left="100" w:leftChars="2500"/>
    </w:pPr>
    <w:rPr>
      <w:rFonts w:ascii="宋体"/>
      <w:sz w:val="24"/>
      <w:szCs w:val="21"/>
      <w:lang w:val="zh-CN"/>
    </w:rPr>
  </w:style>
  <w:style w:type="paragraph" w:styleId="37">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8">
    <w:name w:val="endnote text"/>
    <w:basedOn w:val="1"/>
    <w:link w:val="930"/>
    <w:qFormat/>
    <w:uiPriority w:val="0"/>
    <w:rPr>
      <w:lang w:val="zh-CN"/>
    </w:rPr>
  </w:style>
  <w:style w:type="paragraph" w:styleId="39">
    <w:name w:val="Balloon Text"/>
    <w:basedOn w:val="1"/>
    <w:link w:val="186"/>
    <w:qFormat/>
    <w:uiPriority w:val="0"/>
    <w:rPr>
      <w:sz w:val="18"/>
      <w:szCs w:val="18"/>
    </w:rPr>
  </w:style>
  <w:style w:type="paragraph" w:styleId="40">
    <w:name w:val="footer"/>
    <w:basedOn w:val="1"/>
    <w:link w:val="381"/>
    <w:qFormat/>
    <w:uiPriority w:val="99"/>
    <w:pPr>
      <w:tabs>
        <w:tab w:val="center" w:pos="4153"/>
        <w:tab w:val="right" w:pos="8306"/>
      </w:tabs>
      <w:snapToGrid w:val="0"/>
      <w:jc w:val="left"/>
    </w:pPr>
    <w:rPr>
      <w:sz w:val="18"/>
      <w:szCs w:val="18"/>
    </w:rPr>
  </w:style>
  <w:style w:type="paragraph" w:styleId="41">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5"/>
    <w:link w:val="308"/>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3"/>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0"/>
    <w:qFormat/>
    <w:uiPriority w:val="0"/>
    <w:pPr>
      <w:spacing w:after="120" w:line="480" w:lineRule="auto"/>
    </w:pPr>
  </w:style>
  <w:style w:type="paragraph" w:styleId="57">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0"/>
    <w:next w:val="20"/>
    <w:link w:val="94"/>
    <w:qFormat/>
    <w:uiPriority w:val="0"/>
    <w:rPr>
      <w:b/>
      <w:bCs/>
    </w:rPr>
  </w:style>
  <w:style w:type="paragraph" w:styleId="61">
    <w:name w:val="Body Text First Indent"/>
    <w:basedOn w:val="2"/>
    <w:next w:val="1"/>
    <w:link w:val="319"/>
    <w:qFormat/>
    <w:uiPriority w:val="0"/>
    <w:pPr>
      <w:ind w:firstLine="420"/>
    </w:pPr>
    <w:rPr>
      <w:rFonts w:hAnsi="Calibri" w:cs="Times New Roman"/>
      <w:snapToGrid/>
      <w:szCs w:val="20"/>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正文文本首行缩进1"/>
    <w:basedOn w:val="2"/>
    <w:qFormat/>
    <w:uiPriority w:val="0"/>
    <w:pPr>
      <w:autoSpaceDE w:val="0"/>
      <w:autoSpaceDN w:val="0"/>
      <w:adjustRightInd w:val="0"/>
      <w:spacing w:after="0" w:line="360" w:lineRule="auto"/>
      <w:ind w:firstLine="420"/>
    </w:pPr>
    <w:rPr>
      <w:rFonts w:ascii="宋体" w:hAnsi="Calibri" w:eastAsia="宋体" w:cs="Times New Roman"/>
      <w:sz w:val="24"/>
      <w:lang w:val="zh-CN"/>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字符"/>
    <w:link w:val="60"/>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文本首行缩进 2 字符"/>
    <w:link w:val="25"/>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69"/>
    <w:qFormat/>
    <w:uiPriority w:val="0"/>
    <w:rPr>
      <w:rFonts w:ascii="Arial" w:hAnsi="Arial" w:eastAsia="黑体" w:cs="Arial"/>
      <w:snapToGrid w:val="0"/>
      <w:kern w:val="0"/>
      <w:szCs w:val="21"/>
    </w:rPr>
  </w:style>
  <w:style w:type="character" w:customStyle="1" w:styleId="123">
    <w:name w:val="纯文本 字符1"/>
    <w:link w:val="33"/>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字符"/>
    <w:link w:val="47"/>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字符"/>
    <w:link w:val="9"/>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4"/>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字符"/>
    <w:link w:val="36"/>
    <w:qFormat/>
    <w:uiPriority w:val="0"/>
    <w:rPr>
      <w:rFonts w:ascii="宋体"/>
      <w:kern w:val="2"/>
      <w:sz w:val="24"/>
      <w:szCs w:val="21"/>
      <w:lang w:val="zh-CN"/>
    </w:rPr>
  </w:style>
  <w:style w:type="character" w:customStyle="1" w:styleId="180">
    <w:name w:val="标题 9 字符"/>
    <w:link w:val="12"/>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字符1"/>
    <w:link w:val="39"/>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字符2"/>
    <w:link w:val="5"/>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字符"/>
    <w:link w:val="19"/>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69"/>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字符"/>
    <w:link w:val="30"/>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7"/>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字符"/>
    <w:link w:val="17"/>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qFormat/>
    <w:uiPriority w:val="34"/>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字符1"/>
    <w:link w:val="24"/>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字符1"/>
    <w:link w:val="3"/>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字符"/>
    <w:link w:val="59"/>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字符"/>
    <w:link w:val="8"/>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字符"/>
    <w:link w:val="21"/>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字符"/>
    <w:link w:val="57"/>
    <w:qFormat/>
    <w:uiPriority w:val="0"/>
    <w:rPr>
      <w:rFonts w:ascii="黑体" w:hAnsi="Courier New" w:eastAsia="黑体"/>
    </w:rPr>
  </w:style>
  <w:style w:type="character" w:customStyle="1" w:styleId="300">
    <w:name w:val="正文文本 2 字符1"/>
    <w:link w:val="56"/>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7"/>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字符"/>
    <w:link w:val="10"/>
    <w:qFormat/>
    <w:uiPriority w:val="0"/>
    <w:rPr>
      <w:b/>
      <w:bCs/>
      <w:kern w:val="2"/>
      <w:sz w:val="24"/>
      <w:szCs w:val="24"/>
    </w:rPr>
  </w:style>
  <w:style w:type="character" w:customStyle="1" w:styleId="306">
    <w:name w:val="正文文本缩进 2 字符"/>
    <w:link w:val="37"/>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字符"/>
    <w:link w:val="50"/>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文本首行缩进 字符"/>
    <w:link w:val="61"/>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字符1"/>
    <w:link w:val="7"/>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字符"/>
    <w:link w:val="22"/>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字符1"/>
    <w:link w:val="20"/>
    <w:qFormat/>
    <w:uiPriority w:val="0"/>
    <w:rPr>
      <w:kern w:val="2"/>
      <w:sz w:val="21"/>
      <w:szCs w:val="24"/>
    </w:rPr>
  </w:style>
  <w:style w:type="character" w:customStyle="1" w:styleId="343">
    <w:name w:val="签名 字符"/>
    <w:link w:val="42"/>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字符"/>
    <w:link w:val="11"/>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字符"/>
    <w:link w:val="53"/>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字符2"/>
    <w:link w:val="40"/>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字符2"/>
    <w:link w:val="41"/>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156"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69"/>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5"/>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字符"/>
    <w:link w:val="2"/>
    <w:qFormat/>
    <w:uiPriority w:val="0"/>
    <w:rPr>
      <w:rFonts w:ascii="宋体" w:hAnsi="Arial" w:eastAsia="宋体" w:cs="Arial"/>
      <w:snapToGrid w:val="0"/>
      <w:kern w:val="2"/>
      <w:sz w:val="24"/>
      <w:szCs w:val="21"/>
      <w:lang w:val="zh-CN" w:eastAsia="zh-CN" w:bidi="ar-SA"/>
    </w:rPr>
  </w:style>
  <w:style w:type="character" w:customStyle="1" w:styleId="429">
    <w:name w:val="gray6"/>
    <w:basedOn w:val="69"/>
    <w:qFormat/>
    <w:uiPriority w:val="0"/>
    <w:rPr>
      <w:rFonts w:ascii="Arial" w:hAnsi="Arial" w:eastAsia="黑体" w:cs="Arial"/>
      <w:snapToGrid w:val="0"/>
      <w:kern w:val="0"/>
      <w:szCs w:val="21"/>
    </w:rPr>
  </w:style>
  <w:style w:type="character" w:customStyle="1" w:styleId="430">
    <w:name w:val="hui"/>
    <w:basedOn w:val="69"/>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7"/>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312"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spacing w:before="0" w:after="0"/>
      <w:outlineLvl w:val="5"/>
    </w:pPr>
  </w:style>
  <w:style w:type="paragraph" w:customStyle="1" w:styleId="472">
    <w:name w:val="5级标题"/>
    <w:basedOn w:val="473"/>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3">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1"/>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4"/>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6"/>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8"/>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6"/>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61"/>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7"/>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3"/>
    <w:next w:val="233"/>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3"/>
    <w:next w:val="233"/>
    <w:qFormat/>
    <w:uiPriority w:val="0"/>
    <w:rPr>
      <w:rFonts w:ascii="宋体" w:eastAsia="宋体" w:cs="Times New Roman"/>
      <w:color w:val="auto"/>
    </w:rPr>
  </w:style>
  <w:style w:type="paragraph" w:customStyle="1" w:styleId="548">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156"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6"/>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4">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3"/>
    <w:qFormat/>
    <w:uiPriority w:val="0"/>
    <w:pPr>
      <w:tabs>
        <w:tab w:val="left" w:pos="840"/>
      </w:tabs>
      <w:adjustRightInd/>
      <w:ind w:left="840" w:hanging="420"/>
    </w:pPr>
  </w:style>
  <w:style w:type="paragraph" w:customStyle="1" w:styleId="624">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156"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0" w:beforeLines="0" w:after="0" w:afterLines="0"/>
      <w:ind w:left="1680"/>
      <w:outlineLvl w:val="2"/>
    </w:pPr>
  </w:style>
  <w:style w:type="paragraph" w:customStyle="1" w:styleId="656">
    <w:name w:val="章标题"/>
    <w:next w:val="638"/>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7"/>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7"/>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6"/>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6"/>
    <w:next w:val="53"/>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19"/>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8"/>
    <w:next w:val="1"/>
    <w:qFormat/>
    <w:uiPriority w:val="0"/>
    <w:pPr>
      <w:tabs>
        <w:tab w:val="left" w:pos="1080"/>
      </w:tabs>
      <w:ind w:left="1080" w:hanging="1080"/>
    </w:pPr>
  </w:style>
  <w:style w:type="paragraph" w:customStyle="1" w:styleId="895">
    <w:name w:val="数字标题1"/>
    <w:basedOn w:val="3"/>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1"/>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字符"/>
    <w:link w:val="38"/>
    <w:qFormat/>
    <w:uiPriority w:val="0"/>
    <w:rPr>
      <w:kern w:val="2"/>
      <w:sz w:val="21"/>
      <w:szCs w:val="24"/>
      <w:lang w:val="zh-CN"/>
    </w:rPr>
  </w:style>
  <w:style w:type="character" w:customStyle="1" w:styleId="931">
    <w:name w:val="无间隔 字符"/>
    <w:link w:val="481"/>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6"/>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69"/>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md-end-block"/>
    <w:basedOn w:val="1"/>
    <w:qFormat/>
    <w:uiPriority w:val="0"/>
    <w:pPr>
      <w:widowControl/>
      <w:adjustRightInd/>
      <w:spacing w:before="100" w:beforeAutospacing="1" w:after="100" w:afterAutospacing="1"/>
      <w:jc w:val="left"/>
    </w:pPr>
    <w:rPr>
      <w:rFonts w:ascii="宋体" w:hAnsi="宋体" w:cs="宋体"/>
      <w:kern w:val="0"/>
      <w:sz w:val="24"/>
    </w:rPr>
  </w:style>
  <w:style w:type="character" w:customStyle="1" w:styleId="963">
    <w:name w:val="md-plain"/>
    <w:basedOn w:val="69"/>
    <w:qFormat/>
    <w:uiPriority w:val="0"/>
  </w:style>
  <w:style w:type="character" w:customStyle="1" w:styleId="964">
    <w:name w:val="font101"/>
    <w:basedOn w:val="69"/>
    <w:qFormat/>
    <w:uiPriority w:val="0"/>
    <w:rPr>
      <w:rFonts w:hint="default" w:ascii="Calibri" w:hAnsi="Calibri" w:cs="Calibri"/>
      <w:color w:val="000000"/>
      <w:sz w:val="22"/>
      <w:szCs w:val="22"/>
      <w:u w:val="none"/>
    </w:rPr>
  </w:style>
  <w:style w:type="character" w:customStyle="1" w:styleId="965">
    <w:name w:val="font121"/>
    <w:basedOn w:val="69"/>
    <w:qFormat/>
    <w:uiPriority w:val="0"/>
    <w:rPr>
      <w:rFonts w:hint="default" w:ascii="Calibri" w:hAnsi="Calibri" w:cs="Calibri"/>
      <w:b/>
      <w:bCs/>
      <w:color w:val="000000"/>
      <w:sz w:val="22"/>
      <w:szCs w:val="22"/>
      <w:u w:val="none"/>
    </w:rPr>
  </w:style>
  <w:style w:type="character" w:customStyle="1" w:styleId="966">
    <w:name w:val="font131"/>
    <w:basedOn w:val="69"/>
    <w:qFormat/>
    <w:uiPriority w:val="0"/>
    <w:rPr>
      <w:rFonts w:hint="eastAsia" w:ascii="宋体" w:hAnsi="宋体" w:eastAsia="宋体" w:cs="宋体"/>
      <w:b/>
      <w:bCs/>
      <w:color w:val="000000"/>
      <w:sz w:val="22"/>
      <w:szCs w:val="22"/>
      <w:u w:val="none"/>
    </w:rPr>
  </w:style>
  <w:style w:type="character" w:customStyle="1" w:styleId="967">
    <w:name w:val="font112"/>
    <w:basedOn w:val="69"/>
    <w:qFormat/>
    <w:uiPriority w:val="0"/>
    <w:rPr>
      <w:rFonts w:hint="default" w:ascii="Calibri" w:hAnsi="Calibri" w:cs="Calibri"/>
      <w:b/>
      <w:bCs/>
      <w:color w:val="000000"/>
      <w:sz w:val="22"/>
      <w:szCs w:val="22"/>
      <w:u w:val="none"/>
    </w:rPr>
  </w:style>
  <w:style w:type="paragraph" w:customStyle="1" w:styleId="968">
    <w:name w:val="_Style 10"/>
    <w:basedOn w:val="1"/>
    <w:qFormat/>
    <w:uiPriority w:val="34"/>
    <w:pPr>
      <w:widowControl/>
      <w:spacing w:after="160" w:line="240" w:lineRule="exact"/>
      <w:jc w:val="left"/>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microsoft.com/office/2011/relationships/people" Target="people.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png"/><Relationship Id="rId24" Type="http://schemas.openxmlformats.org/officeDocument/2006/relationships/theme" Target="theme/theme1.xml"/><Relationship Id="rId23" Type="http://schemas.openxmlformats.org/officeDocument/2006/relationships/footer" Target="footer12.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D2E4DD-CC59-4F12-BC75-1F204CB91537}">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61</Pages>
  <Words>33425</Words>
  <Characters>35316</Characters>
  <Lines>306</Lines>
  <Paragraphs>86</Paragraphs>
  <TotalTime>9</TotalTime>
  <ScaleCrop>false</ScaleCrop>
  <LinksUpToDate>false</LinksUpToDate>
  <CharactersWithSpaces>40592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杳</cp:lastModifiedBy>
  <cp:lastPrinted>2023-04-10T01:14:00Z</cp:lastPrinted>
  <dcterms:modified xsi:type="dcterms:W3CDTF">2023-05-23T06:31:48Z</dcterms:modified>
  <dc:title>杭州市市民卡扩大发卡工程</dc:title>
  <cp:revision>257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848756C9AC0F43F3A5C1307172D0AD42</vt:lpwstr>
  </property>
</Properties>
</file>