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adjustRightInd/>
        <w:spacing w:line="360" w:lineRule="auto"/>
        <w:jc w:val="center"/>
        <w:rPr>
          <w:rFonts w:ascii="宋体" w:hAnsi="宋体" w:cs="宋体"/>
          <w:b/>
          <w:bCs/>
          <w:sz w:val="48"/>
          <w:szCs w:val="48"/>
        </w:rPr>
      </w:pPr>
      <w:r>
        <w:rPr>
          <w:rFonts w:hint="eastAsia" w:ascii="宋体" w:hAnsi="宋体" w:cs="宋体"/>
          <w:b/>
          <w:bCs/>
          <w:sz w:val="48"/>
          <w:szCs w:val="48"/>
        </w:rPr>
        <w:t>杭州市西湖高级中学保安服务采购项目</w:t>
      </w:r>
    </w:p>
    <w:p>
      <w:pPr>
        <w:pStyle w:val="6"/>
        <w:rPr>
          <w:rFonts w:ascii="宋体" w:hAnsi="宋体" w:eastAsia="宋体" w:cs="宋体"/>
        </w:rPr>
      </w:pPr>
    </w:p>
    <w:p>
      <w:pPr>
        <w:rPr>
          <w:rFonts w:ascii="宋体" w:hAnsi="宋体" w:eastAsia="宋体" w:cs="宋体"/>
        </w:rPr>
      </w:pPr>
    </w:p>
    <w:p>
      <w:pPr>
        <w:pStyle w:val="2"/>
        <w:rPr>
          <w:rFonts w:ascii="宋体" w:hAnsi="宋体" w:eastAsia="宋体" w:cs="宋体"/>
        </w:rPr>
      </w:pPr>
    </w:p>
    <w:p>
      <w:pPr>
        <w:pStyle w:val="4"/>
        <w:rPr>
          <w:rFonts w:ascii="宋体" w:hAnsi="宋体" w:eastAsia="宋体" w:cs="宋体"/>
        </w:rPr>
      </w:pPr>
    </w:p>
    <w:p>
      <w:pPr>
        <w:rPr>
          <w:rFonts w:ascii="宋体" w:hAnsi="宋体" w:eastAsia="宋体" w:cs="宋体"/>
        </w:rPr>
      </w:pPr>
    </w:p>
    <w:p>
      <w:pPr>
        <w:pStyle w:val="2"/>
        <w:rPr>
          <w:rFonts w:ascii="宋体" w:hAnsi="宋体" w:eastAsia="宋体" w:cs="宋体"/>
        </w:rPr>
      </w:pPr>
    </w:p>
    <w:p>
      <w:pPr>
        <w:pStyle w:val="4"/>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cs="宋体"/>
          <w:sz w:val="30"/>
          <w:szCs w:val="30"/>
          <w:lang w:val="en-US"/>
        </w:rPr>
      </w:pPr>
      <w:r>
        <w:rPr>
          <w:rFonts w:hint="eastAsia" w:ascii="宋体" w:hAnsi="宋体" w:cs="宋体"/>
          <w:sz w:val="30"/>
          <w:szCs w:val="30"/>
        </w:rPr>
        <w:t xml:space="preserve">编号: </w:t>
      </w:r>
      <w:r>
        <w:rPr>
          <w:rFonts w:hint="eastAsia" w:ascii="宋体" w:hAnsi="宋体" w:eastAsia="宋体" w:cs="宋体"/>
          <w:sz w:val="30"/>
          <w:szCs w:val="30"/>
          <w:lang w:eastAsia="zh-CN"/>
        </w:rPr>
        <w:t>XHZFCG-2024-G-</w:t>
      </w:r>
      <w:r>
        <w:rPr>
          <w:rFonts w:hint="eastAsia" w:ascii="宋体" w:hAnsi="宋体" w:eastAsia="宋体" w:cs="宋体"/>
          <w:sz w:val="30"/>
          <w:szCs w:val="30"/>
          <w:lang w:val="en-US" w:eastAsia="zh-CN"/>
        </w:rPr>
        <w:t>17</w:t>
      </w:r>
    </w:p>
    <w:p>
      <w:pPr>
        <w:adjustRightInd/>
        <w:spacing w:line="360" w:lineRule="auto"/>
        <w:rPr>
          <w:rFonts w:ascii="宋体" w:hAnsi="宋体" w:cs="宋体"/>
          <w:sz w:val="28"/>
          <w:szCs w:val="20"/>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spacing w:line="360" w:lineRule="auto"/>
        <w:jc w:val="center"/>
        <w:rPr>
          <w:rFonts w:hint="eastAsia" w:ascii="宋体" w:hAnsi="宋体" w:cs="宋体"/>
          <w:b/>
          <w:sz w:val="44"/>
          <w:szCs w:val="44"/>
        </w:rPr>
      </w:pPr>
    </w:p>
    <w:p>
      <w:pPr>
        <w:pStyle w:val="2"/>
        <w:rPr>
          <w:rFonts w:hint="eastAsia"/>
        </w:rPr>
      </w:pPr>
    </w:p>
    <w:p>
      <w:pPr>
        <w:spacing w:line="360" w:lineRule="auto"/>
        <w:jc w:val="center"/>
        <w:rPr>
          <w:rFonts w:ascii="宋体" w:hAnsi="宋体" w:cs="宋体"/>
          <w:sz w:val="32"/>
          <w:szCs w:val="32"/>
        </w:rPr>
      </w:pPr>
      <w:r>
        <w:rPr>
          <w:rFonts w:hint="eastAsia" w:ascii="宋体" w:hAnsi="宋体" w:cs="宋体"/>
          <w:b/>
          <w:sz w:val="44"/>
          <w:szCs w:val="44"/>
        </w:rPr>
        <w:t xml:space="preserve"> </w:t>
      </w:r>
    </w:p>
    <w:p>
      <w:pPr>
        <w:snapToGrid w:val="0"/>
        <w:spacing w:line="360" w:lineRule="auto"/>
        <w:jc w:val="center"/>
        <w:rPr>
          <w:rFonts w:ascii="宋体" w:hAnsi="宋体" w:cs="宋体"/>
          <w:sz w:val="32"/>
          <w:szCs w:val="32"/>
        </w:rPr>
      </w:pPr>
      <w:r>
        <w:rPr>
          <w:rFonts w:hint="eastAsia" w:ascii="宋体" w:hAnsi="宋体" w:cs="宋体"/>
          <w:sz w:val="32"/>
          <w:szCs w:val="32"/>
        </w:rPr>
        <w:t>杭州市西湖高级中学</w:t>
      </w:r>
    </w:p>
    <w:p>
      <w:pPr>
        <w:spacing w:line="360" w:lineRule="auto"/>
        <w:jc w:val="center"/>
        <w:rPr>
          <w:rFonts w:ascii="宋体" w:hAnsi="宋体" w:cs="宋体"/>
          <w:bCs/>
          <w:sz w:val="32"/>
          <w:szCs w:val="32"/>
        </w:rPr>
      </w:pPr>
      <w:r>
        <w:rPr>
          <w:rFonts w:hint="eastAsia" w:ascii="宋体" w:hAnsi="宋体" w:cs="宋体"/>
          <w:bCs/>
          <w:sz w:val="32"/>
          <w:szCs w:val="32"/>
        </w:rPr>
        <w:t>杭州市西湖区政府采购中心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二〇二四年</w:t>
      </w:r>
      <w:r>
        <w:rPr>
          <w:rFonts w:hint="eastAsia" w:ascii="宋体" w:hAnsi="宋体" w:cs="宋体"/>
          <w:bCs/>
          <w:sz w:val="32"/>
          <w:szCs w:val="32"/>
          <w:lang w:eastAsia="zh-CN"/>
        </w:rPr>
        <w:t>四</w:t>
      </w:r>
      <w:r>
        <w:rPr>
          <w:rFonts w:hint="eastAsia" w:ascii="宋体" w:hAnsi="宋体" w:cs="宋体"/>
          <w:bCs/>
          <w:sz w:val="32"/>
          <w:szCs w:val="32"/>
        </w:rPr>
        <w:t>月</w:t>
      </w:r>
      <w:r>
        <w:rPr>
          <w:rFonts w:hint="eastAsia" w:ascii="宋体" w:hAnsi="宋体" w:cs="宋体"/>
          <w:bCs/>
          <w:sz w:val="32"/>
          <w:szCs w:val="32"/>
          <w:lang w:eastAsia="zh-CN"/>
        </w:rPr>
        <w:t>十五</w:t>
      </w:r>
      <w:r>
        <w:rPr>
          <w:rFonts w:hint="eastAsia" w:ascii="宋体" w:hAnsi="宋体" w:cs="宋体"/>
          <w:bCs/>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6"/>
        <w:rPr>
          <w:rFonts w:ascii="宋体" w:hAnsi="宋体" w:eastAsia="宋体" w:cs="宋体"/>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杭州市西湖高级中学保安服务采购项目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"https://www.zcygov.cn/）获取（下载）招标文件，并于2024年%20月%20日09点30分00秒" </w:instrText>
      </w:r>
      <w:r>
        <w:fldChar w:fldCharType="separate"/>
      </w:r>
      <w:r>
        <w:rPr>
          <w:rStyle w:val="76"/>
          <w:rFonts w:hint="eastAsia" w:ascii="宋体" w:hAnsi="宋体" w:eastAsia="宋体" w:cs="宋体"/>
          <w:snapToGrid/>
          <w:kern w:val="2"/>
          <w:sz w:val="24"/>
          <w:szCs w:val="24"/>
        </w:rPr>
        <w:t>https://www.zcygov.cn/）获取（下载）招标文件，并于2024年</w:t>
      </w:r>
      <w:r>
        <w:rPr>
          <w:rStyle w:val="76"/>
          <w:rFonts w:hint="eastAsia" w:ascii="宋体" w:hAnsi="宋体" w:cs="宋体"/>
          <w:snapToGrid/>
          <w:kern w:val="2"/>
          <w:sz w:val="24"/>
          <w:szCs w:val="24"/>
          <w:lang w:val="en-US" w:eastAsia="zh-CN"/>
        </w:rPr>
        <w:t>5</w:t>
      </w:r>
      <w:r>
        <w:rPr>
          <w:rStyle w:val="76"/>
          <w:rFonts w:hint="eastAsia" w:ascii="宋体" w:hAnsi="宋体" w:eastAsia="宋体" w:cs="宋体"/>
          <w:snapToGrid/>
          <w:kern w:val="2"/>
          <w:sz w:val="24"/>
          <w:szCs w:val="24"/>
        </w:rPr>
        <w:t>月</w:t>
      </w:r>
      <w:r>
        <w:rPr>
          <w:rStyle w:val="76"/>
          <w:rFonts w:hint="eastAsia" w:ascii="宋体" w:hAnsi="宋体" w:cs="宋体"/>
          <w:snapToGrid/>
          <w:kern w:val="2"/>
          <w:sz w:val="24"/>
          <w:szCs w:val="24"/>
          <w:lang w:val="en-US" w:eastAsia="zh-CN"/>
        </w:rPr>
        <w:t>7</w:t>
      </w:r>
      <w:r>
        <w:rPr>
          <w:rStyle w:val="76"/>
          <w:rFonts w:hint="eastAsia" w:ascii="宋体" w:hAnsi="宋体" w:eastAsia="宋体" w:cs="宋体"/>
          <w:snapToGrid/>
          <w:kern w:val="2"/>
          <w:sz w:val="24"/>
          <w:szCs w:val="24"/>
        </w:rPr>
        <w:t>日</w:t>
      </w:r>
      <w:r>
        <w:rPr>
          <w:rStyle w:val="76"/>
          <w:rFonts w:hint="eastAsia" w:ascii="宋体" w:hAnsi="宋体" w:cs="宋体"/>
          <w:snapToGrid/>
          <w:kern w:val="2"/>
          <w:sz w:val="24"/>
          <w:szCs w:val="24"/>
          <w:lang w:val="en-US" w:eastAsia="zh-CN"/>
        </w:rPr>
        <w:t>9</w:t>
      </w:r>
      <w:r>
        <w:rPr>
          <w:rStyle w:val="76"/>
          <w:rFonts w:hint="eastAsia" w:ascii="宋体" w:hAnsi="宋体" w:eastAsia="宋体" w:cs="宋体"/>
          <w:snapToGrid/>
          <w:kern w:val="2"/>
          <w:sz w:val="24"/>
          <w:szCs w:val="24"/>
        </w:rPr>
        <w:t>点</w:t>
      </w:r>
      <w:r>
        <w:rPr>
          <w:rStyle w:val="76"/>
          <w:rFonts w:hint="eastAsia" w:ascii="宋体" w:hAnsi="宋体" w:cs="宋体"/>
          <w:snapToGrid/>
          <w:kern w:val="2"/>
          <w:sz w:val="24"/>
          <w:szCs w:val="24"/>
          <w:lang w:val="en-US" w:eastAsia="zh-CN"/>
        </w:rPr>
        <w:t>30</w:t>
      </w:r>
      <w:r>
        <w:rPr>
          <w:rStyle w:val="76"/>
          <w:rFonts w:hint="eastAsia" w:ascii="宋体" w:hAnsi="宋体" w:eastAsia="宋体" w:cs="宋体"/>
          <w:snapToGrid/>
          <w:kern w:val="2"/>
          <w:sz w:val="24"/>
          <w:szCs w:val="24"/>
        </w:rPr>
        <w:t>分</w:t>
      </w:r>
      <w:r>
        <w:rPr>
          <w:rStyle w:val="76"/>
          <w:rFonts w:hint="eastAsia" w:ascii="宋体" w:hAnsi="宋体" w:eastAsia="宋体" w:cs="宋体"/>
          <w:bCs/>
          <w:snapToGrid/>
          <w:kern w:val="2"/>
          <w:sz w:val="24"/>
          <w:szCs w:val="24"/>
        </w:rPr>
        <w:t>00秒</w:t>
      </w:r>
      <w:r>
        <w:rPr>
          <w:rStyle w:val="76"/>
          <w:rFonts w:hint="eastAsia" w:ascii="宋体" w:hAnsi="宋体" w:eastAsia="宋体" w:cs="宋体"/>
          <w:bCs/>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rPr>
        <w:t>杭州市西湖高级中学保安服务采购项目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w:t>
      </w:r>
      <w:r>
        <w:rPr>
          <w:rFonts w:hint="eastAsia" w:ascii="宋体" w:hAnsi="宋体" w:cs="宋体"/>
          <w:b w:val="0"/>
          <w:bCs/>
          <w:sz w:val="24"/>
          <w:lang w:val="en-US" w:eastAsia="zh-CN"/>
        </w:rPr>
        <w:t>350000</w:t>
      </w:r>
      <w:r>
        <w:rPr>
          <w:rFonts w:hint="eastAsia" w:ascii="宋体" w:hAnsi="宋体" w:cs="宋体"/>
          <w:b/>
          <w:sz w:val="24"/>
        </w:rPr>
        <w:t>元/年</w:t>
      </w:r>
    </w:p>
    <w:p>
      <w:pPr>
        <w:spacing w:line="360" w:lineRule="auto"/>
        <w:ind w:firstLine="480"/>
        <w:rPr>
          <w:rFonts w:ascii="宋体" w:hAnsi="宋体" w:cs="宋体"/>
          <w:sz w:val="24"/>
        </w:rPr>
      </w:pPr>
      <w:r>
        <w:rPr>
          <w:rFonts w:hint="eastAsia" w:ascii="宋体" w:hAnsi="宋体" w:cs="宋体"/>
          <w:b/>
          <w:sz w:val="24"/>
        </w:rPr>
        <w:t>最高限价：</w:t>
      </w:r>
      <w:r>
        <w:rPr>
          <w:rFonts w:hint="eastAsia" w:ascii="宋体" w:hAnsi="宋体" w:cs="宋体"/>
          <w:b w:val="0"/>
          <w:bCs/>
          <w:sz w:val="24"/>
          <w:lang w:val="en-US" w:eastAsia="zh-CN"/>
        </w:rPr>
        <w:t>350000</w:t>
      </w:r>
      <w:r>
        <w:rPr>
          <w:rFonts w:hint="eastAsia" w:ascii="宋体" w:hAnsi="宋体" w:cs="宋体"/>
          <w:b/>
          <w:sz w:val="24"/>
        </w:rPr>
        <w:t>元/年</w:t>
      </w:r>
    </w:p>
    <w:p>
      <w:pPr>
        <w:pStyle w:val="18"/>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杭州市西湖高级中学保安服务采购项目。位于</w:t>
      </w:r>
      <w:r>
        <w:rPr>
          <w:rFonts w:hAnsi="宋体"/>
          <w:sz w:val="24"/>
        </w:rPr>
        <w:t>浙江省杭州市西</w:t>
      </w:r>
      <w:r>
        <w:rPr>
          <w:rFonts w:hint="eastAsia" w:hAnsi="宋体"/>
          <w:sz w:val="24"/>
        </w:rPr>
        <w:t>湖区留下大街21</w:t>
      </w:r>
      <w:r>
        <w:rPr>
          <w:rFonts w:hAnsi="宋体"/>
          <w:sz w:val="24"/>
        </w:rPr>
        <w:t>号</w:t>
      </w:r>
      <w:r>
        <w:rPr>
          <w:rFonts w:hint="eastAsia" w:hAnsi="宋体" w:cs="宋体"/>
          <w:sz w:val="24"/>
        </w:rPr>
        <w:t xml:space="preserve">。依据学校安防工作要求和标准，为学校采购保安服务，按当前服务面积、学生数测算，需 </w:t>
      </w:r>
      <w:r>
        <w:rPr>
          <w:rFonts w:hAnsi="宋体" w:cs="宋体"/>
          <w:sz w:val="24"/>
        </w:rPr>
        <w:t>6</w:t>
      </w:r>
      <w:r>
        <w:rPr>
          <w:rFonts w:hint="eastAsia" w:hAnsi="宋体" w:cs="宋体"/>
          <w:sz w:val="24"/>
        </w:rPr>
        <w:t xml:space="preserve"> 名专职保安员。服务内容包括并不限于日常固定岗执勤、巡查、安全防范、消防等。</w:t>
      </w:r>
      <w:r>
        <w:rPr>
          <w:rFonts w:hint="eastAsia" w:hAnsi="宋体" w:cs="宋体"/>
          <w:bCs/>
          <w:snapToGrid/>
          <w:color w:val="auto"/>
          <w:kern w:val="2"/>
          <w:sz w:val="24"/>
          <w:szCs w:val="24"/>
        </w:rPr>
        <w:t>具体内容和相关要求详见招标文件第三部分采购需求。供应商可点击本公告下方“浏览采购文件”查看采购需求。</w:t>
      </w:r>
    </w:p>
    <w:p>
      <w:pPr>
        <w:pStyle w:val="130"/>
        <w:spacing w:before="0"/>
        <w:ind w:firstLine="482"/>
        <w:outlineLvl w:val="2"/>
        <w:rPr>
          <w:rFonts w:ascii="宋体" w:hAnsi="宋体" w:cs="宋体"/>
          <w:b w:val="0"/>
          <w:bCs/>
        </w:rPr>
      </w:pPr>
      <w:r>
        <w:rPr>
          <w:rFonts w:hint="eastAsia" w:ascii="宋体" w:hAnsi="宋体" w:cs="宋体"/>
          <w:b w:val="0"/>
          <w:bCs/>
        </w:rPr>
        <w:t>合同履约期限：自合同签订之日起1年。合同履行期内若供应商达不到考核要求，采购单位可按有关程序终止服务合同，另行招标采购。</w:t>
      </w:r>
    </w:p>
    <w:p>
      <w:pPr>
        <w:pStyle w:val="18"/>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ascii="Wingdings" w:hAnsi="Wingdings" w:cs="宋体"/>
              <w:color w:val="auto"/>
              <w:kern w:val="0"/>
              <w:sz w:val="24"/>
            </w:rPr>
            <w:t>þ</w:t>
          </w:r>
        </w:sdtContent>
      </w:sdt>
      <w:r>
        <w:rPr>
          <w:rFonts w:hint="eastAsia" w:hAnsi="宋体" w:cs="宋体"/>
          <w:b/>
          <w:color w:val="auto"/>
          <w:sz w:val="24"/>
        </w:rPr>
        <w:t>是，</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2.</w:t>
      </w:r>
      <w:r>
        <w:rPr>
          <w:rFonts w:hint="eastAsia" w:ascii="宋体" w:hAnsi="宋体" w:cs="宋体"/>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3.落实政府采购政策需满足的资格要求：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33368540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214102535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服务全部由符合政策要求的小微企业承接，提供中小企业声明函；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4.本项目的特定资格要求：</w:t>
      </w:r>
    </w:p>
    <w:p>
      <w:pPr>
        <w:snapToGrid w:val="0"/>
        <w:spacing w:line="360" w:lineRule="auto"/>
        <w:ind w:firstLine="480" w:firstLineChars="200"/>
        <w:rPr>
          <w:rFonts w:ascii="宋体" w:hAnsi="宋体" w:cs="宋体"/>
          <w:sz w:val="24"/>
        </w:rPr>
      </w:pPr>
      <w:r>
        <w:rPr>
          <w:rFonts w:hint="eastAsia" w:ascii="宋体" w:hAnsi="宋体" w:cs="宋体"/>
          <w:kern w:val="0"/>
          <w:sz w:val="24"/>
        </w:rPr>
        <w:sym w:font="Wingdings" w:char="00A8"/>
      </w:r>
      <w:r>
        <w:rPr>
          <w:rFonts w:hint="eastAsia" w:ascii="宋体" w:hAnsi="宋体" w:cs="宋体"/>
          <w:sz w:val="24"/>
        </w:rPr>
        <w:t>无。</w:t>
      </w:r>
    </w:p>
    <w:p>
      <w:pPr>
        <w:snapToGrid w:val="0"/>
        <w:spacing w:line="360" w:lineRule="auto"/>
        <w:ind w:firstLine="480" w:firstLineChars="200"/>
        <w:rPr>
          <w:rFonts w:ascii="宋体" w:hAnsi="宋体" w:cs="宋体"/>
          <w:sz w:val="24"/>
        </w:rPr>
      </w:pPr>
      <w:r>
        <w:rPr>
          <w:rFonts w:hint="eastAsia" w:ascii="宋体" w:hAnsi="宋体" w:cs="宋体"/>
          <w:kern w:val="0"/>
          <w:sz w:val="24"/>
        </w:rPr>
        <w:sym w:font="Wingdings" w:char="00FE"/>
      </w:r>
      <w:r>
        <w:rPr>
          <w:rFonts w:hint="eastAsia" w:ascii="宋体" w:hAnsi="宋体" w:cs="宋体"/>
          <w:sz w:val="24"/>
        </w:rPr>
        <w:t>有特定资格要求：</w:t>
      </w:r>
      <w:r>
        <w:rPr>
          <w:rFonts w:hint="eastAsia" w:ascii="宋体" w:hAnsi="宋体" w:cs="宋体"/>
          <w:b/>
          <w:bCs/>
          <w:sz w:val="24"/>
          <w:u w:val="single"/>
        </w:rPr>
        <w:t>供应商为保安服务公司的，取得《保安服务许可证》；供应商为自行招用保安员的单位的，承诺自开始保安服务之日起30日内向所在地设区的市级人民政府公安机关备案</w:t>
      </w:r>
      <w:r>
        <w:rPr>
          <w:rFonts w:hint="eastAsia" w:ascii="宋体" w:hAnsi="宋体" w:cs="宋体"/>
          <w:b/>
          <w:bCs/>
          <w:sz w:val="24"/>
        </w:rPr>
        <w:t>；该特定条件的法律法规依据：</w:t>
      </w:r>
      <w:r>
        <w:rPr>
          <w:rFonts w:hint="eastAsia" w:ascii="宋体" w:hAnsi="宋体" w:cs="宋体"/>
          <w:b/>
          <w:bCs/>
          <w:sz w:val="24"/>
          <w:u w:val="single"/>
        </w:rPr>
        <w:t>《保安服务管理条例》</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2024年</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7</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2024年</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7</w:t>
      </w:r>
      <w:r>
        <w:rPr>
          <w:rFonts w:hint="eastAsia" w:ascii="宋体" w:hAnsi="宋体" w:cs="宋体"/>
          <w:sz w:val="24"/>
          <w:u w:val="single"/>
        </w:rPr>
        <w:t>日</w:t>
      </w:r>
      <w:r>
        <w:rPr>
          <w:rFonts w:hint="eastAsia" w:ascii="宋体" w:hAnsi="宋体" w:cs="宋体"/>
          <w:sz w:val="24"/>
          <w:u w:val="single"/>
          <w:lang w:val="en-US" w:eastAsia="zh-CN"/>
        </w:rPr>
        <w:t>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2024年</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7</w:t>
      </w:r>
      <w:r>
        <w:rPr>
          <w:rFonts w:hint="eastAsia" w:ascii="宋体" w:hAnsi="宋体" w:cs="宋体"/>
          <w:sz w:val="24"/>
          <w:u w:val="single"/>
        </w:rPr>
        <w:t>日</w:t>
      </w:r>
      <w:r>
        <w:rPr>
          <w:rFonts w:hint="eastAsia" w:ascii="宋体" w:hAnsi="宋体" w:cs="宋体"/>
          <w:sz w:val="24"/>
          <w:u w:val="single"/>
          <w:lang w:val="en-US" w:eastAsia="zh-CN"/>
        </w:rPr>
        <w:t>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称：杭州市西湖高级中学  </w:t>
      </w:r>
    </w:p>
    <w:p>
      <w:pPr>
        <w:spacing w:line="360" w:lineRule="auto"/>
        <w:rPr>
          <w:rFonts w:ascii="宋体" w:hAnsi="宋体" w:cs="宋体"/>
          <w:sz w:val="24"/>
        </w:rPr>
      </w:pPr>
      <w:r>
        <w:rPr>
          <w:rFonts w:hint="eastAsia" w:ascii="宋体" w:hAnsi="宋体" w:cs="宋体"/>
          <w:sz w:val="24"/>
        </w:rPr>
        <w:t xml:space="preserve">    地    址： 杭州市西湖区留下大街21号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rPr>
      </w:pPr>
      <w:r>
        <w:rPr>
          <w:rFonts w:hint="eastAsia" w:ascii="宋体" w:hAnsi="宋体" w:cs="宋体"/>
          <w:sz w:val="24"/>
        </w:rPr>
        <w:t>项目联系人（询问）：</w:t>
      </w:r>
      <w:r>
        <w:rPr>
          <w:rFonts w:hint="eastAsia" w:ascii="宋体" w:hAnsi="宋体" w:cs="宋体"/>
          <w:sz w:val="24"/>
          <w:lang w:eastAsia="zh-CN"/>
        </w:rPr>
        <w:t>吴斌斌</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 xml:space="preserve">项目联系方式（询问）：0571-56253017 </w:t>
      </w:r>
    </w:p>
    <w:p>
      <w:pPr>
        <w:spacing w:line="360" w:lineRule="auto"/>
        <w:rPr>
          <w:rFonts w:ascii="宋体" w:hAnsi="宋体" w:cs="宋体"/>
          <w:sz w:val="24"/>
        </w:rPr>
      </w:pPr>
      <w:r>
        <w:rPr>
          <w:rFonts w:hint="eastAsia" w:ascii="宋体" w:hAnsi="宋体" w:cs="宋体"/>
          <w:sz w:val="24"/>
        </w:rPr>
        <w:t xml:space="preserve">    质疑联系人：</w:t>
      </w:r>
      <w:r>
        <w:rPr>
          <w:rFonts w:ascii="宋体" w:hAnsi="宋体" w:cs="宋体"/>
          <w:sz w:val="24"/>
        </w:rPr>
        <w:t>万小燕</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质疑联系方式：</w:t>
      </w:r>
      <w:r>
        <w:rPr>
          <w:rFonts w:ascii="宋体" w:hAnsi="宋体" w:cs="宋体"/>
          <w:sz w:val="24"/>
        </w:rPr>
        <w:t>0571-56253000</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 xml:space="preserve">2.采购代理机构信息            </w:t>
      </w:r>
    </w:p>
    <w:p>
      <w:pPr>
        <w:spacing w:line="360" w:lineRule="auto"/>
        <w:ind w:firstLine="480"/>
        <w:rPr>
          <w:rFonts w:ascii="宋体" w:hAnsi="宋体" w:cs="宋体"/>
          <w:sz w:val="24"/>
        </w:rPr>
      </w:pPr>
      <w:r>
        <w:rPr>
          <w:rFonts w:hint="eastAsia" w:ascii="宋体" w:hAnsi="宋体" w:cs="宋体"/>
          <w:sz w:val="24"/>
        </w:rPr>
        <w:t>名    称：杭州市西湖区政府采购中心</w:t>
      </w:r>
    </w:p>
    <w:p>
      <w:pPr>
        <w:spacing w:line="360" w:lineRule="auto"/>
        <w:ind w:firstLine="480"/>
        <w:rPr>
          <w:rFonts w:ascii="宋体" w:hAnsi="宋体" w:cs="宋体"/>
          <w:sz w:val="24"/>
        </w:rPr>
      </w:pPr>
      <w:r>
        <w:rPr>
          <w:rFonts w:hint="eastAsia" w:ascii="宋体" w:hAnsi="宋体" w:cs="宋体"/>
          <w:sz w:val="24"/>
        </w:rPr>
        <w:t>地    址：杭州市文一西路858号</w:t>
      </w:r>
    </w:p>
    <w:p>
      <w:pPr>
        <w:spacing w:line="360" w:lineRule="auto"/>
        <w:rPr>
          <w:rFonts w:ascii="宋体" w:hAnsi="宋体" w:cs="宋体"/>
          <w:sz w:val="24"/>
        </w:rPr>
      </w:pPr>
      <w:r>
        <w:rPr>
          <w:rFonts w:hint="eastAsia" w:ascii="宋体" w:hAnsi="宋体" w:cs="宋体"/>
          <w:sz w:val="24"/>
        </w:rPr>
        <w:t xml:space="preserve">    传    真：0571-89511006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eastAsia="宋体" w:cs="宋体"/>
          <w:sz w:val="24"/>
        </w:rPr>
        <w:t>邵一</w:t>
      </w:r>
      <w:r>
        <w:rPr>
          <w:rFonts w:hint="eastAsia" w:ascii="宋体" w:hAnsi="宋体" w:eastAsia="宋体" w:cs="宋体"/>
          <w:sz w:val="24"/>
          <w:lang w:eastAsia="zh-CN"/>
        </w:rPr>
        <w:t>成</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项目联系方式（询问）：</w:t>
      </w:r>
      <w:r>
        <w:rPr>
          <w:rFonts w:hint="eastAsia" w:ascii="宋体" w:hAnsi="宋体" w:eastAsia="宋体" w:cs="宋体"/>
          <w:sz w:val="24"/>
        </w:rPr>
        <w:t>0571-89511007</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eastAsia="宋体" w:cs="宋体"/>
          <w:sz w:val="24"/>
        </w:rPr>
        <w:t>缪新新</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质疑联系方式：</w:t>
      </w:r>
      <w:r>
        <w:rPr>
          <w:rFonts w:hint="eastAsia" w:ascii="宋体" w:hAnsi="宋体" w:eastAsia="宋体" w:cs="宋体"/>
          <w:sz w:val="24"/>
        </w:rPr>
        <w:t>0571-89511561</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称：杭州市西湖区财政局、浙江省政府采购行政裁决服务中心（杭州） </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址：杭州市上城区四季青街道新业路市民之家G03办公室（快递仅限ems或顺丰）</w:t>
      </w:r>
    </w:p>
    <w:p>
      <w:pPr>
        <w:spacing w:line="360" w:lineRule="auto"/>
        <w:ind w:firstLine="240" w:firstLineChars="100"/>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w:t>
      </w:r>
      <w:r>
        <w:rPr>
          <w:rFonts w:hint="eastAsia" w:ascii="宋体" w:hAnsi="宋体" w:eastAsia="宋体" w:cs="宋体"/>
          <w:sz w:val="24"/>
          <w:highlight w:val="none"/>
        </w:rPr>
        <w:t>朱女士、王女士</w:t>
      </w:r>
    </w:p>
    <w:p>
      <w:pPr>
        <w:spacing w:line="360" w:lineRule="auto"/>
        <w:ind w:firstLine="480" w:firstLineChars="200"/>
        <w:rPr>
          <w:rFonts w:ascii="宋体" w:hAnsi="宋体" w:cs="宋体"/>
          <w:sz w:val="24"/>
        </w:rPr>
      </w:pPr>
      <w:r>
        <w:rPr>
          <w:rFonts w:hint="eastAsia" w:ascii="宋体" w:hAnsi="宋体" w:cs="宋体"/>
          <w:sz w:val="24"/>
        </w:rPr>
        <w:t>监督投诉电话：</w:t>
      </w:r>
      <w:r>
        <w:rPr>
          <w:rFonts w:hint="eastAsia" w:ascii="宋体" w:hAnsi="宋体" w:eastAsia="宋体" w:cs="宋体"/>
          <w:sz w:val="24"/>
          <w:highlight w:val="none"/>
        </w:rPr>
        <w:t>0571-85252453</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spacing w:line="360" w:lineRule="auto"/>
        <w:ind w:firstLine="480" w:firstLineChars="200"/>
        <w:rPr>
          <w:rFonts w:ascii="宋体" w:hAnsi="宋体" w:cs="宋体"/>
          <w:sz w:val="24"/>
        </w:rPr>
      </w:pPr>
    </w:p>
    <w:p>
      <w:pPr>
        <w:widowControl/>
        <w:adjustRightInd/>
        <w:jc w:val="left"/>
        <w:rPr>
          <w:rFonts w:ascii="宋体" w:hAnsi="宋体" w:cs="宋体"/>
          <w:b/>
          <w:sz w:val="36"/>
          <w:szCs w:val="20"/>
        </w:rPr>
      </w:pPr>
      <w:r>
        <w:rPr>
          <w:rFonts w:hint="eastAsia"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标的：</w:t>
            </w:r>
            <w:r>
              <w:rPr>
                <w:rFonts w:hint="eastAsia" w:ascii="宋体" w:hAnsi="宋体" w:cs="宋体"/>
                <w:kern w:val="0"/>
                <w:sz w:val="24"/>
                <w:u w:val="single"/>
              </w:rPr>
              <w:t>保安服务</w:t>
            </w:r>
            <w:r>
              <w:rPr>
                <w:rFonts w:hint="eastAsia" w:ascii="宋体" w:hAnsi="宋体" w:cs="宋体"/>
                <w:kern w:val="0"/>
                <w:sz w:val="24"/>
              </w:rPr>
              <w:t xml:space="preserve">，属于 </w:t>
            </w:r>
            <w:r>
              <w:rPr>
                <w:rFonts w:hint="eastAsia" w:ascii="宋体" w:hAnsi="宋体" w:cs="宋体"/>
                <w:kern w:val="0"/>
                <w:sz w:val="24"/>
                <w:u w:val="single"/>
              </w:rPr>
              <w:t xml:space="preserve">租赁和商务服务 </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kern w:val="0"/>
                <w:sz w:val="24"/>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p>
            <w:pPr>
              <w:spacing w:line="360" w:lineRule="auto"/>
              <w:rPr>
                <w:rFonts w:ascii="宋体" w:hAnsi="宋体" w:cs="宋体"/>
              </w:rPr>
            </w:pPr>
            <w:r>
              <w:rPr>
                <w:rFonts w:hint="eastAsia" w:ascii="宋体" w:hAnsi="宋体" w:cs="宋体"/>
                <w:kern w:val="0"/>
                <w:sz w:val="24"/>
              </w:rPr>
              <w:t>优先采购向我国企业转让技术、与我国企业签订消化吸收再创新方案的供应商的进口产品，详见评分标准。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临时增援    </w:t>
            </w:r>
            <w:r>
              <w:rPr>
                <w:rFonts w:hint="eastAsia" w:ascii="宋体" w:hAnsi="宋体" w:cs="宋体"/>
                <w:sz w:val="24"/>
              </w:rPr>
              <w:t>工作分包。</w:t>
            </w:r>
          </w:p>
          <w:p>
            <w:pPr>
              <w:spacing w:line="360" w:lineRule="auto"/>
              <w:rPr>
                <w:rFonts w:ascii="宋体" w:hAnsi="宋体" w:cs="宋体"/>
                <w:sz w:val="24"/>
              </w:rPr>
            </w:pPr>
            <w:sdt>
              <w:sdtPr>
                <w:rPr>
                  <w:rFonts w:hint="eastAsia" w:ascii="宋体" w:hAnsi="宋体" w:cs="宋体"/>
                  <w:kern w:val="0"/>
                  <w:sz w:val="24"/>
                </w:rPr>
                <w:id w:val="-127633135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B要求提供（未提供样品或提供样品不满足采购需求实质性条件的供应商，投标无效）：</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napToGrid w:val="0"/>
                <w:kern w:val="28"/>
                <w:sz w:val="24"/>
              </w:rPr>
            </w:pPr>
            <w:r>
              <w:rPr>
                <w:rFonts w:hint="eastAsia" w:ascii="宋体" w:hAnsi="宋体" w:cs="宋体"/>
                <w:kern w:val="0"/>
                <w:sz w:val="24"/>
              </w:rPr>
              <w:t>（3）样品的评审方法以及评审标准</w:t>
            </w:r>
            <w:r>
              <w:rPr>
                <w:rFonts w:hint="eastAsia" w:ascii="宋体" w:hAnsi="宋体" w:cs="宋体"/>
                <w:snapToGrid w:val="0"/>
                <w:kern w:val="28"/>
                <w:sz w:val="24"/>
              </w:rPr>
              <w:t>：</w:t>
            </w:r>
          </w:p>
          <w:p>
            <w:pPr>
              <w:spacing w:line="360" w:lineRule="auto"/>
              <w:ind w:firstLine="240" w:firstLineChars="100"/>
              <w:rPr>
                <w:rFonts w:ascii="宋体" w:hAnsi="宋体" w:cs="宋体"/>
                <w:sz w:val="24"/>
              </w:rPr>
            </w:pPr>
            <w:sdt>
              <w:sdtPr>
                <w:rPr>
                  <w:rFonts w:hint="eastAsia" w:ascii="宋体" w:hAnsi="宋体" w:cs="宋体"/>
                  <w:kern w:val="0"/>
                  <w:sz w:val="24"/>
                </w:rPr>
                <w:id w:val="-1350092240"/>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样品分未超过价格分的50%；</w:t>
            </w:r>
          </w:p>
          <w:p>
            <w:pPr>
              <w:spacing w:line="360" w:lineRule="auto"/>
              <w:ind w:firstLine="240" w:firstLineChars="100"/>
              <w:rPr>
                <w:rFonts w:ascii="宋体" w:hAnsi="宋体" w:cs="宋体"/>
                <w:kern w:val="0"/>
                <w:sz w:val="24"/>
              </w:rPr>
            </w:pPr>
            <w:sdt>
              <w:sdtPr>
                <w:rPr>
                  <w:rFonts w:hint="eastAsia" w:ascii="宋体" w:hAnsi="宋体" w:cs="宋体"/>
                  <w:kern w:val="0"/>
                  <w:sz w:val="24"/>
                </w:rPr>
                <w:id w:val="-148554041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样品分超过价格分的50%，理由</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pacing w:line="360" w:lineRule="auto"/>
              <w:ind w:firstLine="240" w:firstLineChars="100"/>
              <w:rPr>
                <w:rFonts w:ascii="宋体" w:hAnsi="宋体" w:cs="宋体"/>
                <w:kern w:val="0"/>
                <w:sz w:val="24"/>
              </w:rPr>
            </w:pPr>
            <w:r>
              <w:rPr>
                <w:rFonts w:hint="eastAsia" w:ascii="宋体" w:hAnsi="宋体" w:cs="宋体"/>
                <w:snapToGrid w:val="0"/>
                <w:kern w:val="28"/>
                <w:sz w:val="24"/>
              </w:rPr>
              <w:t>详见招标文件第四部分</w:t>
            </w:r>
            <w:r>
              <w:rPr>
                <w:rFonts w:hint="eastAsia" w:ascii="宋体" w:hAnsi="宋体" w:cs="宋体"/>
                <w:sz w:val="24"/>
                <w:u w:val="single"/>
              </w:rPr>
              <w:t>评标办法</w:t>
            </w:r>
            <w:r>
              <w:rPr>
                <w:rFonts w:hint="eastAsia"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（1）在评标时安排每个投标人进行方案讲解演示。每个投标人时间不超过20分钟，</w:t>
            </w:r>
            <w:r>
              <w:rPr>
                <w:rFonts w:hint="eastAsia" w:ascii="宋体" w:hAnsi="宋体" w:cs="宋体"/>
                <w:b/>
                <w:bCs/>
                <w:kern w:val="0"/>
                <w:sz w:val="24"/>
              </w:rPr>
              <w:t>讲解次序以投标文件解密时间先后次序为准</w:t>
            </w:r>
            <w:r>
              <w:rPr>
                <w:rFonts w:hint="eastAsia" w:ascii="宋体" w:hAnsi="宋体" w:cs="宋体"/>
                <w:kern w:val="0"/>
                <w:sz w:val="24"/>
              </w:rPr>
              <w:t>，讲解演示人员不超过3人。讲解演示结束后按要求解答评标委员会提问。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（2）方案讲解演示方式：</w:t>
            </w:r>
          </w:p>
          <w:p>
            <w:pPr>
              <w:snapToGrid w:val="0"/>
              <w:spacing w:line="360" w:lineRule="auto"/>
              <w:rPr>
                <w:rFonts w:ascii="宋体" w:hAnsi="宋体" w:cs="宋体"/>
                <w:kern w:val="0"/>
                <w:sz w:val="24"/>
              </w:rPr>
            </w:pPr>
            <w:r>
              <w:rPr>
                <w:rFonts w:hint="eastAsia" w:ascii="宋体" w:hAnsi="宋体" w:cs="宋体"/>
                <w:kern w:val="0"/>
                <w:sz w:val="24"/>
              </w:rPr>
              <w:t>通过政采云平台进行在线讲解演示</w:t>
            </w:r>
            <w:r>
              <w:rPr>
                <w:rFonts w:hint="eastAsia" w:ascii="宋体" w:hAnsi="宋体" w:cs="宋体"/>
                <w:b/>
                <w:bCs/>
                <w:kern w:val="0"/>
                <w:sz w:val="24"/>
              </w:rPr>
              <w:t>或</w:t>
            </w:r>
            <w:r>
              <w:rPr>
                <w:rFonts w:hint="eastAsia" w:ascii="宋体" w:hAnsi="宋体" w:cs="宋体"/>
                <w:kern w:val="0"/>
                <w:sz w:val="24"/>
              </w:rPr>
              <w:t>播放已录制好的演示视频。政采云平台在线讲解需投标人根据政采云平台操作要求做好准备工作</w:t>
            </w:r>
            <w:r>
              <w:rPr>
                <w:rFonts w:hint="eastAsia" w:ascii="宋体" w:hAnsi="宋体" w:cs="宋体"/>
                <w:b/>
                <w:bCs/>
                <w:kern w:val="0"/>
                <w:sz w:val="24"/>
              </w:rPr>
              <w:t>（①提供在线讲解演示，建议使用笔记本和有线/无线蓝牙耳机②播放视频，为避免视频卡顿等情况发生，视频分辨率要求为1280*720）</w:t>
            </w:r>
            <w:r>
              <w:rPr>
                <w:rFonts w:hint="eastAsia" w:ascii="宋体" w:hAnsi="宋体" w:cs="宋体"/>
                <w:kern w:val="0"/>
                <w:sz w:val="24"/>
              </w:rPr>
              <w:t>，请提前完善软硬件配置环境。</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lang w:val="zh-CN"/>
              </w:rPr>
            </w:pPr>
            <w:sdt>
              <w:sdtPr>
                <w:rPr>
                  <w:rFonts w:hint="eastAsia" w:ascii="宋体" w:hAnsi="宋体" w:cs="宋体"/>
                  <w:kern w:val="0"/>
                  <w:sz w:val="24"/>
                </w:rPr>
                <w:id w:val="386232013"/>
                <w14:checkbox>
                  <w14:checked w14:val="0"/>
                  <w14:checkedState w14:val="00FE" w14:font="Wingdings"/>
                  <w14:uncheckedState w14:val="2610" w14:font="MS Gothic"/>
                </w14:checkbox>
              </w:sdtPr>
              <w:sdtEndPr>
                <w:rPr>
                  <w:rFonts w:hint="eastAsia" w:ascii="宋体" w:hAnsi="宋体" w:cs="宋体"/>
                  <w:kern w:val="0"/>
                  <w:sz w:val="24"/>
                  <w:lang w:val="zh-CN"/>
                </w:rPr>
              </w:sdtEndPr>
              <w:sdtContent>
                <w:r>
                  <w:rPr>
                    <w:rFonts w:hint="eastAsia" w:ascii="宋体" w:hAnsi="宋体" w:cs="宋体"/>
                    <w:kern w:val="0"/>
                    <w:sz w:val="24"/>
                    <w:lang w:val="zh-CN"/>
                  </w:rPr>
                  <w:t>☐</w:t>
                </w:r>
              </w:sdtContent>
            </w:sdt>
            <w:r>
              <w:rPr>
                <w:rFonts w:hint="eastAsia" w:ascii="宋体" w:hAnsi="宋体" w:cs="宋体"/>
                <w:kern w:val="0"/>
                <w:sz w:val="24"/>
                <w:lang w:val="zh-CN"/>
              </w:rPr>
              <w:t>依据国家确定的认证机构出具的、处于有效期之内的节能产品认证证书，对获得证书的产品实施政府优先采购或强制采购；</w:t>
            </w:r>
          </w:p>
          <w:p>
            <w:pPr>
              <w:spacing w:line="360" w:lineRule="auto"/>
              <w:rPr>
                <w:rFonts w:ascii="宋体" w:hAnsi="宋体" w:cs="宋体"/>
                <w:kern w:val="0"/>
                <w:sz w:val="24"/>
                <w:lang w:val="zh-CN"/>
              </w:rPr>
            </w:pPr>
            <w:r>
              <w:rPr>
                <w:rFonts w:hint="eastAsia" w:ascii="宋体" w:hAnsi="宋体" w:cs="宋体"/>
                <w:kern w:val="0"/>
                <w:sz w:val="24"/>
                <w:lang w:val="zh-CN"/>
              </w:rPr>
              <w:t>其中，对</w:t>
            </w:r>
            <w:r>
              <w:rPr>
                <w:rFonts w:hint="eastAsia" w:ascii="宋体" w:hAnsi="宋体" w:cs="宋体"/>
                <w:kern w:val="0"/>
                <w:sz w:val="24"/>
                <w:u w:val="single"/>
              </w:rPr>
              <w:t xml:space="preserve">      </w:t>
            </w:r>
            <w:r>
              <w:rPr>
                <w:rFonts w:hint="eastAsia" w:ascii="宋体" w:hAnsi="宋体" w:cs="宋体"/>
                <w:kern w:val="0"/>
                <w:sz w:val="24"/>
                <w:lang w:val="zh-CN"/>
              </w:rPr>
              <w:t>实施政府优先采购，</w:t>
            </w:r>
            <w:r>
              <w:rPr>
                <w:rFonts w:hint="eastAsia" w:ascii="宋体" w:hAnsi="宋体" w:cs="宋体"/>
                <w:kern w:val="0"/>
                <w:sz w:val="24"/>
              </w:rPr>
              <w:t>详</w:t>
            </w:r>
            <w:r>
              <w:rPr>
                <w:rFonts w:hint="eastAsia" w:ascii="宋体" w:hAnsi="宋体" w:cs="宋体"/>
                <w:kern w:val="0"/>
                <w:sz w:val="24"/>
                <w:lang w:val="zh-CN"/>
              </w:rPr>
              <w:t>见</w:t>
            </w:r>
            <w:r>
              <w:rPr>
                <w:rFonts w:hint="eastAsia" w:ascii="宋体" w:hAnsi="宋体" w:cs="宋体"/>
                <w:kern w:val="0"/>
                <w:sz w:val="24"/>
                <w:u w:val="single"/>
                <w:lang w:val="zh-CN"/>
              </w:rPr>
              <w:t>评分标准</w:t>
            </w:r>
            <w:r>
              <w:rPr>
                <w:rFonts w:hint="eastAsia" w:ascii="宋体" w:hAnsi="宋体" w:cs="宋体"/>
                <w:kern w:val="0"/>
                <w:sz w:val="24"/>
                <w:lang w:val="zh-CN"/>
              </w:rPr>
              <w:t>；</w:t>
            </w:r>
          </w:p>
          <w:p>
            <w:pPr>
              <w:spacing w:line="360" w:lineRule="auto"/>
              <w:rPr>
                <w:rFonts w:ascii="宋体" w:hAnsi="宋体" w:cs="宋体"/>
                <w:kern w:val="0"/>
                <w:sz w:val="24"/>
                <w:lang w:val="zh-CN"/>
              </w:rPr>
            </w:pPr>
            <w:r>
              <w:rPr>
                <w:rFonts w:hint="eastAsia" w:ascii="宋体" w:hAnsi="宋体" w:cs="宋体"/>
                <w:sz w:val="24"/>
              </w:rPr>
              <w:t>▲</w:t>
            </w:r>
            <w:r>
              <w:rPr>
                <w:rFonts w:hint="eastAsia" w:ascii="宋体" w:hAnsi="宋体" w:cs="宋体"/>
                <w:kern w:val="0"/>
                <w:sz w:val="24"/>
                <w:lang w:val="zh-CN"/>
              </w:rPr>
              <w:t>对</w:t>
            </w:r>
            <w:r>
              <w:rPr>
                <w:rFonts w:hint="eastAsia" w:ascii="宋体" w:hAnsi="宋体" w:cs="宋体"/>
                <w:kern w:val="0"/>
                <w:sz w:val="24"/>
                <w:u w:val="single"/>
              </w:rPr>
              <w:t xml:space="preserve">      </w:t>
            </w:r>
            <w:r>
              <w:rPr>
                <w:rFonts w:hint="eastAsia" w:ascii="宋体" w:hAnsi="宋体" w:cs="宋体"/>
                <w:kern w:val="0"/>
                <w:sz w:val="24"/>
                <w:lang w:val="zh-CN"/>
              </w:rPr>
              <w:t>实施政府强制采购，</w:t>
            </w:r>
            <w:r>
              <w:rPr>
                <w:rFonts w:hint="eastAsia" w:ascii="宋体" w:hAnsi="宋体" w:cs="宋体"/>
                <w:b/>
                <w:bCs/>
                <w:kern w:val="0"/>
                <w:sz w:val="24"/>
                <w:lang w:val="zh-CN"/>
              </w:rPr>
              <w:t>投标人</w:t>
            </w:r>
            <w:r>
              <w:rPr>
                <w:rFonts w:hint="eastAsia" w:ascii="宋体" w:hAnsi="宋体" w:cs="宋体"/>
                <w:b/>
                <w:bCs/>
                <w:kern w:val="0"/>
                <w:sz w:val="24"/>
              </w:rPr>
              <w:t>就</w:t>
            </w:r>
            <w:r>
              <w:rPr>
                <w:rFonts w:hint="eastAsia" w:ascii="宋体" w:hAnsi="宋体" w:cs="宋体"/>
                <w:b/>
                <w:bCs/>
                <w:kern w:val="0"/>
                <w:sz w:val="24"/>
                <w:lang w:val="zh-CN"/>
              </w:rPr>
              <w:t>相应的投标产品未</w:t>
            </w:r>
            <w:r>
              <w:rPr>
                <w:rFonts w:hint="eastAsia" w:ascii="宋体" w:hAnsi="宋体" w:cs="宋体"/>
                <w:b/>
                <w:bCs/>
                <w:kern w:val="0"/>
                <w:sz w:val="24"/>
              </w:rPr>
              <w:t>提供</w:t>
            </w:r>
            <w:r>
              <w:rPr>
                <w:rFonts w:hint="eastAsia" w:ascii="宋体" w:hAnsi="宋体" w:cs="宋体"/>
                <w:b/>
                <w:bCs/>
                <w:kern w:val="0"/>
                <w:sz w:val="24"/>
                <w:lang w:val="zh-CN"/>
              </w:rPr>
              <w:t>国家确定的认证机构出具的、处于有效期之内的节能产品认证证书的，投标无效</w:t>
            </w:r>
            <w:r>
              <w:rPr>
                <w:rFonts w:hint="eastAsia" w:ascii="宋体" w:hAnsi="宋体" w:cs="宋体"/>
                <w:kern w:val="0"/>
                <w:sz w:val="24"/>
                <w:lang w:val="zh-CN"/>
              </w:rPr>
              <w:t>。</w:t>
            </w:r>
          </w:p>
          <w:p>
            <w:pPr>
              <w:spacing w:line="360" w:lineRule="auto"/>
              <w:rPr>
                <w:rFonts w:ascii="宋体" w:hAnsi="宋体" w:cs="宋体"/>
                <w:kern w:val="0"/>
                <w:sz w:val="24"/>
                <w:lang w:val="zh-CN"/>
              </w:rPr>
            </w:pPr>
            <w:sdt>
              <w:sdtPr>
                <w:rPr>
                  <w:rFonts w:hint="eastAsia" w:ascii="宋体" w:hAnsi="宋体" w:cs="宋体"/>
                  <w:kern w:val="0"/>
                  <w:sz w:val="24"/>
                  <w:lang w:val="zh-CN"/>
                </w:rPr>
                <w:id w:val="93515011"/>
                <w14:checkbox>
                  <w14:checked w14:val="0"/>
                  <w14:checkedState w14:val="00FE" w14:font="Wingdings"/>
                  <w14:uncheckedState w14:val="2610" w14:font="MS Gothic"/>
                </w14:checkbox>
              </w:sdtPr>
              <w:sdtEndPr>
                <w:rPr>
                  <w:rFonts w:hint="eastAsia" w:ascii="宋体" w:hAnsi="宋体" w:cs="宋体"/>
                  <w:kern w:val="0"/>
                  <w:sz w:val="24"/>
                  <w:lang w:val="zh-CN"/>
                </w:rPr>
              </w:sdtEndPr>
              <w:sdtContent>
                <w:r>
                  <w:rPr>
                    <w:rFonts w:hint="eastAsia" w:ascii="宋体" w:hAnsi="宋体" w:cs="宋体"/>
                    <w:kern w:val="0"/>
                    <w:sz w:val="24"/>
                    <w:lang w:val="zh-CN"/>
                  </w:rPr>
                  <w:t>☐</w:t>
                </w:r>
              </w:sdtContent>
            </w:sdt>
            <w:r>
              <w:rPr>
                <w:rFonts w:hint="eastAsia" w:ascii="宋体" w:hAnsi="宋体" w:cs="宋体"/>
                <w:kern w:val="0"/>
                <w:sz w:val="24"/>
                <w:lang w:val="zh-CN"/>
              </w:rPr>
              <w:t>依据国家确定的认证机构出具的、处于有效期之内的环境标志产品认证证书，对获得证书的产品名称</w:t>
            </w:r>
            <w:r>
              <w:rPr>
                <w:rFonts w:hint="eastAsia" w:ascii="宋体" w:hAnsi="宋体" w:cs="宋体"/>
                <w:kern w:val="0"/>
                <w:sz w:val="24"/>
                <w:u w:val="single"/>
              </w:rPr>
              <w:t xml:space="preserve">      </w:t>
            </w:r>
            <w:r>
              <w:rPr>
                <w:rFonts w:hint="eastAsia" w:ascii="宋体" w:hAnsi="宋体" w:cs="宋体"/>
                <w:kern w:val="0"/>
                <w:sz w:val="24"/>
                <w:lang w:val="zh-CN"/>
              </w:rPr>
              <w:t>实施政府优先采购，</w:t>
            </w:r>
            <w:r>
              <w:rPr>
                <w:rFonts w:hint="eastAsia" w:ascii="宋体" w:hAnsi="宋体" w:cs="宋体"/>
                <w:kern w:val="0"/>
                <w:sz w:val="24"/>
              </w:rPr>
              <w:t>详</w:t>
            </w:r>
            <w:r>
              <w:rPr>
                <w:rFonts w:hint="eastAsia" w:ascii="宋体" w:hAnsi="宋体" w:cs="宋体"/>
                <w:kern w:val="0"/>
                <w:sz w:val="24"/>
                <w:lang w:val="zh-CN"/>
              </w:rPr>
              <w:t>见</w:t>
            </w:r>
            <w:r>
              <w:rPr>
                <w:rFonts w:hint="eastAsia" w:ascii="宋体" w:hAnsi="宋体" w:cs="宋体"/>
                <w:kern w:val="0"/>
                <w:sz w:val="24"/>
                <w:u w:val="single"/>
                <w:lang w:val="zh-CN"/>
              </w:rPr>
              <w:t>评分标准</w:t>
            </w:r>
            <w:r>
              <w:rPr>
                <w:rFonts w:hint="eastAsia" w:ascii="宋体" w:hAnsi="宋体" w:cs="宋体"/>
                <w:kern w:val="0"/>
                <w:sz w:val="24"/>
                <w:lang w:val="zh-CN"/>
              </w:rPr>
              <w:t>。</w:t>
            </w:r>
          </w:p>
          <w:p>
            <w:pPr>
              <w:snapToGrid w:val="0"/>
              <w:spacing w:line="360" w:lineRule="auto"/>
              <w:rPr>
                <w:rFonts w:ascii="宋体" w:hAnsi="宋体" w:cs="宋体"/>
              </w:rPr>
            </w:pPr>
            <w:sdt>
              <w:sdtPr>
                <w:rPr>
                  <w:rFonts w:hint="eastAsia" w:ascii="宋体" w:hAnsi="宋体" w:cs="宋体"/>
                  <w:kern w:val="0"/>
                  <w:sz w:val="24"/>
                </w:rPr>
                <w:id w:val="-37800363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报价明显低于其他通过符合性审查投标人的报价，有可能影响产品（服务）质量或者不能诚信履约的，未能按要求提供书面说明或者提交相关证明材料证明其报价合理性的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9" w:hRule="atLeast"/>
          <w:jc w:val="cent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杭州市文一西路858号东3楼329办公室</w:t>
            </w:r>
            <w:r>
              <w:rPr>
                <w:rFonts w:hint="eastAsia" w:hAnsi="宋体" w:cs="宋体"/>
                <w:kern w:val="28"/>
                <w:sz w:val="24"/>
                <w:szCs w:val="24"/>
              </w:rPr>
              <w:t>；备份投标文件签收人员联系电话：</w:t>
            </w:r>
            <w:r>
              <w:rPr>
                <w:rFonts w:hint="eastAsia" w:hAnsi="宋体" w:cs="宋体"/>
                <w:sz w:val="24"/>
                <w:u w:val="single"/>
              </w:rPr>
              <w:t xml:space="preserve">  0571-89511007</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ascii="宋体" w:hAnsi="宋体" w:cs="宋体"/>
                  <w:kern w:val="0"/>
                  <w:sz w:val="24"/>
                </w:rPr>
                <w:id w:val="-181633666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联合体投标的，联合体各方均需按招标文件第四部分评标标准要求提供资信证明文件，否则视为不符合相关要求。招标文件第四部分评标标准有其他要求的，从其要求。</w:t>
            </w:r>
          </w:p>
          <w:p>
            <w:pPr>
              <w:spacing w:line="360" w:lineRule="auto"/>
              <w:rPr>
                <w:rFonts w:ascii="宋体" w:hAnsi="宋体" w:cs="宋体"/>
                <w:snapToGrid w:val="0"/>
                <w:kern w:val="28"/>
                <w:sz w:val="24"/>
              </w:rPr>
            </w:pPr>
            <w:sdt>
              <w:sdtPr>
                <w:rPr>
                  <w:rFonts w:hint="eastAsia" w:ascii="宋体" w:hAnsi="宋体" w:cs="宋体"/>
                  <w:kern w:val="0"/>
                  <w:sz w:val="24"/>
                </w:rPr>
                <w:id w:val="-23231189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联合体投标的，联合体中有一方或者联合体成员根据分工按招标文件第四部分评标标准要求提供资信证明文件的，视为符合了相关要求。招标文件第四部分评标标准有其他要求的，从其要求。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t>本项目评审报告推荐的中标候选人数量：1</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▲采购人拟采购的产品属于政府强制采购的节能产品品目清单范围的，投标人相应的投标产品未获得国家确定的认证机构出具的、处于有效期之内的节能产品认证证书的，投标无效（本项目不适用）。</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5"/>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pPr>
      <w:r>
        <w:rPr>
          <w:rFonts w:hint="eastAsia"/>
        </w:rPr>
        <w:t>4.4.5浙江省本级、杭州市本级、拱墅区、西湖区、富阳区政府采购项目投诉材料可寄送浙江省政府采购行政裁决服务中心（杭州），地址：杭州市上城区四季青街道新业路市民之家G03办公室，收件人：朱女士，电话：15121014815。</w:t>
      </w:r>
    </w:p>
    <w:p>
      <w:pPr>
        <w:pStyle w:val="888"/>
        <w:shd w:val="clear" w:color="auto" w:fill="FFFFFF"/>
        <w:snapToGrid w:val="0"/>
        <w:spacing w:after="240" w:afterAutospacing="0" w:line="360" w:lineRule="auto"/>
        <w:ind w:firstLine="400"/>
        <w:contextualSpacing/>
        <w:rPr>
          <w:sz w:val="18"/>
          <w:szCs w:val="18"/>
        </w:rPr>
      </w:pPr>
      <w:r>
        <w:rPr>
          <w:rFonts w:hint="eastAsia"/>
        </w:rPr>
        <w:t>投诉书范本及制作说明详见附件3。</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 招标文件的澄清、修改</w:t>
      </w:r>
    </w:p>
    <w:p>
      <w:pPr>
        <w:pStyle w:val="13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30"/>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5"/>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1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11.1.3落实政府采购政策需满足的资格要求；</w:t>
      </w:r>
    </w:p>
    <w:p>
      <w:pPr>
        <w:snapToGrid w:val="0"/>
        <w:spacing w:line="360" w:lineRule="auto"/>
        <w:ind w:firstLine="960" w:firstLineChars="400"/>
        <w:rPr>
          <w:rFonts w:ascii="宋体" w:hAnsi="宋体" w:cs="宋体"/>
          <w:sz w:val="24"/>
        </w:rPr>
      </w:pPr>
      <w:r>
        <w:rPr>
          <w:rFonts w:hint="eastAsia" w:ascii="宋体" w:hAnsi="宋体" w:cs="宋体"/>
          <w:sz w:val="24"/>
        </w:rPr>
        <w:t>11.1.4本项目的特定资格要求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11.2.4符合性审查资料；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11.2.5评标标准相应的商务技术资料；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11.2.6投标标的清单；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11.2.7商务技术偏离表；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rPr>
      </w:pPr>
      <w:r>
        <w:rPr>
          <w:rFonts w:hint="eastAsia" w:ascii="宋体" w:hAnsi="宋体" w:cs="宋体"/>
          <w:sz w:val="24"/>
        </w:rPr>
        <w:t>11.3.1开标一览表（报价表）。</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0"/>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有招标文件第四部分4.2规定的情形之一的，投标无效：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480"/>
        <w:rPr>
          <w:rFonts w:ascii="宋体" w:hAnsi="宋体" w:cs="宋体"/>
        </w:rPr>
      </w:pPr>
      <w:r>
        <w:rPr>
          <w:rFonts w:hint="eastAsia" w:ascii="宋体" w:hAnsi="宋体" w:cs="宋体"/>
        </w:rPr>
        <w:t>17.4在投标截止时间起至投标有效期届满，供应商投标文件不可撤销。</w:t>
      </w:r>
    </w:p>
    <w:p>
      <w:pPr>
        <w:pStyle w:val="130"/>
        <w:spacing w:before="0"/>
        <w:ind w:firstLine="643"/>
        <w:rPr>
          <w:rFonts w:ascii="宋体" w:hAnsi="宋体" w:cs="宋体"/>
          <w:b/>
          <w:sz w:val="32"/>
        </w:rPr>
      </w:pPr>
    </w:p>
    <w:p>
      <w:pPr>
        <w:pStyle w:val="13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556"/>
        <w:spacing w:before="0" w:line="360" w:lineRule="auto"/>
        <w:ind w:left="0" w:firstLine="241" w:firstLineChars="100"/>
        <w:contextualSpacing/>
        <w:rPr>
          <w:rFonts w:ascii="宋体" w:hAnsi="宋体" w:cs="宋体"/>
          <w:b/>
          <w:sz w:val="24"/>
        </w:rPr>
      </w:pPr>
      <w:r>
        <w:rPr>
          <w:rFonts w:hint="eastAsia" w:ascii="宋体" w:hAnsi="宋体" w:cs="宋体"/>
          <w:b/>
          <w:sz w:val="24"/>
        </w:rPr>
        <w:t>19、资格审查</w:t>
      </w:r>
    </w:p>
    <w:p>
      <w:pPr>
        <w:pStyle w:val="130"/>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0"/>
        <w:spacing w:before="0"/>
        <w:ind w:firstLine="241" w:firstLineChars="10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pacing w:line="360" w:lineRule="auto"/>
        <w:rPr>
          <w:rFonts w:ascii="宋体" w:hAnsi="宋体" w:cs="宋体"/>
          <w:b/>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pStyle w:val="6"/>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0"/>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30"/>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30"/>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290"/>
      <w:bookmarkEnd w:id="15"/>
      <w:bookmarkStart w:id="16" w:name="_Hlt74707468"/>
      <w:bookmarkEnd w:id="16"/>
      <w:bookmarkStart w:id="17" w:name="_Hlt68072998"/>
      <w:bookmarkEnd w:id="17"/>
      <w:bookmarkStart w:id="18" w:name="_Hlt68057669"/>
      <w:bookmarkEnd w:id="18"/>
      <w:bookmarkStart w:id="19" w:name="_Hlt74714665"/>
      <w:bookmarkEnd w:id="19"/>
      <w:bookmarkStart w:id="20" w:name="_Hlt74729768"/>
      <w:bookmarkEnd w:id="20"/>
      <w:bookmarkStart w:id="21" w:name="_Hlt68072990"/>
      <w:bookmarkEnd w:id="21"/>
      <w:bookmarkStart w:id="22" w:name="_Hlt68073093"/>
      <w:bookmarkEnd w:id="22"/>
      <w:bookmarkStart w:id="23" w:name="_Hlt75236101"/>
      <w:bookmarkEnd w:id="23"/>
      <w:bookmarkStart w:id="24" w:name="_Hlt74730295"/>
      <w:bookmarkEnd w:id="24"/>
      <w:bookmarkStart w:id="25" w:name="_Hlt75236011"/>
      <w:bookmarkEnd w:id="25"/>
      <w:bookmarkStart w:id="26" w:name="_Hlt68403820"/>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adjustRightInd/>
        <w:spacing w:line="360" w:lineRule="auto"/>
        <w:ind w:firstLine="482" w:firstLineChars="200"/>
        <w:rPr>
          <w:rFonts w:ascii="宋体" w:hAnsi="宋体" w:cs="宋体"/>
          <w:b/>
          <w:kern w:val="0"/>
          <w:sz w:val="24"/>
        </w:rPr>
      </w:pPr>
      <w:r>
        <w:rPr>
          <w:rFonts w:hint="eastAsia" w:ascii="宋体" w:hAnsi="宋体" w:cs="宋体"/>
          <w:b/>
          <w:bCs/>
          <w:sz w:val="24"/>
          <w:lang w:eastAsia="zh-Hans"/>
        </w:rPr>
        <w:t>（</w:t>
      </w:r>
      <w:r>
        <w:rPr>
          <w:rFonts w:hint="eastAsia" w:ascii="宋体" w:hAnsi="宋体" w:cs="宋体"/>
          <w:b/>
          <w:bCs/>
          <w:sz w:val="24"/>
          <w:lang w:eastAsia="zh-CN"/>
        </w:rPr>
        <w:t>一</w:t>
      </w:r>
      <w:r>
        <w:rPr>
          <w:rFonts w:hint="eastAsia" w:ascii="宋体" w:hAnsi="宋体" w:cs="宋体"/>
          <w:b/>
          <w:bCs/>
          <w:sz w:val="24"/>
          <w:lang w:eastAsia="zh-Hans"/>
        </w:rPr>
        <w:t>）</w:t>
      </w:r>
      <w:r>
        <w:rPr>
          <w:rFonts w:hint="eastAsia" w:ascii="宋体" w:hAnsi="宋体" w:cs="宋体"/>
          <w:b/>
          <w:kern w:val="0"/>
          <w:sz w:val="24"/>
        </w:rPr>
        <w:t>项目概况</w:t>
      </w:r>
    </w:p>
    <w:p>
      <w:pPr>
        <w:adjustRightInd/>
        <w:spacing w:line="360" w:lineRule="auto"/>
        <w:ind w:firstLine="480" w:firstLineChars="200"/>
        <w:rPr>
          <w:rFonts w:hint="eastAsia" w:hAnsi="宋体" w:cs="宋体"/>
          <w:sz w:val="24"/>
        </w:rPr>
      </w:pPr>
      <w:r>
        <w:rPr>
          <w:rFonts w:hint="eastAsia" w:hAnsi="宋体" w:cs="宋体"/>
          <w:bCs/>
          <w:snapToGrid/>
          <w:color w:val="auto"/>
          <w:kern w:val="2"/>
          <w:sz w:val="24"/>
          <w:szCs w:val="24"/>
        </w:rPr>
        <w:t>杭州市西湖高级中学保安服务采购项目。位于</w:t>
      </w:r>
      <w:r>
        <w:rPr>
          <w:rFonts w:hAnsi="宋体"/>
          <w:sz w:val="24"/>
        </w:rPr>
        <w:t>浙江省杭州市西</w:t>
      </w:r>
      <w:r>
        <w:rPr>
          <w:rFonts w:hint="eastAsia" w:hAnsi="宋体"/>
          <w:sz w:val="24"/>
        </w:rPr>
        <w:t>湖区留下大街21</w:t>
      </w:r>
      <w:r>
        <w:rPr>
          <w:rFonts w:hAnsi="宋体"/>
          <w:sz w:val="24"/>
        </w:rPr>
        <w:t>号</w:t>
      </w:r>
      <w:r>
        <w:rPr>
          <w:rFonts w:hint="eastAsia" w:hAnsi="宋体" w:cs="宋体"/>
          <w:sz w:val="24"/>
        </w:rPr>
        <w:t xml:space="preserve">。依据学校安防工作要求和标准，为学校采购保安服务，按当前服务面积、学生数测算，需 </w:t>
      </w:r>
      <w:r>
        <w:rPr>
          <w:rFonts w:hAnsi="宋体" w:cs="宋体"/>
          <w:sz w:val="24"/>
        </w:rPr>
        <w:t>6</w:t>
      </w:r>
      <w:r>
        <w:rPr>
          <w:rFonts w:hint="eastAsia" w:hAnsi="宋体" w:cs="宋体"/>
          <w:sz w:val="24"/>
        </w:rPr>
        <w:t xml:space="preserve"> 名专职保安员。服务内容包括并不限于日常固定岗执勤、巡查、安全防范、消防等。</w:t>
      </w:r>
    </w:p>
    <w:p>
      <w:pPr>
        <w:adjustRightInd/>
        <w:spacing w:line="360" w:lineRule="auto"/>
        <w:ind w:firstLine="482" w:firstLineChars="200"/>
        <w:rPr>
          <w:rFonts w:ascii="宋体" w:hAnsi="宋体" w:cs="宋体"/>
          <w:b/>
          <w:bCs/>
          <w:sz w:val="24"/>
          <w:lang w:eastAsia="zh-Hans"/>
        </w:rPr>
      </w:pPr>
      <w:r>
        <w:rPr>
          <w:rFonts w:hint="eastAsia" w:ascii="宋体" w:hAnsi="宋体" w:cs="宋体"/>
          <w:b/>
          <w:bCs/>
          <w:sz w:val="24"/>
          <w:lang w:eastAsia="zh-Hans"/>
        </w:rPr>
        <w:t>（二）服务期限</w:t>
      </w:r>
    </w:p>
    <w:p>
      <w:pPr>
        <w:adjustRightInd/>
        <w:spacing w:line="360" w:lineRule="auto"/>
        <w:ind w:firstLine="480" w:firstLineChars="200"/>
        <w:rPr>
          <w:rFonts w:ascii="宋体" w:hAnsi="宋体" w:cs="宋体"/>
          <w:sz w:val="24"/>
          <w:lang w:eastAsia="zh-Hans"/>
        </w:rPr>
      </w:pPr>
      <w:r>
        <w:rPr>
          <w:rFonts w:hint="eastAsia" w:ascii="宋体" w:hAnsi="宋体" w:cs="宋体"/>
          <w:sz w:val="24"/>
          <w:lang w:eastAsia="zh-Hans"/>
        </w:rPr>
        <w:t>自合同签订之日起1年。合同履行期内若供应商达不到考核要求，采购单位可按有关程序终止服务合同，另行招标采购。</w:t>
      </w:r>
    </w:p>
    <w:p>
      <w:pPr>
        <w:widowControl/>
        <w:adjustRightInd/>
        <w:spacing w:before="120" w:beforeLines="50" w:line="360" w:lineRule="auto"/>
        <w:ind w:firstLine="482" w:firstLineChars="200"/>
        <w:outlineLvl w:val="0"/>
        <w:rPr>
          <w:rFonts w:ascii="宋体" w:hAnsi="宋体" w:cs="宋体"/>
          <w:b/>
          <w:sz w:val="24"/>
        </w:rPr>
      </w:pPr>
      <w:r>
        <w:rPr>
          <w:rFonts w:hint="eastAsia" w:ascii="宋体" w:hAnsi="宋体" w:cs="宋体"/>
          <w:b/>
          <w:sz w:val="24"/>
        </w:rPr>
        <w:t>（三）人员配置要求</w:t>
      </w:r>
    </w:p>
    <w:p>
      <w:pPr>
        <w:pStyle w:val="2"/>
        <w:contextualSpacing/>
        <w:rPr>
          <w:rFonts w:hAnsi="宋体" w:cs="宋体"/>
          <w:kern w:val="0"/>
          <w:szCs w:val="24"/>
          <w:lang w:val="en-US"/>
        </w:rPr>
      </w:pPr>
      <w:r>
        <w:rPr>
          <w:rFonts w:hint="eastAsia" w:hAnsi="宋体" w:cs="宋体"/>
          <w:szCs w:val="24"/>
        </w:rPr>
        <w:t>▲</w:t>
      </w:r>
      <w:r>
        <w:rPr>
          <w:rFonts w:hint="eastAsia" w:hAnsi="宋体" w:cs="宋体"/>
          <w:kern w:val="0"/>
          <w:szCs w:val="24"/>
          <w:lang w:val="en-US"/>
        </w:rPr>
        <w:t xml:space="preserve">1.保安人员配置数量不少于 </w:t>
      </w:r>
      <w:r>
        <w:rPr>
          <w:rFonts w:hAnsi="宋体" w:cs="宋体"/>
          <w:kern w:val="0"/>
          <w:szCs w:val="24"/>
          <w:lang w:val="en-US"/>
        </w:rPr>
        <w:t>6</w:t>
      </w:r>
      <w:r>
        <w:rPr>
          <w:rFonts w:hint="eastAsia" w:hAnsi="宋体" w:cs="宋体"/>
          <w:kern w:val="0"/>
          <w:szCs w:val="24"/>
          <w:lang w:val="en-US"/>
        </w:rPr>
        <w:t xml:space="preserve"> 人，配置人数详见下表。</w:t>
      </w:r>
    </w:p>
    <w:p>
      <w:pPr>
        <w:pStyle w:val="4"/>
        <w:spacing w:line="360" w:lineRule="auto"/>
        <w:ind w:left="0" w:leftChars="0"/>
        <w:contextualSpacing/>
        <w:jc w:val="center"/>
        <w:rPr>
          <w:rFonts w:ascii="宋体" w:hAnsi="宋体" w:cs="宋体"/>
          <w:b/>
          <w:bCs/>
          <w:sz w:val="24"/>
        </w:rPr>
      </w:pPr>
      <w:r>
        <w:rPr>
          <w:rFonts w:hint="eastAsia" w:ascii="宋体" w:hAnsi="宋体" w:cs="宋体"/>
          <w:b/>
          <w:bCs/>
          <w:sz w:val="24"/>
        </w:rPr>
        <w:t>保安人员岗位及人员配置需求表</w:t>
      </w:r>
    </w:p>
    <w:tbl>
      <w:tblPr>
        <w:tblStyle w:val="62"/>
        <w:tblW w:w="8784" w:type="dxa"/>
        <w:jc w:val="center"/>
        <w:tblLayout w:type="fixed"/>
        <w:tblCellMar>
          <w:top w:w="0" w:type="dxa"/>
          <w:left w:w="108" w:type="dxa"/>
          <w:bottom w:w="0" w:type="dxa"/>
          <w:right w:w="108" w:type="dxa"/>
        </w:tblCellMar>
      </w:tblPr>
      <w:tblGrid>
        <w:gridCol w:w="523"/>
        <w:gridCol w:w="2449"/>
        <w:gridCol w:w="1701"/>
        <w:gridCol w:w="1843"/>
        <w:gridCol w:w="2268"/>
      </w:tblGrid>
      <w:tr>
        <w:trPr>
          <w:jc w:val="center"/>
        </w:trPr>
        <w:tc>
          <w:tcPr>
            <w:tcW w:w="52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244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b/>
                <w:bCs/>
                <w:color w:val="000000"/>
                <w:sz w:val="24"/>
              </w:rPr>
            </w:pPr>
            <w:r>
              <w:rPr>
                <w:rFonts w:hint="eastAsia" w:ascii="宋体" w:hAnsi="宋体" w:cs="宋体"/>
                <w:b/>
                <w:bCs/>
                <w:color w:val="000000"/>
                <w:kern w:val="0"/>
                <w:sz w:val="24"/>
                <w:lang w:bidi="ar"/>
              </w:rPr>
              <w:t>单位名称</w:t>
            </w:r>
          </w:p>
        </w:tc>
        <w:tc>
          <w:tcPr>
            <w:tcW w:w="5812"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b/>
                <w:bCs/>
                <w:color w:val="000000"/>
                <w:sz w:val="24"/>
              </w:rPr>
            </w:pPr>
            <w:r>
              <w:rPr>
                <w:rFonts w:hint="eastAsia" w:ascii="宋体" w:hAnsi="宋体" w:cs="宋体"/>
                <w:b/>
                <w:bCs/>
                <w:color w:val="000000"/>
                <w:kern w:val="0"/>
                <w:sz w:val="24"/>
                <w:lang w:bidi="ar"/>
              </w:rPr>
              <w:t>保安人数配置（最少人数）</w:t>
            </w:r>
          </w:p>
        </w:tc>
      </w:tr>
      <w:tr>
        <w:tblPrEx>
          <w:tblCellMar>
            <w:top w:w="0" w:type="dxa"/>
            <w:left w:w="108" w:type="dxa"/>
            <w:bottom w:w="0" w:type="dxa"/>
            <w:right w:w="108" w:type="dxa"/>
          </w:tblCellMar>
        </w:tblPrEx>
        <w:trPr>
          <w:jc w:val="center"/>
        </w:trPr>
        <w:tc>
          <w:tcPr>
            <w:tcW w:w="52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jc w:val="center"/>
              <w:rPr>
                <w:rFonts w:ascii="宋体" w:hAnsi="宋体" w:cs="宋体"/>
                <w:b/>
                <w:bCs/>
                <w:color w:val="000000"/>
                <w:sz w:val="24"/>
              </w:rPr>
            </w:pPr>
          </w:p>
        </w:tc>
        <w:tc>
          <w:tcPr>
            <w:tcW w:w="244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jc w:val="center"/>
              <w:rPr>
                <w:rFonts w:ascii="宋体" w:hAnsi="宋体" w:cs="宋体"/>
                <w:b/>
                <w:bCs/>
                <w:color w:val="00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center"/>
              <w:textAlignment w:val="center"/>
              <w:rPr>
                <w:rFonts w:ascii="宋体" w:hAnsi="宋体" w:cs="宋体"/>
                <w:b/>
                <w:bCs/>
                <w:color w:val="000000"/>
                <w:sz w:val="24"/>
              </w:rPr>
            </w:pPr>
            <w:r>
              <w:rPr>
                <w:rFonts w:hint="eastAsia" w:ascii="宋体" w:hAnsi="宋体" w:cs="宋体"/>
                <w:b/>
                <w:bCs/>
                <w:color w:val="000000"/>
                <w:sz w:val="24"/>
              </w:rPr>
              <w:t>保安队长</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center"/>
              <w:textAlignment w:val="center"/>
              <w:rPr>
                <w:rFonts w:ascii="宋体" w:hAnsi="宋体" w:cs="宋体"/>
                <w:b/>
                <w:bCs/>
                <w:color w:val="000000"/>
                <w:sz w:val="24"/>
              </w:rPr>
            </w:pPr>
            <w:r>
              <w:rPr>
                <w:rFonts w:hint="eastAsia" w:ascii="宋体" w:hAnsi="宋体" w:cs="宋体"/>
                <w:b/>
                <w:bCs/>
                <w:color w:val="000000"/>
                <w:kern w:val="0"/>
                <w:sz w:val="24"/>
                <w:lang w:bidi="ar"/>
              </w:rPr>
              <w:t>普保人数</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center"/>
              <w:textAlignment w:val="center"/>
              <w:rPr>
                <w:rFonts w:ascii="宋体" w:hAnsi="宋体" w:cs="宋体"/>
                <w:b/>
                <w:bCs/>
                <w:color w:val="000000"/>
                <w:sz w:val="24"/>
              </w:rPr>
            </w:pPr>
            <w:r>
              <w:rPr>
                <w:rFonts w:hint="eastAsia" w:ascii="宋体" w:hAnsi="宋体" w:cs="宋体"/>
                <w:b/>
                <w:bCs/>
                <w:color w:val="000000"/>
                <w:kern w:val="0"/>
                <w:sz w:val="24"/>
                <w:lang w:bidi="ar"/>
              </w:rPr>
              <w:t>合计人数</w:t>
            </w:r>
          </w:p>
        </w:tc>
      </w:tr>
      <w:tr>
        <w:tblPrEx>
          <w:tblCellMar>
            <w:top w:w="0" w:type="dxa"/>
            <w:left w:w="108" w:type="dxa"/>
            <w:bottom w:w="0" w:type="dxa"/>
            <w:right w:w="108" w:type="dxa"/>
          </w:tblCellMar>
        </w:tblPrEx>
        <w:trPr>
          <w:jc w:val="center"/>
        </w:trPr>
        <w:tc>
          <w:tcPr>
            <w:tcW w:w="52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2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center"/>
              <w:textAlignment w:val="center"/>
              <w:rPr>
                <w:rFonts w:ascii="宋体" w:hAnsi="宋体" w:cs="宋体"/>
                <w:color w:val="000000"/>
                <w:sz w:val="24"/>
              </w:rPr>
            </w:pPr>
            <w:r>
              <w:rPr>
                <w:rFonts w:hint="eastAsia" w:ascii="宋体" w:hAnsi="宋体" w:cs="宋体"/>
                <w:bCs/>
                <w:color w:val="000000"/>
                <w:kern w:val="0"/>
                <w:sz w:val="24"/>
                <w:lang w:bidi="ar"/>
              </w:rPr>
              <w:t>杭州市西湖高级中学</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color w:val="000000"/>
                <w:sz w:val="24"/>
              </w:rPr>
            </w:pPr>
            <w:r>
              <w:rPr>
                <w:rFonts w:hint="eastAsia" w:ascii="宋体" w:hAnsi="宋体" w:cs="宋体"/>
                <w:color w:val="000000"/>
                <w:sz w:val="24"/>
              </w:rPr>
              <w:t>1</w:t>
            </w:r>
          </w:p>
        </w:tc>
        <w:tc>
          <w:tcPr>
            <w:tcW w:w="184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color w:val="000000"/>
                <w:sz w:val="24"/>
              </w:rPr>
            </w:pPr>
            <w:r>
              <w:rPr>
                <w:rFonts w:ascii="宋体" w:hAnsi="宋体" w:cs="宋体"/>
                <w:color w:val="000000"/>
                <w:sz w:val="24"/>
              </w:rPr>
              <w:t>5</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color w:val="000000"/>
                <w:sz w:val="24"/>
              </w:rPr>
            </w:pPr>
            <w:r>
              <w:rPr>
                <w:rFonts w:ascii="宋体" w:hAnsi="宋体" w:cs="宋体"/>
                <w:color w:val="000000"/>
                <w:sz w:val="24"/>
              </w:rPr>
              <w:t>6</w:t>
            </w:r>
          </w:p>
        </w:tc>
      </w:tr>
    </w:tbl>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2.本项目拟派的</w:t>
      </w:r>
      <w:r>
        <w:rPr>
          <w:rFonts w:hint="eastAsia" w:ascii="宋体" w:hAnsi="宋体" w:cs="宋体"/>
          <w:sz w:val="24"/>
          <w:lang w:eastAsia="zh-CN"/>
        </w:rPr>
        <w:t>保安队长</w:t>
      </w:r>
      <w:r>
        <w:rPr>
          <w:rFonts w:hint="eastAsia" w:ascii="宋体" w:hAnsi="宋体" w:cs="宋体"/>
          <w:sz w:val="24"/>
        </w:rPr>
        <w:t>须具有</w:t>
      </w:r>
      <w:r>
        <w:rPr>
          <w:rFonts w:hint="eastAsia" w:ascii="宋体" w:hAnsi="宋体" w:cs="宋体"/>
          <w:sz w:val="24"/>
          <w:lang w:eastAsia="zh-CN"/>
        </w:rPr>
        <w:t>专科及以上学历，普保人员须具有</w:t>
      </w:r>
      <w:r>
        <w:rPr>
          <w:rFonts w:hint="eastAsia" w:ascii="宋体" w:hAnsi="宋体" w:cs="宋体"/>
          <w:sz w:val="24"/>
        </w:rPr>
        <w:t>初中以上学历，年龄须在18-55周岁（含）。</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3.本项目派驻的人员须全部持有保安员证书，24小时人员在岗。</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4.品行端正，应知法、懂法、守法，依法办事，热爱保安工作，必须严格遵守保安从业规范，模范遵守安全管理规定。</w:t>
      </w:r>
    </w:p>
    <w:p>
      <w:pPr>
        <w:tabs>
          <w:tab w:val="left" w:pos="1571"/>
        </w:tabs>
        <w:spacing w:line="360" w:lineRule="auto"/>
        <w:ind w:firstLine="480" w:firstLineChars="200"/>
        <w:contextualSpacing/>
        <w:rPr>
          <w:rFonts w:hint="eastAsia" w:ascii="宋体" w:hAnsi="宋体" w:eastAsia="宋体" w:cs="宋体"/>
          <w:sz w:val="24"/>
          <w:lang w:eastAsia="zh-CN"/>
        </w:rPr>
      </w:pPr>
      <w:r>
        <w:rPr>
          <w:rFonts w:hint="eastAsia" w:ascii="宋体" w:hAnsi="宋体" w:cs="宋体"/>
          <w:sz w:val="24"/>
        </w:rPr>
        <w:t>5.拟派人员均</w:t>
      </w:r>
      <w:r>
        <w:rPr>
          <w:rFonts w:hint="eastAsia" w:ascii="宋体" w:hAnsi="宋体" w:cs="宋体"/>
          <w:sz w:val="24"/>
          <w:lang w:eastAsia="zh-CN"/>
        </w:rPr>
        <w:t>需提供由公安部出具的无</w:t>
      </w:r>
      <w:r>
        <w:rPr>
          <w:rFonts w:hint="eastAsia" w:ascii="宋体" w:hAnsi="宋体" w:cs="宋体"/>
          <w:sz w:val="24"/>
        </w:rPr>
        <w:t>犯罪记录</w:t>
      </w:r>
      <w:r>
        <w:rPr>
          <w:rFonts w:hint="eastAsia" w:ascii="宋体" w:hAnsi="宋体" w:cs="宋体"/>
          <w:sz w:val="24"/>
          <w:lang w:eastAsia="zh-CN"/>
        </w:rPr>
        <w:t>证明。</w:t>
      </w:r>
    </w:p>
    <w:p>
      <w:pPr>
        <w:tabs>
          <w:tab w:val="left" w:pos="720"/>
        </w:tabs>
        <w:spacing w:line="360" w:lineRule="auto"/>
        <w:ind w:firstLine="480" w:firstLineChars="200"/>
        <w:contextualSpacing/>
        <w:rPr>
          <w:rFonts w:ascii="宋体" w:hAnsi="宋体" w:cs="宋体"/>
          <w:sz w:val="24"/>
        </w:rPr>
      </w:pPr>
      <w:r>
        <w:rPr>
          <w:rFonts w:hint="eastAsia" w:ascii="宋体" w:hAnsi="宋体" w:cs="宋体"/>
          <w:sz w:val="24"/>
        </w:rPr>
        <w:t>6.本项目拟派的人员身体健康，没有传染病及精神病等不能控制自己行为能力的疾病病史，体貌端正，无纹身，无染发，反应灵敏，具有一定的应变和说服能力，会讲普通话。</w:t>
      </w:r>
    </w:p>
    <w:p>
      <w:pPr>
        <w:tabs>
          <w:tab w:val="left" w:pos="720"/>
        </w:tabs>
        <w:spacing w:line="360" w:lineRule="auto"/>
        <w:ind w:firstLine="480" w:firstLineChars="200"/>
        <w:contextualSpacing/>
        <w:rPr>
          <w:rFonts w:ascii="宋体" w:hAnsi="宋体" w:cs="宋体"/>
          <w:sz w:val="24"/>
        </w:rPr>
      </w:pPr>
      <w:r>
        <w:rPr>
          <w:rFonts w:hint="eastAsia" w:ascii="宋体" w:hAnsi="宋体" w:cs="宋体"/>
          <w:sz w:val="24"/>
        </w:rPr>
        <w:t>7.本项目拟派的保安人员必须参加保安培训单位组织的岗前培训，经培训合格后方可上岗。拟派的保安人员须熟知采购人的管理规定，严格履行岗位职责，善于发现各类问题，具备一定的管理经验和处理突发事件能力。</w:t>
      </w:r>
    </w:p>
    <w:p>
      <w:pPr>
        <w:tabs>
          <w:tab w:val="left" w:pos="720"/>
        </w:tabs>
        <w:spacing w:line="360" w:lineRule="auto"/>
        <w:ind w:firstLine="480" w:firstLineChars="200"/>
        <w:contextualSpacing/>
        <w:rPr>
          <w:rFonts w:ascii="宋体" w:hAnsi="宋体" w:cs="宋体"/>
          <w:sz w:val="24"/>
        </w:rPr>
      </w:pPr>
      <w:r>
        <w:rPr>
          <w:rFonts w:hint="eastAsia" w:ascii="宋体" w:hAnsi="宋体" w:cs="宋体"/>
          <w:sz w:val="24"/>
        </w:rPr>
        <w:t>8.拟派的保安人员必须专职为学校服务，不得兼职，如遇特殊情况需借用本项目保安人员，须报请用人学校批准，并保证本项目正常运行。中标人对保安服务人员需要更换的，须提前上报各用人学校，经校方认可后方可更换。</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9.保安队长需具有5年以上相关服务经验，负责对本项目人员的管理与服务，配合学校加强对保安队伍的日常监督管理。</w:t>
      </w:r>
    </w:p>
    <w:p>
      <w:pPr>
        <w:tabs>
          <w:tab w:val="left" w:pos="1571"/>
        </w:tabs>
        <w:spacing w:line="360" w:lineRule="auto"/>
        <w:ind w:firstLine="480" w:firstLineChars="200"/>
        <w:contextualSpacing/>
        <w:rPr>
          <w:rFonts w:ascii="宋体" w:hAnsi="宋体" w:cs="宋体"/>
          <w:sz w:val="24"/>
          <w:highlight w:val="yellow"/>
        </w:rPr>
      </w:pPr>
      <w:r>
        <w:rPr>
          <w:rFonts w:hint="eastAsia" w:ascii="宋体" w:hAnsi="宋体" w:cs="宋体"/>
          <w:sz w:val="24"/>
        </w:rPr>
        <w:t>10.中标人应按照教育部门和公安部门的要求为派往校园的保安员配发保安员制服和安全防卫器械、应急处置装备，其中，每年为每位保安员配备服装夏短袖制式衬衣不少于2套、长袖制式衬衣不少于2件、春秋常服不少于2套、冬装不少于1套等；按保安员人手一套配备以下设备及工具：口哨（1个/人）、防暴头盔（1顶/人）、橡胶棒（1支/人）、钢叉（5把）、防护盾牌（5块）、防刺背心（1件/人）、防割手套（1副/人）、强光手电（1支/人）、催泪喷射器（1支/人）等护卫器械及服务学校认为需要的其他物品或设备。</w:t>
      </w:r>
    </w:p>
    <w:p>
      <w:pPr>
        <w:tabs>
          <w:tab w:val="left" w:pos="720"/>
        </w:tabs>
        <w:spacing w:line="360" w:lineRule="auto"/>
        <w:ind w:firstLine="482" w:firstLineChars="200"/>
        <w:contextualSpacing/>
        <w:rPr>
          <w:rFonts w:ascii="宋体" w:hAnsi="宋体" w:cs="宋体"/>
          <w:b/>
          <w:sz w:val="24"/>
        </w:rPr>
      </w:pPr>
      <w:r>
        <w:rPr>
          <w:rFonts w:hint="eastAsia" w:ascii="宋体" w:hAnsi="宋体" w:cs="宋体"/>
          <w:b/>
          <w:sz w:val="24"/>
        </w:rPr>
        <w:t>（四）保安服务总体要求</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1. 熟悉校园安保工作形势，能根据校园安保工作存在的主要问题，采取本地化、个案化的措施，并制定详细的有针对性的服务方案和安保人员配置方案，以便能够为采购人提供及时、优质的售后服务，包括且不限于更换不合格保安员；应学校要求，在重大活动期间和重点时段增派保安人员；开展针对性的保安员培训等。</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2.为加强本项目服务点安全防范，减少各种案件和事故的发生，供应商应具有较强的处理突发、应急事件的处理力量和能力，能对突发案件提供高效、优质的报警及处置等服务，能够为采购人提供及时、优质的售后服务。</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3.供应商应加强保安员的管理，根据国务院《保安服务管理条例》和省市区相关规定，做好培训教育指导工作，派遣足够数量、业务精湛、工作履职能力强的保安员到用人学校提供服务，保持派遣人员队伍的相对稳定，具有人员增补方案，按保安岗位设置表配足，不得擅自减少。</w:t>
      </w:r>
    </w:p>
    <w:p>
      <w:pPr>
        <w:widowControl/>
        <w:adjustRightInd/>
        <w:spacing w:line="360" w:lineRule="auto"/>
        <w:ind w:firstLine="482" w:firstLineChars="200"/>
        <w:contextualSpacing/>
        <w:outlineLvl w:val="0"/>
        <w:rPr>
          <w:rFonts w:ascii="宋体" w:hAnsi="宋体" w:cs="宋体"/>
          <w:b/>
          <w:sz w:val="24"/>
        </w:rPr>
      </w:pPr>
      <w:r>
        <w:rPr>
          <w:rFonts w:hint="eastAsia" w:ascii="宋体" w:hAnsi="宋体" w:cs="宋体"/>
          <w:b/>
          <w:sz w:val="24"/>
        </w:rPr>
        <w:t>（五）保安服务服务范围</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1.保安员具体负责学校办公、生活区域的门岗执勤、门口卫生保洁、停车管理、门禁管理、监控管理、安全防范等安保管理服务，维持公共秩序。保安须24小时值班，对外来人员通报、证件检验、出入进行登记，报刊信件等收发，处理学校可能发生的突发性事件。</w:t>
      </w:r>
    </w:p>
    <w:p>
      <w:pPr>
        <w:pStyle w:val="2"/>
        <w:rPr>
          <w:rFonts w:hAnsi="宋体" w:cs="宋体"/>
          <w:szCs w:val="24"/>
        </w:rPr>
      </w:pPr>
      <w:r>
        <w:rPr>
          <w:rFonts w:hint="eastAsia" w:hAnsi="宋体" w:cs="宋体"/>
          <w:szCs w:val="24"/>
        </w:rPr>
        <w:t>2.保安员负责学校消防器材定期检查工作；积极主动的配合、服从学校及对口管理部门的临时应急调度；负责公共区域防盗门、照明路灯的关与开等工作；负责学校出入口的人员出入管理。</w:t>
      </w:r>
    </w:p>
    <w:p>
      <w:pPr>
        <w:widowControl/>
        <w:adjustRightInd/>
        <w:spacing w:line="360" w:lineRule="auto"/>
        <w:ind w:firstLine="420" w:firstLineChars="200"/>
        <w:contextualSpacing/>
        <w:outlineLvl w:val="0"/>
        <w:rPr>
          <w:rFonts w:ascii="宋体" w:hAnsi="宋体" w:cs="宋体"/>
          <w:b/>
          <w:sz w:val="24"/>
        </w:rPr>
      </w:pPr>
      <w:r>
        <w:rPr>
          <w:rFonts w:hint="eastAsia" w:hAnsi="宋体" w:cs="宋体"/>
        </w:rPr>
        <w:t xml:space="preserve"> </w:t>
      </w:r>
      <w:r>
        <w:rPr>
          <w:rFonts w:hint="eastAsia" w:ascii="宋体" w:hAnsi="宋体" w:cs="宋体"/>
          <w:b/>
          <w:sz w:val="24"/>
        </w:rPr>
        <w:t>（六）保安服务管理标准与服务要求</w:t>
      </w:r>
    </w:p>
    <w:p>
      <w:pPr>
        <w:tabs>
          <w:tab w:val="left" w:pos="1571"/>
        </w:tabs>
        <w:spacing w:line="360" w:lineRule="auto"/>
        <w:ind w:firstLine="482" w:firstLineChars="200"/>
        <w:contextualSpacing/>
        <w:rPr>
          <w:rFonts w:ascii="宋体" w:hAnsi="宋体" w:cs="宋体"/>
          <w:b/>
          <w:bCs/>
          <w:sz w:val="24"/>
        </w:rPr>
      </w:pPr>
      <w:r>
        <w:rPr>
          <w:rFonts w:hint="eastAsia" w:ascii="宋体" w:hAnsi="宋体" w:cs="宋体"/>
          <w:b/>
          <w:bCs/>
          <w:sz w:val="24"/>
        </w:rPr>
        <w:t>1.安全保卫工作要求</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（1）管理区域的门岗实行全天24小时执勤，严格按作息时间表进行，如需更改，须征得学校同意。</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（2）保安人员应规定统一着装、仪表仪容整洁端庄并持保安员证上岗，值岗时与师生、访客交谈应使用文明、规范用语，对来访人员的越轨行为及时劝阻、疏导，预防各类治安事件的发生。</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（3）为保障学校、访客人身财产的安全，保安人员应认真值守，实施正常的学校公共部位安全保卫防范性工作。对突发事件应迅速作出反应，果断作出适当处置，并做好记录。</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（4）门岗保安人员应熟悉学校单位工作人员及单位车辆状况，并严格实行访客出入登记制度，不准闲杂人员进入管理区域，严格保安纪律，禁止无关人员进入学校。办公及公共场所要控制噪音，制止喧闹现象。</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5）管理区域内实行全年365天全天候保安巡视服务，对重点区域、重点部位定期进行巡查。为防盗、防火、防灾和维持管理区域的公共秩序，保安人员要按不同方案的巡视路线，确保每次巡逻均能巡遍全部公共区域。</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（6）夜间工作期间，学校工作人员下班后保安员应关闭大门，关闭各楼道内不必要的电灯。按时开启、关闭报警及其他有关设施。保安员夜间执勤必须按照规定路线巡逻，做好巡逻记录。</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7）加强管理，预防重大火灾、刑事和交通事故的发生。对突发事件有应急处理程序和措施，一旦发现事件苗头必须立即报告学校，防止事态进一步恶化。做好应急响应，接到火警、警情后3分钟内到达现场，并报校领导与警方，协助采取有关措施。</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（8）密切观察职责区域安全情况，做到及早发现及早解决。禁止学校范围内出现涉黄涉赌涉毒的不良现象。同时，及时检查校内各项公共设施有无损坏，有情况要及时汇报给学校。</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（9）做好交接班工作，有详细完整的交接班记录。保安员在工作期间要接受服务学校的领导和监督，遵守学校的有关规章制度和《保安人员纪律》。</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（10）完成学校交给的其它与安全保卫有关事项。</w:t>
      </w:r>
    </w:p>
    <w:p>
      <w:pPr>
        <w:tabs>
          <w:tab w:val="left" w:pos="1571"/>
        </w:tabs>
        <w:spacing w:line="360" w:lineRule="auto"/>
        <w:ind w:firstLine="482" w:firstLineChars="200"/>
        <w:contextualSpacing/>
        <w:rPr>
          <w:rFonts w:ascii="宋体" w:hAnsi="宋体" w:cs="宋体"/>
          <w:b/>
          <w:bCs/>
          <w:sz w:val="24"/>
        </w:rPr>
      </w:pPr>
      <w:r>
        <w:rPr>
          <w:rFonts w:hint="eastAsia" w:ascii="宋体" w:hAnsi="宋体" w:cs="宋体"/>
          <w:b/>
          <w:bCs/>
          <w:sz w:val="24"/>
        </w:rPr>
        <w:t>2.消防管理要求</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（1）负责用人学校的全部消防设施、设备的使用和管理及火灾的报警和救助工作，并制定较为完善的消防应急方案。</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2）认真贯彻“安全第一，预防为主”的方针，设立消防组织机构、职责、规章制度和工作程序，落实各级消防责任人。全面熟练掌握消防报警、干式灭火（气体）、湿式灭火（喷淋）、防排烟及消防栓五个系统的作用、位置和操作方法。</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 xml:space="preserve"> （3）每周进行一次全部消防设备、设施巡视检查工作，并做好记录，及时整改火险隐患，监护动火和易燃易爆用品存放情况，保持消防区及走道和出口畅通。重大节日前配合用人学校进行节日消防安全大检查，并按学校要求及时进行整改。</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（4）做好其它防火灭火工作及消防配套设施的维护。</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5）每位安保人员要求熟练掌握整个消控系统的使用方法和具体的操作流程。中标人对安保人员进行定期的业务培训。如遇消控技术问题，机器故障等情况，第一时间汇报用人学校联系消防维保单位技术人员前来排查检修。</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（6）保安公司保安人员需根据学校实际需求，服从学校的安排，临时做出调整完成相应的工作。</w:t>
      </w:r>
    </w:p>
    <w:p>
      <w:pPr>
        <w:widowControl/>
        <w:adjustRightInd/>
        <w:spacing w:line="360" w:lineRule="auto"/>
        <w:ind w:firstLine="482" w:firstLineChars="200"/>
        <w:contextualSpacing/>
        <w:outlineLvl w:val="0"/>
        <w:rPr>
          <w:rFonts w:ascii="宋体" w:hAnsi="宋体" w:cs="宋体"/>
          <w:b/>
          <w:sz w:val="24"/>
        </w:rPr>
      </w:pPr>
      <w:r>
        <w:rPr>
          <w:rFonts w:hint="eastAsia" w:ascii="宋体" w:hAnsi="宋体" w:cs="宋体"/>
          <w:b/>
          <w:sz w:val="24"/>
        </w:rPr>
        <w:t>（七）其他要求</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1.中标人应按照国家法律法规给每位员工办理用工手续，应及时足额支付派驻的保安人员的工资、福利、保险、奖金、加班费等一切费用，并按政策规定交纳社会保险，并为其投保较高保额的商业人身意外伤害保险。</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2.保安人员在服务期间出现不服从学校管理、产生劳动争议、发生人身伤害、相关纠纷或违反法律法规等情形，与采购人无关，由中标人依照相关法律进行妥善处理。</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3.学校有权对所有保安人员的工作进行检查、督促、考核，对不称职的保安提出批评、教育，屡教不改者，学校有权随时提出更换，被更换的人员不得再次用于本项目的保安服务。</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4.服务期内中标人的保安队伍自身出现了问题，如缺岗、离岗、与采购单位人员之间出现纠纷等影响采购单位声誉的所有事件，中标人的主要负责人应立即响应，30分钟内到达现场，1个小</w:t>
      </w:r>
      <w:bookmarkStart w:id="519" w:name="_GoBack"/>
      <w:bookmarkEnd w:id="519"/>
      <w:r>
        <w:rPr>
          <w:rFonts w:hint="eastAsia" w:ascii="宋体" w:hAnsi="宋体" w:cs="宋体"/>
          <w:sz w:val="24"/>
        </w:rPr>
        <w:t>时内解决问题，现场解决不了的应采取应急措施，应立即阻止事态的发展，确保无任何影响用人学校的事件发生。</w:t>
      </w:r>
    </w:p>
    <w:p>
      <w:pPr>
        <w:tabs>
          <w:tab w:val="left" w:pos="720"/>
        </w:tabs>
        <w:spacing w:line="360" w:lineRule="auto"/>
        <w:ind w:firstLine="480" w:firstLineChars="200"/>
        <w:contextualSpacing/>
        <w:rPr>
          <w:rFonts w:ascii="宋体" w:hAnsi="宋体" w:cs="宋体"/>
          <w:sz w:val="24"/>
        </w:rPr>
      </w:pPr>
      <w:r>
        <w:rPr>
          <w:rFonts w:hint="eastAsia" w:ascii="宋体" w:hAnsi="宋体" w:cs="宋体"/>
          <w:sz w:val="24"/>
        </w:rPr>
        <w:t>5.中标人与采购人签订合同并生效后，中标人应在服务期开始前安排人员到位，并与原有服务单位做好交接工作，确保能及时满足2024年春季开学校园安保工作的迫切需要。</w:t>
      </w:r>
    </w:p>
    <w:p>
      <w:pPr>
        <w:tabs>
          <w:tab w:val="left" w:pos="720"/>
        </w:tabs>
        <w:spacing w:line="360" w:lineRule="auto"/>
        <w:ind w:firstLine="480" w:firstLineChars="200"/>
        <w:contextualSpacing/>
        <w:rPr>
          <w:rFonts w:ascii="宋体" w:hAnsi="宋体" w:cs="宋体"/>
          <w:sz w:val="24"/>
        </w:rPr>
      </w:pPr>
      <w:r>
        <w:rPr>
          <w:rFonts w:hint="eastAsia" w:ascii="宋体" w:hAnsi="宋体" w:cs="宋体"/>
          <w:sz w:val="24"/>
        </w:rPr>
        <w:t>6.中标人自开始保安服务之日起30日内向物业所在地设区的区人民政府公安机关办理备案，并于终止保安服务之日起30日内到备案的公安机关撤销备案。</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 xml:space="preserve">7.采购人不提供食宿，中标人应妥善解决好保安人员食宿问题。 </w:t>
      </w:r>
    </w:p>
    <w:p>
      <w:pPr>
        <w:tabs>
          <w:tab w:val="left" w:pos="720"/>
        </w:tabs>
        <w:spacing w:line="360" w:lineRule="auto"/>
        <w:ind w:firstLine="480" w:firstLineChars="200"/>
        <w:contextualSpacing/>
        <w:rPr>
          <w:rFonts w:ascii="宋体" w:hAnsi="宋体" w:cs="宋体"/>
          <w:sz w:val="24"/>
        </w:rPr>
      </w:pPr>
      <w:bookmarkStart w:id="28" w:name="_Toc392230262"/>
      <w:bookmarkStart w:id="29" w:name="_Toc401906929"/>
      <w:r>
        <w:rPr>
          <w:rFonts w:hint="eastAsia" w:ascii="宋体" w:hAnsi="宋体" w:cs="宋体"/>
          <w:sz w:val="24"/>
        </w:rPr>
        <w:t>8.投诉处理率100%，且及时、妥善，有完整的记录档案。</w:t>
      </w:r>
    </w:p>
    <w:bookmarkEnd w:id="28"/>
    <w:bookmarkEnd w:id="29"/>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9.中标人应建立完善的档案管理制度，建立齐全的管理服务档案（包括设备管理档案、日常管理档案等）。用人学校随时抽查档案管理情况，以便日常监督。</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10.中标人制定管理内部管理制度和考核制度，并报送用人学校备案。</w:t>
      </w:r>
    </w:p>
    <w:p>
      <w:pPr>
        <w:spacing w:line="360" w:lineRule="auto"/>
        <w:contextualSpacing/>
        <w:rPr>
          <w:rFonts w:ascii="宋体" w:hAnsi="宋体" w:cs="宋体"/>
          <w:bCs/>
          <w:sz w:val="24"/>
        </w:rPr>
      </w:pPr>
      <w:r>
        <w:rPr>
          <w:rFonts w:hint="eastAsia" w:ascii="宋体" w:hAnsi="宋体" w:cs="宋体"/>
          <w:bCs/>
          <w:sz w:val="24"/>
        </w:rPr>
        <w:t>三、检查与考核</w:t>
      </w:r>
    </w:p>
    <w:p>
      <w:pPr>
        <w:spacing w:line="360" w:lineRule="auto"/>
        <w:ind w:firstLine="480" w:firstLineChars="200"/>
        <w:contextualSpacing/>
        <w:rPr>
          <w:rFonts w:ascii="宋体" w:hAnsi="宋体" w:cs="宋体"/>
          <w:kern w:val="0"/>
          <w:sz w:val="24"/>
        </w:rPr>
      </w:pPr>
      <w:r>
        <w:rPr>
          <w:rFonts w:hint="eastAsia" w:ascii="宋体" w:hAnsi="宋体" w:cs="宋体"/>
          <w:kern w:val="0"/>
          <w:sz w:val="24"/>
        </w:rPr>
        <w:t>1.</w:t>
      </w:r>
      <w:r>
        <w:rPr>
          <w:rFonts w:hint="eastAsia" w:ascii="宋体" w:hAnsi="宋体" w:cs="宋体"/>
          <w:sz w:val="24"/>
        </w:rPr>
        <w:t>中标单位</w:t>
      </w:r>
      <w:r>
        <w:rPr>
          <w:rFonts w:hint="eastAsia" w:ascii="宋体" w:hAnsi="宋体" w:cs="宋体"/>
          <w:kern w:val="0"/>
          <w:sz w:val="24"/>
        </w:rPr>
        <w:t>应制订具体的质量保证措施及质量保证和相关服务承诺，每月向用人学校提供工作计划、工作总结和详细工资材料帐目清单。中标单位所有的工作除应按中标单位的内部流程实施外，还应接受采购单位、用人学校或第三方的随时检查。中标单位如因质量未达到目标，采购单位和用人学校有权要求其整改，同时</w:t>
      </w:r>
      <w:r>
        <w:rPr>
          <w:rFonts w:hint="eastAsia" w:ascii="宋体" w:hAnsi="宋体" w:cs="宋体"/>
          <w:sz w:val="24"/>
        </w:rPr>
        <w:t>中标单位</w:t>
      </w:r>
      <w:r>
        <w:rPr>
          <w:rFonts w:hint="eastAsia" w:ascii="宋体" w:hAnsi="宋体" w:cs="宋体"/>
          <w:kern w:val="0"/>
          <w:sz w:val="24"/>
        </w:rPr>
        <w:t>应承担责任和经济赔偿（扣款或终止合同）。</w:t>
      </w:r>
    </w:p>
    <w:p>
      <w:pPr>
        <w:pStyle w:val="26"/>
        <w:spacing w:line="360" w:lineRule="auto"/>
        <w:contextualSpacing/>
        <w:rPr>
          <w:rFonts w:cs="宋体"/>
          <w:kern w:val="0"/>
        </w:rPr>
      </w:pPr>
      <w:r>
        <w:rPr>
          <w:rFonts w:hint="eastAsia" w:cs="宋体"/>
          <w:kern w:val="0"/>
        </w:rPr>
        <w:t>2.采购单位定期和不定期地对中标单位管理服务进行检查和抽查，检查记录和整改时限反馈</w:t>
      </w:r>
      <w:r>
        <w:rPr>
          <w:rFonts w:hint="eastAsia" w:cs="宋体"/>
        </w:rPr>
        <w:t>中标单位</w:t>
      </w:r>
      <w:r>
        <w:rPr>
          <w:rFonts w:hint="eastAsia" w:cs="宋体"/>
          <w:kern w:val="0"/>
        </w:rPr>
        <w:t>。各用人学校对本校所在的保安员工作履职情况按付款周期进行考核，中标单位应根据考核情况分析并提出改进措施，及时整改落实考核中发现的问题。</w:t>
      </w:r>
    </w:p>
    <w:p>
      <w:pPr>
        <w:pStyle w:val="965"/>
        <w:spacing w:before="0" w:after="0" w:line="360" w:lineRule="auto"/>
        <w:contextualSpacing/>
        <w:jc w:val="center"/>
        <w:rPr>
          <w:rFonts w:ascii="宋体" w:hAnsi="宋体" w:eastAsia="宋体" w:cs="宋体"/>
          <w:sz w:val="24"/>
          <w:szCs w:val="24"/>
        </w:rPr>
      </w:pPr>
      <w:r>
        <w:rPr>
          <w:rFonts w:hint="eastAsia" w:ascii="宋体" w:hAnsi="宋体" w:eastAsia="宋体" w:cs="宋体"/>
          <w:sz w:val="24"/>
          <w:szCs w:val="24"/>
        </w:rPr>
        <w:t>学校保安员考核用表</w:t>
      </w:r>
    </w:p>
    <w:tbl>
      <w:tblPr>
        <w:tblStyle w:val="62"/>
        <w:tblW w:w="9009" w:type="dxa"/>
        <w:jc w:val="center"/>
        <w:tblLayout w:type="fixed"/>
        <w:tblCellMar>
          <w:top w:w="0" w:type="dxa"/>
          <w:left w:w="108" w:type="dxa"/>
          <w:bottom w:w="0" w:type="dxa"/>
          <w:right w:w="108" w:type="dxa"/>
        </w:tblCellMar>
      </w:tblPr>
      <w:tblGrid>
        <w:gridCol w:w="1080"/>
        <w:gridCol w:w="5381"/>
        <w:gridCol w:w="796"/>
        <w:gridCol w:w="831"/>
        <w:gridCol w:w="921"/>
      </w:tblGrid>
      <w:tr>
        <w:tblPrEx>
          <w:tblCellMar>
            <w:top w:w="0" w:type="dxa"/>
            <w:left w:w="108" w:type="dxa"/>
            <w:bottom w:w="0" w:type="dxa"/>
            <w:right w:w="108" w:type="dxa"/>
          </w:tblCellMar>
        </w:tblPrEx>
        <w:trPr>
          <w:trHeight w:val="414" w:hRule="atLeast"/>
          <w:jc w:val="center"/>
        </w:trPr>
        <w:tc>
          <w:tcPr>
            <w:tcW w:w="64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center"/>
              <w:textAlignment w:val="center"/>
              <w:rPr>
                <w:rFonts w:ascii="宋体" w:hAnsi="宋体" w:cs="宋体"/>
                <w:b/>
                <w:bCs/>
                <w:sz w:val="24"/>
              </w:rPr>
            </w:pPr>
            <w:r>
              <w:rPr>
                <w:rFonts w:hint="eastAsia" w:ascii="宋体" w:hAnsi="宋体" w:cs="宋体"/>
                <w:b/>
                <w:bCs/>
                <w:kern w:val="0"/>
                <w:sz w:val="24"/>
                <w:lang w:bidi="ar"/>
              </w:rPr>
              <w:t>考核内容</w:t>
            </w:r>
          </w:p>
        </w:tc>
        <w:tc>
          <w:tcPr>
            <w:tcW w:w="16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b/>
                <w:bCs/>
                <w:sz w:val="24"/>
              </w:rPr>
            </w:pPr>
            <w:r>
              <w:rPr>
                <w:rFonts w:hint="eastAsia" w:ascii="宋体" w:hAnsi="宋体" w:cs="宋体"/>
                <w:b/>
                <w:bCs/>
                <w:kern w:val="0"/>
                <w:sz w:val="24"/>
                <w:lang w:bidi="ar"/>
              </w:rPr>
              <w:t>考核分数</w:t>
            </w:r>
          </w:p>
        </w:tc>
        <w:tc>
          <w:tcPr>
            <w:tcW w:w="92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b/>
                <w:bCs/>
                <w:sz w:val="24"/>
              </w:rPr>
            </w:pPr>
            <w:r>
              <w:rPr>
                <w:rFonts w:hint="eastAsia" w:ascii="宋体" w:hAnsi="宋体" w:cs="宋体"/>
                <w:b/>
                <w:bCs/>
                <w:kern w:val="0"/>
                <w:sz w:val="24"/>
                <w:lang w:bidi="ar"/>
              </w:rPr>
              <w:t>备注</w:t>
            </w:r>
          </w:p>
        </w:tc>
      </w:tr>
      <w:tr>
        <w:tblPrEx>
          <w:tblCellMar>
            <w:top w:w="0" w:type="dxa"/>
            <w:left w:w="108" w:type="dxa"/>
            <w:bottom w:w="0" w:type="dxa"/>
            <w:right w:w="108" w:type="dxa"/>
          </w:tblCellMar>
        </w:tblPrEx>
        <w:trPr>
          <w:trHeight w:val="232" w:hRule="atLeast"/>
          <w:jc w:val="center"/>
        </w:trPr>
        <w:tc>
          <w:tcPr>
            <w:tcW w:w="646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b/>
                <w:bCs/>
                <w:sz w:val="24"/>
              </w:rPr>
            </w:pPr>
            <w:r>
              <w:rPr>
                <w:rFonts w:hint="eastAsia" w:ascii="宋体" w:hAnsi="宋体" w:cs="宋体"/>
                <w:b/>
                <w:bCs/>
                <w:kern w:val="0"/>
                <w:sz w:val="24"/>
                <w:lang w:bidi="ar"/>
              </w:rPr>
              <w:t>分值</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b/>
                <w:bCs/>
                <w:sz w:val="24"/>
              </w:rPr>
            </w:pPr>
            <w:r>
              <w:rPr>
                <w:rFonts w:hint="eastAsia" w:ascii="宋体" w:hAnsi="宋体" w:cs="宋体"/>
                <w:b/>
                <w:bCs/>
                <w:kern w:val="0"/>
                <w:sz w:val="24"/>
                <w:lang w:bidi="ar"/>
              </w:rPr>
              <w:t>得分</w:t>
            </w:r>
          </w:p>
        </w:tc>
        <w:tc>
          <w:tcPr>
            <w:tcW w:w="92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jc w:val="center"/>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一般项</w:t>
            </w: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持证上岗，听从学校指挥，在岗期间无违法犯罪记录，无家长、教职工投诉。达到得满分，发现1项扣1分，扣完为止。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20</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具备校园安保岗位要求的防范知识和基本操作技能，会熟练操作校园“三防”包括视频图像采集设备、来访人员登记查验信息管理系统、一键式紧急报警装置等设备，认真做好测试记录，紧急情况能迅速反应。达到得满分，发现1项扣1分，扣完为止。上级或学校检查发现操作不熟练被通报扣分的，加倍扣分。</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10</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463"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定期组织业务培训，培训有计划、有方案、有考核。达到得满分，发现1项扣1分，扣完为止。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47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掌握保安业务知识，熟悉学校各项安全管理制度。达到得满分，发现1项扣1分，扣满为止。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15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值勤期间按有关规定着制式保安服装，携带必要的安全防卫器械和应急处置装备，并熟悉使用方法。达到得满分，发现1项扣1分，扣完为止。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上下学重点时段，佩戴防护装备在校门口及校门外一定区域上岗执勤，会同学校值日教师、家长志愿者等护校力量，共同开展护校工作。达到得满分，发现1项扣1分，扣完为止。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10</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对学校明确的设施设备、场所、重点部位及周边巡查每日不少于5次，一旦发现异常情况，应当及时记录、报告，情况紧急的视情开展先期处置。达到得满分，发现1项扣1分，扣完为止。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遵守信息保密要求，无擅自拍摄校园涉及师生隐私视频；无未经学校允许随意提供校园内监控视频给他人；无下载、传播学校监控视频信息等行为。达到得满分，发现1项扣1分，扣完为止。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执行24小时值班制度，无擅自离岗、脱岗，按时交接班并做好交接记录,发现问题及时报告。达到得满分，发现1项扣1分，扣完为止。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配合学校做好校园防火、防盗、防破坏、防地质灾害事故、防交通意外等工作。达到得满分，发现1项扣1分，扣完为止。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及时制止师生各种不安全或易造成伤害的行为，对违反规定或不服从管理者，能严肃、礼貌劝阻并妥善处置。达到得满分，发现1项扣1分，扣完为止。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251"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在岗期间不与无关人员聊天，不干私活，不饮酒，不吸烟，不睡觉。不在门卫室从事与工作无关的活动，不存放或代人存放贵重物品、现金和危险品。达到得满分，发现1项扣1分，扣完为止。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遇有火警或其它紧急情况时，能迅速扑救或采取有效措施保护现场，并及时上报。达到得满分，发现1项扣1分，扣完为止。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44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一票否决项</w:t>
            </w: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派驻保安员有违法犯罪行为或其他严重不良行为的。</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383"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存在未按约定派驻足量合格保安员的。</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因保安员擅自脱岗、离岗或履职不力、操作不当发生校园事故的。</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contextualSpacing/>
              <w:jc w:val="center"/>
              <w:rPr>
                <w:rFonts w:ascii="宋体" w:hAnsi="宋体" w:cs="宋体"/>
                <w:sz w:val="24"/>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contextualSpacing/>
              <w:jc w:val="left"/>
              <w:textAlignment w:val="center"/>
              <w:rPr>
                <w:rFonts w:ascii="宋体" w:hAnsi="宋体" w:cs="宋体"/>
                <w:sz w:val="24"/>
              </w:rPr>
            </w:pPr>
            <w:r>
              <w:rPr>
                <w:rFonts w:hint="eastAsia" w:ascii="宋体" w:hAnsi="宋体" w:cs="宋体"/>
                <w:kern w:val="0"/>
                <w:sz w:val="24"/>
                <w:lang w:bidi="ar"/>
              </w:rPr>
              <w:t>各级各部门在明查暗访中发现保安员未落实工作要求，被3次及以上通报批评的。</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64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contextualSpacing/>
              <w:jc w:val="center"/>
              <w:textAlignment w:val="center"/>
              <w:rPr>
                <w:rFonts w:ascii="宋体" w:hAnsi="宋体" w:cs="宋体"/>
                <w:sz w:val="24"/>
              </w:rPr>
            </w:pPr>
            <w:r>
              <w:rPr>
                <w:rFonts w:hint="eastAsia" w:ascii="宋体" w:hAnsi="宋体" w:cs="宋体"/>
                <w:kern w:val="0"/>
                <w:sz w:val="24"/>
                <w:lang w:bidi="ar"/>
              </w:rPr>
              <w:t>考核结果（优秀90分及以上、良好80分-89分、合格70分-79分、不合格70分以下）</w:t>
            </w:r>
          </w:p>
        </w:tc>
        <w:tc>
          <w:tcPr>
            <w:tcW w:w="1627" w:type="dxa"/>
            <w:gridSpan w:val="2"/>
            <w:tcBorders>
              <w:top w:val="single" w:color="000000" w:sz="4" w:space="0"/>
              <w:left w:val="single" w:color="000000" w:sz="4" w:space="0"/>
              <w:bottom w:val="single" w:color="000000" w:sz="4" w:space="0"/>
              <w:right w:val="single" w:color="000000" w:sz="4" w:space="0"/>
            </w:tcBorders>
            <w:noWrap/>
            <w:vAlign w:val="bottom"/>
          </w:tcPr>
          <w:p>
            <w:pPr>
              <w:spacing w:line="360" w:lineRule="auto"/>
              <w:contextualSpacing/>
              <w:jc w:val="center"/>
              <w:rPr>
                <w:rFonts w:ascii="宋体" w:hAnsi="宋体" w:cs="宋体"/>
                <w:sz w:val="24"/>
              </w:rPr>
            </w:pPr>
          </w:p>
        </w:tc>
        <w:tc>
          <w:tcPr>
            <w:tcW w:w="921" w:type="dxa"/>
            <w:tcBorders>
              <w:top w:val="single" w:color="000000" w:sz="4" w:space="0"/>
              <w:left w:val="single" w:color="000000" w:sz="4" w:space="0"/>
              <w:bottom w:val="single" w:color="000000" w:sz="4" w:space="0"/>
              <w:right w:val="single" w:color="000000" w:sz="4" w:space="0"/>
            </w:tcBorders>
            <w:noWrap/>
            <w:vAlign w:val="bottom"/>
          </w:tcPr>
          <w:p>
            <w:pPr>
              <w:spacing w:line="360" w:lineRule="auto"/>
              <w:contextualSpacing/>
              <w:rPr>
                <w:rFonts w:ascii="宋体" w:hAnsi="宋体" w:cs="宋体"/>
                <w:sz w:val="24"/>
              </w:rPr>
            </w:pPr>
          </w:p>
        </w:tc>
      </w:tr>
      <w:tr>
        <w:tblPrEx>
          <w:tblCellMar>
            <w:top w:w="0" w:type="dxa"/>
            <w:left w:w="108" w:type="dxa"/>
            <w:bottom w:w="0" w:type="dxa"/>
            <w:right w:w="108" w:type="dxa"/>
          </w:tblCellMar>
        </w:tblPrEx>
        <w:trPr>
          <w:trHeight w:val="600" w:hRule="atLeast"/>
          <w:jc w:val="center"/>
        </w:trPr>
        <w:tc>
          <w:tcPr>
            <w:tcW w:w="9009" w:type="dxa"/>
            <w:gridSpan w:val="5"/>
            <w:tcBorders>
              <w:top w:val="single" w:color="000000" w:sz="4" w:space="0"/>
              <w:left w:val="single" w:color="000000" w:sz="4" w:space="0"/>
              <w:bottom w:val="single" w:color="000000" w:sz="4" w:space="0"/>
              <w:right w:val="single" w:color="000000" w:sz="4" w:space="0"/>
            </w:tcBorders>
            <w:noWrap/>
            <w:vAlign w:val="center"/>
          </w:tcPr>
          <w:p>
            <w:pPr>
              <w:spacing w:line="360" w:lineRule="auto"/>
              <w:contextualSpacing/>
              <w:rPr>
                <w:rFonts w:ascii="宋体" w:hAnsi="宋体" w:cs="宋体"/>
                <w:sz w:val="24"/>
              </w:rPr>
            </w:pPr>
            <w:r>
              <w:rPr>
                <w:rFonts w:hint="eastAsia" w:ascii="宋体" w:hAnsi="宋体" w:cs="宋体"/>
                <w:kern w:val="0"/>
                <w:sz w:val="24"/>
                <w:lang w:bidi="ar"/>
              </w:rPr>
              <w:t>考核人员（签字）：                                         考核时间：    年  月  日</w:t>
            </w:r>
          </w:p>
        </w:tc>
      </w:tr>
    </w:tbl>
    <w:p>
      <w:pPr>
        <w:spacing w:line="360" w:lineRule="auto"/>
        <w:contextualSpacing/>
        <w:rPr>
          <w:rFonts w:ascii="宋体" w:hAnsi="宋体" w:cs="宋体"/>
          <w:kern w:val="0"/>
          <w:sz w:val="24"/>
          <w:lang w:bidi="ar"/>
        </w:rPr>
      </w:pPr>
      <w:r>
        <w:rPr>
          <w:rFonts w:hint="eastAsia" w:ascii="宋体" w:hAnsi="宋体" w:cs="宋体"/>
          <w:kern w:val="0"/>
          <w:sz w:val="24"/>
          <w:lang w:bidi="ar"/>
        </w:rPr>
        <w:t>注：如遇国家或省市区相关政策调整或新规定，或学校实际特殊情况需求，可以对本考核表进行适当调整。</w:t>
      </w:r>
    </w:p>
    <w:p>
      <w:pPr>
        <w:tabs>
          <w:tab w:val="left" w:pos="1571"/>
        </w:tabs>
        <w:adjustRightInd/>
        <w:spacing w:line="360" w:lineRule="auto"/>
        <w:contextualSpacing/>
        <w:rPr>
          <w:rFonts w:ascii="宋体" w:hAnsi="宋体" w:cs="宋体"/>
          <w:bCs/>
          <w:sz w:val="24"/>
        </w:rPr>
      </w:pPr>
    </w:p>
    <w:p>
      <w:pPr>
        <w:tabs>
          <w:tab w:val="left" w:pos="1571"/>
        </w:tabs>
        <w:adjustRightInd/>
        <w:spacing w:line="360" w:lineRule="auto"/>
        <w:contextualSpacing/>
        <w:rPr>
          <w:rFonts w:ascii="宋体" w:hAnsi="宋体" w:cs="宋体"/>
          <w:bCs/>
          <w:sz w:val="24"/>
        </w:rPr>
      </w:pPr>
      <w:r>
        <w:rPr>
          <w:rFonts w:hint="eastAsia" w:ascii="宋体" w:hAnsi="宋体" w:cs="宋体"/>
          <w:bCs/>
          <w:sz w:val="24"/>
        </w:rPr>
        <w:t>四、商务需求</w:t>
      </w:r>
    </w:p>
    <w:p>
      <w:pPr>
        <w:tabs>
          <w:tab w:val="left" w:pos="1571"/>
        </w:tabs>
        <w:spacing w:line="360" w:lineRule="auto"/>
        <w:ind w:firstLine="482" w:firstLineChars="200"/>
        <w:contextualSpacing/>
        <w:rPr>
          <w:rFonts w:ascii="宋体" w:hAnsi="宋体" w:cs="宋体"/>
          <w:b/>
          <w:bCs/>
          <w:sz w:val="24"/>
        </w:rPr>
      </w:pPr>
      <w:r>
        <w:rPr>
          <w:rFonts w:hint="eastAsia" w:ascii="宋体" w:hAnsi="宋体" w:cs="宋体"/>
          <w:b/>
          <w:bCs/>
          <w:sz w:val="24"/>
        </w:rPr>
        <w:t>（一）服务期限</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1.本项目服务期为合同签订之日起1年，合同期内下列情形之一的，采购人有权提前终止合同，由此造成的一切损失由中标人自行承担。</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（1）因保安公司派遣的保安员履职不力、消极作为或工作不当而导致服务学校出现人身伤亡安全责任事故的；</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（2）出现多次的派驻不合格保安员现象，或派驻的保安员不合格，经要求不能整改到位的；</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（3）在付款周期考核中，出现考核结果为“不合格”的。</w:t>
      </w:r>
    </w:p>
    <w:p>
      <w:pPr>
        <w:tabs>
          <w:tab w:val="left" w:pos="1571"/>
        </w:tabs>
        <w:spacing w:line="360" w:lineRule="auto"/>
        <w:ind w:firstLine="480" w:firstLineChars="200"/>
        <w:contextualSpacing/>
        <w:rPr>
          <w:rFonts w:ascii="宋体" w:hAnsi="宋体" w:cs="宋体"/>
          <w:sz w:val="24"/>
        </w:rPr>
      </w:pPr>
      <w:r>
        <w:rPr>
          <w:rFonts w:hint="eastAsia" w:ascii="宋体" w:hAnsi="宋体" w:cs="宋体"/>
          <w:sz w:val="24"/>
        </w:rPr>
        <w:t>2.合同期满，中标人应根据采购人的要求（如有）延续提供1个月的服务，费用标准按原合同规定执行。</w:t>
      </w:r>
    </w:p>
    <w:p>
      <w:pPr>
        <w:tabs>
          <w:tab w:val="left" w:pos="1571"/>
        </w:tabs>
        <w:spacing w:line="360" w:lineRule="auto"/>
        <w:ind w:firstLine="482" w:firstLineChars="200"/>
        <w:contextualSpacing/>
        <w:rPr>
          <w:rFonts w:ascii="宋体" w:hAnsi="宋体" w:cs="宋体"/>
          <w:b/>
          <w:bCs/>
          <w:sz w:val="24"/>
        </w:rPr>
      </w:pPr>
      <w:r>
        <w:rPr>
          <w:rFonts w:hint="eastAsia" w:ascii="宋体" w:hAnsi="宋体" w:cs="宋体"/>
          <w:b/>
          <w:bCs/>
          <w:sz w:val="24"/>
        </w:rPr>
        <w:t>（二）付款方式</w:t>
      </w:r>
    </w:p>
    <w:p>
      <w:pPr>
        <w:tabs>
          <w:tab w:val="left" w:pos="1571"/>
        </w:tabs>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按月支付，每月度乙方服务人数进行结算费用，甲方凭供应商开具的正规发票和甲方认可的各项记录复印件等材料，每月支付一次。因甲方服务需要需对服务人员进行增减，双方按增减后产生的费用按实结算服务。若遇甲方年终结算，支付时间按实际情况顺延</w:t>
      </w:r>
    </w:p>
    <w:p>
      <w:pPr>
        <w:pStyle w:val="2"/>
        <w:ind w:firstLine="480" w:firstLineChars="200"/>
        <w:rPr>
          <w:rFonts w:hAnsi="宋体" w:cs="宋体"/>
          <w:szCs w:val="24"/>
          <w:lang w:val="en-US"/>
        </w:rPr>
      </w:pPr>
      <w:r>
        <w:rPr>
          <w:rFonts w:hAnsi="宋体" w:cs="宋体"/>
          <w:szCs w:val="24"/>
          <w:lang w:val="en-US"/>
        </w:rPr>
        <w:t>2.</w:t>
      </w:r>
      <w:r>
        <w:rPr>
          <w:rFonts w:hint="eastAsia" w:hAnsi="宋体" w:cs="宋体"/>
          <w:b/>
          <w:bCs/>
        </w:rPr>
        <w:t>202</w:t>
      </w:r>
      <w:r>
        <w:rPr>
          <w:rFonts w:hAnsi="宋体" w:cs="宋体"/>
          <w:b/>
          <w:bCs/>
        </w:rPr>
        <w:t>4</w:t>
      </w:r>
      <w:r>
        <w:rPr>
          <w:rFonts w:hint="eastAsia" w:hAnsi="宋体" w:cs="宋体"/>
          <w:b/>
          <w:bCs/>
        </w:rPr>
        <w:t>年</w:t>
      </w:r>
      <w:r>
        <w:rPr>
          <w:rFonts w:hAnsi="宋体" w:cs="宋体"/>
          <w:b/>
          <w:bCs/>
        </w:rPr>
        <w:t>1</w:t>
      </w:r>
      <w:r>
        <w:rPr>
          <w:rFonts w:hint="eastAsia" w:hAnsi="宋体" w:cs="宋体"/>
          <w:b/>
          <w:bCs/>
        </w:rPr>
        <w:t>月1日起至本项目合同签订之日前的空档期物业服务由原供应商承担，费用由中标供应商按原合同价单日金额乘以实际服务天数，与原供应商结算，该项费用包含在本次中标价中</w:t>
      </w:r>
    </w:p>
    <w:p>
      <w:pPr>
        <w:snapToGrid w:val="0"/>
        <w:spacing w:line="360" w:lineRule="auto"/>
        <w:jc w:val="center"/>
        <w:rPr>
          <w:rFonts w:ascii="宋体" w:hAnsi="宋体" w:cs="宋体"/>
          <w:b/>
          <w:sz w:val="36"/>
          <w:szCs w:val="36"/>
        </w:rPr>
      </w:pPr>
      <w:r>
        <w:rPr>
          <w:rFonts w:hAnsi="宋体"/>
          <w:sz w:val="24"/>
          <w:highlight w:val="yellow"/>
        </w:rPr>
        <w:br w:type="page"/>
      </w: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30" w:name="_Toc184314451"/>
      <w:bookmarkEnd w:id="30"/>
      <w:bookmarkStart w:id="31" w:name="_Toc184310281"/>
      <w:bookmarkEnd w:id="31"/>
      <w:bookmarkStart w:id="32" w:name="_Toc184312114"/>
      <w:bookmarkEnd w:id="32"/>
      <w:bookmarkStart w:id="33" w:name="_Toc184312074"/>
      <w:bookmarkEnd w:id="33"/>
      <w:bookmarkStart w:id="34" w:name="_Toc184308106"/>
      <w:bookmarkEnd w:id="34"/>
      <w:bookmarkStart w:id="35" w:name="_Toc184313284"/>
      <w:bookmarkEnd w:id="35"/>
      <w:bookmarkStart w:id="36" w:name="_Toc184312082"/>
      <w:bookmarkEnd w:id="36"/>
      <w:bookmarkStart w:id="37" w:name="_Toc184313295"/>
      <w:bookmarkEnd w:id="37"/>
      <w:bookmarkStart w:id="38" w:name="_Toc184312069"/>
      <w:bookmarkEnd w:id="38"/>
      <w:bookmarkStart w:id="39" w:name="_Toc184313263"/>
      <w:bookmarkEnd w:id="39"/>
      <w:bookmarkStart w:id="40" w:name="_Toc184310316"/>
      <w:bookmarkEnd w:id="40"/>
      <w:bookmarkStart w:id="41" w:name="_Toc184308095"/>
      <w:bookmarkEnd w:id="41"/>
      <w:bookmarkStart w:id="42" w:name="_Toc184310276"/>
      <w:bookmarkEnd w:id="42"/>
      <w:bookmarkStart w:id="43" w:name="_Toc184312084"/>
      <w:bookmarkEnd w:id="43"/>
      <w:bookmarkStart w:id="44" w:name="_Toc184312083"/>
      <w:bookmarkEnd w:id="44"/>
      <w:bookmarkStart w:id="45" w:name="_Toc184314435"/>
      <w:bookmarkEnd w:id="45"/>
      <w:bookmarkStart w:id="46" w:name="_Toc184313301"/>
      <w:bookmarkEnd w:id="46"/>
      <w:bookmarkStart w:id="47" w:name="_Toc184312138"/>
      <w:bookmarkEnd w:id="47"/>
      <w:bookmarkStart w:id="48" w:name="_Toc184313252"/>
      <w:bookmarkEnd w:id="48"/>
      <w:bookmarkStart w:id="49" w:name="_Toc184312101"/>
      <w:bookmarkEnd w:id="49"/>
      <w:bookmarkStart w:id="50" w:name="_Toc184310297"/>
      <w:bookmarkEnd w:id="50"/>
      <w:bookmarkStart w:id="51" w:name="_Toc184312095"/>
      <w:bookmarkEnd w:id="51"/>
      <w:bookmarkStart w:id="52" w:name="_Toc184313310"/>
      <w:bookmarkEnd w:id="52"/>
      <w:bookmarkStart w:id="53" w:name="_Toc184313255"/>
      <w:bookmarkEnd w:id="53"/>
      <w:bookmarkStart w:id="54" w:name="_Toc184314470"/>
      <w:bookmarkEnd w:id="54"/>
      <w:bookmarkStart w:id="55" w:name="_Toc184313283"/>
      <w:bookmarkEnd w:id="55"/>
      <w:bookmarkStart w:id="56" w:name="_Toc184313269"/>
      <w:bookmarkEnd w:id="56"/>
      <w:bookmarkStart w:id="57" w:name="_Toc184308105"/>
      <w:bookmarkEnd w:id="57"/>
      <w:bookmarkStart w:id="58" w:name="_Toc184312072"/>
      <w:bookmarkEnd w:id="58"/>
      <w:bookmarkStart w:id="59" w:name="_Toc184313304"/>
      <w:bookmarkEnd w:id="59"/>
      <w:bookmarkStart w:id="60" w:name="_Toc184313300"/>
      <w:bookmarkEnd w:id="60"/>
      <w:bookmarkStart w:id="61" w:name="_Toc184308107"/>
      <w:bookmarkEnd w:id="61"/>
      <w:bookmarkStart w:id="62" w:name="_Toc184312071"/>
      <w:bookmarkEnd w:id="62"/>
      <w:bookmarkStart w:id="63" w:name="_Toc184313267"/>
      <w:bookmarkEnd w:id="63"/>
      <w:bookmarkStart w:id="64" w:name="_Toc184314448"/>
      <w:bookmarkEnd w:id="64"/>
      <w:bookmarkStart w:id="65" w:name="_Toc184314444"/>
      <w:bookmarkEnd w:id="65"/>
      <w:bookmarkStart w:id="66" w:name="_Toc184310325"/>
      <w:bookmarkEnd w:id="66"/>
      <w:bookmarkStart w:id="67" w:name="_Toc184314445"/>
      <w:bookmarkEnd w:id="67"/>
      <w:bookmarkStart w:id="68" w:name="_Toc184312109"/>
      <w:bookmarkEnd w:id="68"/>
      <w:bookmarkStart w:id="69" w:name="_Toc184308065"/>
      <w:bookmarkEnd w:id="69"/>
      <w:bookmarkStart w:id="70" w:name="_Toc184310330"/>
      <w:bookmarkEnd w:id="70"/>
      <w:bookmarkStart w:id="71" w:name="_Toc184310284"/>
      <w:bookmarkEnd w:id="71"/>
      <w:bookmarkStart w:id="72" w:name="_Toc184314442"/>
      <w:bookmarkEnd w:id="72"/>
      <w:bookmarkStart w:id="73" w:name="_Toc184314427"/>
      <w:bookmarkEnd w:id="73"/>
      <w:bookmarkStart w:id="74" w:name="_Toc184310324"/>
      <w:bookmarkEnd w:id="74"/>
      <w:bookmarkStart w:id="75" w:name="_Toc184313308"/>
      <w:bookmarkEnd w:id="75"/>
      <w:bookmarkStart w:id="76" w:name="_Toc184314423"/>
      <w:bookmarkEnd w:id="76"/>
      <w:bookmarkStart w:id="77" w:name="_Toc184314428"/>
      <w:bookmarkEnd w:id="77"/>
      <w:bookmarkStart w:id="78" w:name="_Toc184312090"/>
      <w:bookmarkEnd w:id="78"/>
      <w:bookmarkStart w:id="79" w:name="_Toc184308057"/>
      <w:bookmarkEnd w:id="79"/>
      <w:bookmarkStart w:id="80" w:name="_Toc184310278"/>
      <w:bookmarkEnd w:id="80"/>
      <w:bookmarkStart w:id="81" w:name="_Toc184310289"/>
      <w:bookmarkEnd w:id="81"/>
      <w:bookmarkStart w:id="82" w:name="_Toc184310317"/>
      <w:bookmarkEnd w:id="82"/>
      <w:bookmarkStart w:id="83" w:name="_Toc184310339"/>
      <w:bookmarkEnd w:id="83"/>
      <w:bookmarkStart w:id="84" w:name="_Toc184314425"/>
      <w:bookmarkEnd w:id="84"/>
      <w:bookmarkStart w:id="85" w:name="_Toc184314479"/>
      <w:bookmarkEnd w:id="85"/>
      <w:bookmarkStart w:id="86" w:name="_Toc184314453"/>
      <w:bookmarkEnd w:id="86"/>
      <w:bookmarkStart w:id="87" w:name="_Toc184310332"/>
      <w:bookmarkEnd w:id="87"/>
      <w:bookmarkStart w:id="88" w:name="_Toc184313291"/>
      <w:bookmarkEnd w:id="88"/>
      <w:bookmarkStart w:id="89" w:name="_Toc184312110"/>
      <w:bookmarkEnd w:id="89"/>
      <w:bookmarkStart w:id="90" w:name="_Toc184310288"/>
      <w:bookmarkEnd w:id="90"/>
      <w:bookmarkStart w:id="91" w:name="_Toc184310326"/>
      <w:bookmarkEnd w:id="91"/>
      <w:bookmarkStart w:id="92" w:name="_Toc184308067"/>
      <w:bookmarkEnd w:id="92"/>
      <w:bookmarkStart w:id="93" w:name="_Toc184308042"/>
      <w:bookmarkEnd w:id="93"/>
      <w:bookmarkStart w:id="94" w:name="_Toc184314443"/>
      <w:bookmarkEnd w:id="94"/>
      <w:bookmarkStart w:id="95" w:name="_Toc184312128"/>
      <w:bookmarkEnd w:id="95"/>
      <w:bookmarkStart w:id="96" w:name="_Toc184310279"/>
      <w:bookmarkEnd w:id="96"/>
      <w:bookmarkStart w:id="97" w:name="_Toc184308098"/>
      <w:bookmarkEnd w:id="97"/>
      <w:bookmarkStart w:id="98" w:name="_Toc184314456"/>
      <w:bookmarkEnd w:id="98"/>
      <w:bookmarkStart w:id="99" w:name="_Toc184313268"/>
      <w:bookmarkEnd w:id="99"/>
      <w:bookmarkStart w:id="100" w:name="_Toc184310285"/>
      <w:bookmarkEnd w:id="100"/>
      <w:bookmarkStart w:id="101" w:name="_Toc184310337"/>
      <w:bookmarkEnd w:id="101"/>
      <w:bookmarkStart w:id="102" w:name="_Toc184313271"/>
      <w:bookmarkEnd w:id="102"/>
      <w:bookmarkStart w:id="103" w:name="_Toc184312133"/>
      <w:bookmarkEnd w:id="103"/>
      <w:bookmarkStart w:id="104" w:name="_Toc184308094"/>
      <w:bookmarkEnd w:id="104"/>
      <w:bookmarkStart w:id="105" w:name="_Toc184314437"/>
      <w:bookmarkEnd w:id="105"/>
      <w:bookmarkStart w:id="106" w:name="_Toc184314424"/>
      <w:bookmarkEnd w:id="106"/>
      <w:bookmarkStart w:id="107" w:name="_Toc184308078"/>
      <w:bookmarkEnd w:id="107"/>
      <w:bookmarkStart w:id="108" w:name="_Toc184308053"/>
      <w:bookmarkEnd w:id="108"/>
      <w:bookmarkStart w:id="109" w:name="_Toc184310318"/>
      <w:bookmarkEnd w:id="109"/>
      <w:bookmarkStart w:id="110" w:name="_Toc184313299"/>
      <w:bookmarkEnd w:id="110"/>
      <w:bookmarkStart w:id="111" w:name="_Toc184308069"/>
      <w:bookmarkEnd w:id="111"/>
      <w:bookmarkStart w:id="112" w:name="_Toc184313242"/>
      <w:bookmarkEnd w:id="112"/>
      <w:bookmarkStart w:id="113" w:name="_Toc184312121"/>
      <w:bookmarkEnd w:id="113"/>
      <w:bookmarkStart w:id="114" w:name="_Toc184312070"/>
      <w:bookmarkEnd w:id="114"/>
      <w:bookmarkStart w:id="115" w:name="_Toc184308090"/>
      <w:bookmarkEnd w:id="115"/>
      <w:bookmarkStart w:id="116" w:name="_Toc184310311"/>
      <w:bookmarkEnd w:id="116"/>
      <w:bookmarkStart w:id="117" w:name="_Toc184313240"/>
      <w:bookmarkEnd w:id="117"/>
      <w:bookmarkStart w:id="118" w:name="_Toc184312073"/>
      <w:bookmarkEnd w:id="118"/>
      <w:bookmarkStart w:id="119" w:name="_Toc184312134"/>
      <w:bookmarkEnd w:id="119"/>
      <w:bookmarkStart w:id="120" w:name="_Toc184308048"/>
      <w:bookmarkEnd w:id="120"/>
      <w:bookmarkStart w:id="121" w:name="_Toc184310323"/>
      <w:bookmarkEnd w:id="121"/>
      <w:bookmarkStart w:id="122" w:name="_Toc184314446"/>
      <w:bookmarkEnd w:id="122"/>
      <w:bookmarkStart w:id="123" w:name="_Toc184314481"/>
      <w:bookmarkEnd w:id="123"/>
      <w:bookmarkStart w:id="124" w:name="_Toc184313244"/>
      <w:bookmarkEnd w:id="124"/>
      <w:bookmarkStart w:id="125" w:name="_Toc184308096"/>
      <w:bookmarkEnd w:id="125"/>
      <w:bookmarkStart w:id="126" w:name="_Toc184308093"/>
      <w:bookmarkEnd w:id="126"/>
      <w:bookmarkStart w:id="127" w:name="_Toc184310344"/>
      <w:bookmarkEnd w:id="127"/>
      <w:bookmarkStart w:id="128" w:name="_Toc184308046"/>
      <w:bookmarkEnd w:id="128"/>
      <w:bookmarkStart w:id="129" w:name="_Toc184308100"/>
      <w:bookmarkEnd w:id="129"/>
      <w:bookmarkStart w:id="130" w:name="_Toc184314473"/>
      <w:bookmarkEnd w:id="130"/>
      <w:bookmarkStart w:id="131" w:name="_Toc184314454"/>
      <w:bookmarkEnd w:id="131"/>
      <w:bookmarkStart w:id="132" w:name="_Toc184314478"/>
      <w:bookmarkEnd w:id="132"/>
      <w:bookmarkStart w:id="133" w:name="_Toc184314410"/>
      <w:bookmarkEnd w:id="133"/>
      <w:bookmarkStart w:id="134" w:name="_Toc184314414"/>
      <w:bookmarkEnd w:id="134"/>
      <w:bookmarkStart w:id="135" w:name="_Toc184314459"/>
      <w:bookmarkEnd w:id="135"/>
      <w:bookmarkStart w:id="136" w:name="_Toc184310290"/>
      <w:bookmarkEnd w:id="136"/>
      <w:bookmarkStart w:id="137" w:name="_Toc184310272"/>
      <w:bookmarkEnd w:id="137"/>
      <w:bookmarkStart w:id="138" w:name="_Toc184312077"/>
      <w:bookmarkEnd w:id="138"/>
      <w:bookmarkStart w:id="139" w:name="_Toc184310283"/>
      <w:bookmarkEnd w:id="139"/>
      <w:bookmarkStart w:id="140" w:name="_Toc184310313"/>
      <w:bookmarkEnd w:id="140"/>
      <w:bookmarkStart w:id="141" w:name="_Toc184310304"/>
      <w:bookmarkEnd w:id="141"/>
      <w:bookmarkStart w:id="142" w:name="_Toc184308091"/>
      <w:bookmarkEnd w:id="142"/>
      <w:bookmarkStart w:id="143" w:name="_Toc184314411"/>
      <w:bookmarkEnd w:id="143"/>
      <w:bookmarkStart w:id="144" w:name="_Toc184312086"/>
      <w:bookmarkEnd w:id="144"/>
      <w:bookmarkStart w:id="145" w:name="_Toc184308038"/>
      <w:bookmarkEnd w:id="145"/>
      <w:bookmarkStart w:id="146" w:name="_Toc184310319"/>
      <w:bookmarkEnd w:id="146"/>
      <w:bookmarkStart w:id="147" w:name="_Toc184313303"/>
      <w:bookmarkEnd w:id="147"/>
      <w:bookmarkStart w:id="148" w:name="_Toc184310331"/>
      <w:bookmarkEnd w:id="148"/>
      <w:bookmarkStart w:id="149" w:name="_Toc184314439"/>
      <w:bookmarkEnd w:id="149"/>
      <w:bookmarkStart w:id="150" w:name="_Toc184313277"/>
      <w:bookmarkEnd w:id="150"/>
      <w:bookmarkStart w:id="151" w:name="_Toc184310310"/>
      <w:bookmarkEnd w:id="151"/>
      <w:bookmarkStart w:id="152" w:name="_Toc184310320"/>
      <w:bookmarkEnd w:id="152"/>
      <w:bookmarkStart w:id="153" w:name="_Toc184308043"/>
      <w:bookmarkEnd w:id="153"/>
      <w:bookmarkStart w:id="154" w:name="_Toc184312119"/>
      <w:bookmarkEnd w:id="154"/>
      <w:bookmarkStart w:id="155" w:name="_Toc184313281"/>
      <w:bookmarkEnd w:id="155"/>
      <w:bookmarkStart w:id="156" w:name="_Toc184308050"/>
      <w:bookmarkEnd w:id="156"/>
      <w:bookmarkStart w:id="157" w:name="_Toc184312108"/>
      <w:bookmarkEnd w:id="157"/>
      <w:bookmarkStart w:id="158" w:name="_Toc184308063"/>
      <w:bookmarkEnd w:id="158"/>
      <w:bookmarkStart w:id="159" w:name="_Toc184308074"/>
      <w:bookmarkEnd w:id="159"/>
      <w:bookmarkStart w:id="160" w:name="_Toc184310340"/>
      <w:bookmarkEnd w:id="160"/>
      <w:bookmarkStart w:id="161" w:name="_Toc184313265"/>
      <w:bookmarkEnd w:id="161"/>
      <w:bookmarkStart w:id="162" w:name="_Toc184312079"/>
      <w:bookmarkEnd w:id="162"/>
      <w:bookmarkStart w:id="163" w:name="_Toc184312106"/>
      <w:bookmarkEnd w:id="163"/>
      <w:bookmarkStart w:id="164" w:name="_Toc184308059"/>
      <w:bookmarkEnd w:id="164"/>
      <w:bookmarkStart w:id="165" w:name="_Toc184310321"/>
      <w:bookmarkEnd w:id="165"/>
      <w:bookmarkStart w:id="166" w:name="_Toc184310300"/>
      <w:bookmarkEnd w:id="166"/>
      <w:bookmarkStart w:id="167" w:name="_Toc184314441"/>
      <w:bookmarkEnd w:id="167"/>
      <w:bookmarkStart w:id="168" w:name="_Toc184308075"/>
      <w:bookmarkEnd w:id="168"/>
      <w:bookmarkStart w:id="169" w:name="_Toc184308097"/>
      <w:bookmarkEnd w:id="169"/>
      <w:bookmarkStart w:id="170" w:name="_Toc184310334"/>
      <w:bookmarkEnd w:id="170"/>
      <w:bookmarkStart w:id="171" w:name="_Toc184313248"/>
      <w:bookmarkEnd w:id="171"/>
      <w:bookmarkStart w:id="172" w:name="_Toc184310273"/>
      <w:bookmarkEnd w:id="172"/>
      <w:bookmarkStart w:id="173" w:name="_Toc184308104"/>
      <w:bookmarkEnd w:id="173"/>
      <w:bookmarkStart w:id="174" w:name="_Toc184314438"/>
      <w:bookmarkEnd w:id="174"/>
      <w:bookmarkStart w:id="175" w:name="_Toc184313245"/>
      <w:bookmarkEnd w:id="175"/>
      <w:bookmarkStart w:id="176" w:name="_Toc184312078"/>
      <w:bookmarkEnd w:id="176"/>
      <w:bookmarkStart w:id="177" w:name="_Toc184312137"/>
      <w:bookmarkEnd w:id="177"/>
      <w:bookmarkStart w:id="178" w:name="_Toc184314417"/>
      <w:bookmarkEnd w:id="178"/>
      <w:bookmarkStart w:id="179" w:name="_Toc184308102"/>
      <w:bookmarkEnd w:id="179"/>
      <w:bookmarkStart w:id="180" w:name="_Toc184312129"/>
      <w:bookmarkEnd w:id="180"/>
      <w:bookmarkStart w:id="181" w:name="_Toc184312103"/>
      <w:bookmarkEnd w:id="181"/>
      <w:bookmarkStart w:id="182" w:name="_Toc184313294"/>
      <w:bookmarkEnd w:id="182"/>
      <w:bookmarkStart w:id="183" w:name="_Toc184313260"/>
      <w:bookmarkEnd w:id="183"/>
      <w:bookmarkStart w:id="184" w:name="_Toc184312136"/>
      <w:bookmarkEnd w:id="184"/>
      <w:bookmarkStart w:id="185" w:name="_Toc184312075"/>
      <w:bookmarkEnd w:id="185"/>
      <w:bookmarkStart w:id="186" w:name="_Toc184313288"/>
      <w:bookmarkEnd w:id="186"/>
      <w:bookmarkStart w:id="187" w:name="_Toc184310274"/>
      <w:bookmarkEnd w:id="187"/>
      <w:bookmarkStart w:id="188" w:name="_Toc184313247"/>
      <w:bookmarkEnd w:id="188"/>
      <w:bookmarkStart w:id="189" w:name="_Toc184310302"/>
      <w:bookmarkEnd w:id="189"/>
      <w:bookmarkStart w:id="190" w:name="_Toc184313278"/>
      <w:bookmarkEnd w:id="190"/>
      <w:bookmarkStart w:id="191" w:name="_Toc184312104"/>
      <w:bookmarkEnd w:id="191"/>
      <w:bookmarkStart w:id="192" w:name="_Toc184312115"/>
      <w:bookmarkEnd w:id="192"/>
      <w:bookmarkStart w:id="193" w:name="_Toc184312131"/>
      <w:bookmarkEnd w:id="193"/>
      <w:bookmarkStart w:id="194" w:name="_Toc184310293"/>
      <w:bookmarkEnd w:id="194"/>
      <w:bookmarkStart w:id="195" w:name="_Toc184308064"/>
      <w:bookmarkEnd w:id="195"/>
      <w:bookmarkStart w:id="196" w:name="_Toc184313309"/>
      <w:bookmarkEnd w:id="196"/>
      <w:bookmarkStart w:id="197" w:name="_Toc184314464"/>
      <w:bookmarkEnd w:id="197"/>
      <w:bookmarkStart w:id="198" w:name="_Toc184312094"/>
      <w:bookmarkEnd w:id="198"/>
      <w:bookmarkStart w:id="199" w:name="_Toc184308103"/>
      <w:bookmarkEnd w:id="199"/>
      <w:bookmarkStart w:id="200" w:name="_Toc184308076"/>
      <w:bookmarkEnd w:id="200"/>
      <w:bookmarkStart w:id="201" w:name="_Toc184312122"/>
      <w:bookmarkEnd w:id="201"/>
      <w:bookmarkStart w:id="202" w:name="_Toc184308036"/>
      <w:bookmarkEnd w:id="202"/>
      <w:bookmarkStart w:id="203" w:name="_Toc184312105"/>
      <w:bookmarkEnd w:id="203"/>
      <w:bookmarkStart w:id="204" w:name="_Toc184314426"/>
      <w:bookmarkEnd w:id="204"/>
      <w:bookmarkStart w:id="205" w:name="_Toc184310338"/>
      <w:bookmarkEnd w:id="205"/>
      <w:bookmarkStart w:id="206" w:name="_Toc184308051"/>
      <w:bookmarkEnd w:id="206"/>
      <w:bookmarkStart w:id="207" w:name="_Toc184310282"/>
      <w:bookmarkEnd w:id="207"/>
      <w:bookmarkStart w:id="208" w:name="_Toc184314472"/>
      <w:bookmarkEnd w:id="208"/>
      <w:bookmarkStart w:id="209" w:name="_Toc184313292"/>
      <w:bookmarkEnd w:id="209"/>
      <w:bookmarkStart w:id="210" w:name="_Toc184314460"/>
      <w:bookmarkEnd w:id="210"/>
      <w:bookmarkStart w:id="211" w:name="_Toc184308062"/>
      <w:bookmarkEnd w:id="211"/>
      <w:bookmarkStart w:id="212" w:name="_Toc184313251"/>
      <w:bookmarkEnd w:id="212"/>
      <w:bookmarkStart w:id="213" w:name="_Toc184314419"/>
      <w:bookmarkEnd w:id="213"/>
      <w:bookmarkStart w:id="214" w:name="_Toc184312139"/>
      <w:bookmarkEnd w:id="214"/>
      <w:bookmarkStart w:id="215" w:name="_Toc184314461"/>
      <w:bookmarkEnd w:id="215"/>
      <w:bookmarkStart w:id="216" w:name="_Toc184308044"/>
      <w:bookmarkEnd w:id="216"/>
      <w:bookmarkStart w:id="217" w:name="_Toc184310315"/>
      <w:bookmarkEnd w:id="217"/>
      <w:bookmarkStart w:id="218" w:name="_Toc184310308"/>
      <w:bookmarkEnd w:id="218"/>
      <w:bookmarkStart w:id="219" w:name="_Toc184314413"/>
      <w:bookmarkEnd w:id="219"/>
      <w:bookmarkStart w:id="220" w:name="_Toc184310277"/>
      <w:bookmarkEnd w:id="220"/>
      <w:bookmarkStart w:id="221" w:name="_Toc184312127"/>
      <w:bookmarkEnd w:id="221"/>
      <w:bookmarkStart w:id="222" w:name="_Toc184312093"/>
      <w:bookmarkEnd w:id="222"/>
      <w:bookmarkStart w:id="223" w:name="_Toc184314465"/>
      <w:bookmarkEnd w:id="223"/>
      <w:bookmarkStart w:id="224" w:name="_Toc184313289"/>
      <w:bookmarkEnd w:id="224"/>
      <w:bookmarkStart w:id="225" w:name="_Toc184313286"/>
      <w:bookmarkEnd w:id="225"/>
      <w:bookmarkStart w:id="226" w:name="_Toc184314418"/>
      <w:bookmarkEnd w:id="226"/>
      <w:bookmarkStart w:id="227" w:name="_Toc184308092"/>
      <w:bookmarkEnd w:id="227"/>
      <w:bookmarkStart w:id="228" w:name="_Toc184310292"/>
      <w:bookmarkEnd w:id="228"/>
      <w:bookmarkStart w:id="229" w:name="_Toc184310298"/>
      <w:bookmarkEnd w:id="229"/>
      <w:bookmarkStart w:id="230" w:name="_Toc184314480"/>
      <w:bookmarkEnd w:id="230"/>
      <w:bookmarkStart w:id="231" w:name="_Toc184308071"/>
      <w:bookmarkEnd w:id="231"/>
      <w:bookmarkStart w:id="232" w:name="_Toc184313238"/>
      <w:bookmarkEnd w:id="232"/>
      <w:bookmarkStart w:id="233" w:name="_Toc184313298"/>
      <w:bookmarkEnd w:id="233"/>
      <w:bookmarkStart w:id="234" w:name="_Toc184312096"/>
      <w:bookmarkEnd w:id="234"/>
      <w:bookmarkStart w:id="235" w:name="_Toc184310303"/>
      <w:bookmarkEnd w:id="235"/>
      <w:bookmarkStart w:id="236" w:name="_Toc184308083"/>
      <w:bookmarkEnd w:id="236"/>
      <w:bookmarkStart w:id="237" w:name="_Toc184308099"/>
      <w:bookmarkEnd w:id="237"/>
      <w:bookmarkStart w:id="238" w:name="_Toc184314469"/>
      <w:bookmarkEnd w:id="238"/>
      <w:bookmarkStart w:id="239" w:name="_Toc184314415"/>
      <w:bookmarkEnd w:id="239"/>
      <w:bookmarkStart w:id="240" w:name="_Toc184313302"/>
      <w:bookmarkEnd w:id="240"/>
      <w:bookmarkStart w:id="241" w:name="_Toc184314462"/>
      <w:bookmarkEnd w:id="241"/>
      <w:bookmarkStart w:id="242" w:name="_Toc184312125"/>
      <w:bookmarkEnd w:id="242"/>
      <w:bookmarkStart w:id="243" w:name="_Toc184314449"/>
      <w:bookmarkEnd w:id="243"/>
      <w:bookmarkStart w:id="244" w:name="_Toc184312067"/>
      <w:bookmarkEnd w:id="244"/>
      <w:bookmarkStart w:id="245" w:name="_Toc184313307"/>
      <w:bookmarkEnd w:id="245"/>
      <w:bookmarkStart w:id="246" w:name="_Toc184310329"/>
      <w:bookmarkEnd w:id="246"/>
      <w:bookmarkStart w:id="247" w:name="_Toc184308080"/>
      <w:bookmarkEnd w:id="247"/>
      <w:bookmarkStart w:id="248" w:name="_Toc184313306"/>
      <w:bookmarkEnd w:id="248"/>
      <w:bookmarkStart w:id="249" w:name="_Toc184310336"/>
      <w:bookmarkEnd w:id="249"/>
      <w:bookmarkStart w:id="250" w:name="_Toc184313279"/>
      <w:bookmarkEnd w:id="250"/>
      <w:bookmarkStart w:id="251" w:name="_Toc184312085"/>
      <w:bookmarkEnd w:id="251"/>
      <w:bookmarkStart w:id="252" w:name="_Toc184308087"/>
      <w:bookmarkEnd w:id="252"/>
      <w:bookmarkStart w:id="253" w:name="_Toc184310307"/>
      <w:bookmarkEnd w:id="253"/>
      <w:bookmarkStart w:id="254" w:name="_Toc184312102"/>
      <w:bookmarkEnd w:id="254"/>
      <w:bookmarkStart w:id="255" w:name="_Toc184310275"/>
      <w:bookmarkEnd w:id="255"/>
      <w:bookmarkStart w:id="256" w:name="_Toc184312111"/>
      <w:bookmarkEnd w:id="256"/>
      <w:bookmarkStart w:id="257" w:name="_Toc184312124"/>
      <w:bookmarkEnd w:id="257"/>
      <w:bookmarkStart w:id="258" w:name="_Toc184312097"/>
      <w:bookmarkEnd w:id="258"/>
      <w:bookmarkStart w:id="259" w:name="_Toc184312112"/>
      <w:bookmarkEnd w:id="259"/>
      <w:bookmarkStart w:id="260" w:name="_Toc184308040"/>
      <w:bookmarkEnd w:id="260"/>
      <w:bookmarkStart w:id="261" w:name="_Toc184312099"/>
      <w:bookmarkEnd w:id="261"/>
      <w:bookmarkStart w:id="262" w:name="_Toc184308086"/>
      <w:bookmarkEnd w:id="262"/>
      <w:bookmarkStart w:id="263" w:name="_Toc184313293"/>
      <w:bookmarkEnd w:id="263"/>
      <w:bookmarkStart w:id="264" w:name="_Toc184308068"/>
      <w:bookmarkEnd w:id="264"/>
      <w:bookmarkStart w:id="265" w:name="_Toc184313243"/>
      <w:bookmarkEnd w:id="265"/>
      <w:bookmarkStart w:id="266" w:name="_Toc184312081"/>
      <w:bookmarkEnd w:id="266"/>
      <w:bookmarkStart w:id="267" w:name="_Toc184314455"/>
      <w:bookmarkEnd w:id="267"/>
      <w:bookmarkStart w:id="268" w:name="_Toc184314482"/>
      <w:bookmarkEnd w:id="268"/>
      <w:bookmarkStart w:id="269" w:name="_Toc184308073"/>
      <w:bookmarkEnd w:id="269"/>
      <w:bookmarkStart w:id="270" w:name="_Toc184310294"/>
      <w:bookmarkEnd w:id="270"/>
      <w:bookmarkStart w:id="271" w:name="_Toc184310309"/>
      <w:bookmarkEnd w:id="271"/>
      <w:bookmarkStart w:id="272" w:name="_Toc184310314"/>
      <w:bookmarkEnd w:id="272"/>
      <w:bookmarkStart w:id="273" w:name="_Toc184310306"/>
      <w:bookmarkEnd w:id="273"/>
      <w:bookmarkStart w:id="274" w:name="_Toc184308082"/>
      <w:bookmarkEnd w:id="274"/>
      <w:bookmarkStart w:id="275" w:name="_Toc184313274"/>
      <w:bookmarkEnd w:id="275"/>
      <w:bookmarkStart w:id="276" w:name="_Toc184310335"/>
      <w:bookmarkEnd w:id="276"/>
      <w:bookmarkStart w:id="277" w:name="_Toc184313285"/>
      <w:bookmarkEnd w:id="277"/>
      <w:bookmarkStart w:id="278" w:name="_Toc184312120"/>
      <w:bookmarkEnd w:id="278"/>
      <w:bookmarkStart w:id="279" w:name="_Toc184310301"/>
      <w:bookmarkEnd w:id="279"/>
      <w:bookmarkStart w:id="280" w:name="_Toc184308047"/>
      <w:bookmarkEnd w:id="280"/>
      <w:bookmarkStart w:id="281" w:name="_Toc184313254"/>
      <w:bookmarkEnd w:id="281"/>
      <w:bookmarkStart w:id="282" w:name="_Toc184314429"/>
      <w:bookmarkEnd w:id="282"/>
      <w:bookmarkStart w:id="283" w:name="_Toc184313296"/>
      <w:bookmarkEnd w:id="283"/>
      <w:bookmarkStart w:id="284" w:name="_Toc184310343"/>
      <w:bookmarkEnd w:id="284"/>
      <w:bookmarkStart w:id="285" w:name="_Toc184308072"/>
      <w:bookmarkEnd w:id="285"/>
      <w:bookmarkStart w:id="286" w:name="_Toc184310342"/>
      <w:bookmarkEnd w:id="286"/>
      <w:bookmarkStart w:id="287" w:name="_Toc184310299"/>
      <w:bookmarkEnd w:id="287"/>
      <w:bookmarkStart w:id="288" w:name="_Toc184312130"/>
      <w:bookmarkEnd w:id="288"/>
      <w:bookmarkStart w:id="289" w:name="_Toc184314436"/>
      <w:bookmarkEnd w:id="289"/>
      <w:bookmarkStart w:id="290" w:name="_Toc184313258"/>
      <w:bookmarkEnd w:id="290"/>
      <w:bookmarkStart w:id="291" w:name="_Toc184312100"/>
      <w:bookmarkEnd w:id="291"/>
      <w:bookmarkStart w:id="292" w:name="_Toc184312087"/>
      <w:bookmarkEnd w:id="292"/>
      <w:bookmarkStart w:id="293" w:name="_Toc184308079"/>
      <w:bookmarkEnd w:id="293"/>
      <w:bookmarkStart w:id="294" w:name="_Toc184310296"/>
      <w:bookmarkEnd w:id="294"/>
      <w:bookmarkStart w:id="295" w:name="_Toc184313262"/>
      <w:bookmarkEnd w:id="295"/>
      <w:bookmarkStart w:id="296" w:name="_Toc184308037"/>
      <w:bookmarkEnd w:id="296"/>
      <w:bookmarkStart w:id="297" w:name="_Toc184313270"/>
      <w:bookmarkEnd w:id="297"/>
      <w:bookmarkStart w:id="298" w:name="_Toc184310328"/>
      <w:bookmarkEnd w:id="298"/>
      <w:bookmarkStart w:id="299" w:name="_Toc184314422"/>
      <w:bookmarkEnd w:id="299"/>
      <w:bookmarkStart w:id="300" w:name="_Toc184313276"/>
      <w:bookmarkEnd w:id="300"/>
      <w:bookmarkStart w:id="301" w:name="_Toc184314447"/>
      <w:bookmarkEnd w:id="301"/>
      <w:bookmarkStart w:id="302" w:name="_Toc184313239"/>
      <w:bookmarkEnd w:id="302"/>
      <w:bookmarkStart w:id="303" w:name="_Toc184314412"/>
      <w:bookmarkEnd w:id="303"/>
      <w:bookmarkStart w:id="304" w:name="_Toc184313273"/>
      <w:bookmarkEnd w:id="304"/>
      <w:bookmarkStart w:id="305" w:name="_Toc184314421"/>
      <w:bookmarkEnd w:id="305"/>
      <w:bookmarkStart w:id="306" w:name="_Toc184313249"/>
      <w:bookmarkEnd w:id="306"/>
      <w:bookmarkStart w:id="307" w:name="_Toc184313272"/>
      <w:bookmarkEnd w:id="307"/>
      <w:bookmarkStart w:id="308" w:name="_Toc184314452"/>
      <w:bookmarkEnd w:id="308"/>
      <w:bookmarkStart w:id="309" w:name="_Toc184314450"/>
      <w:bookmarkEnd w:id="309"/>
      <w:bookmarkStart w:id="310" w:name="_Toc184313297"/>
      <w:bookmarkEnd w:id="310"/>
      <w:bookmarkStart w:id="311" w:name="_Toc184308101"/>
      <w:bookmarkEnd w:id="311"/>
      <w:bookmarkStart w:id="312" w:name="_Toc184308045"/>
      <w:bookmarkEnd w:id="312"/>
      <w:bookmarkStart w:id="313" w:name="_Toc184310341"/>
      <w:bookmarkEnd w:id="313"/>
      <w:bookmarkStart w:id="314" w:name="_Toc184314440"/>
      <w:bookmarkEnd w:id="314"/>
      <w:bookmarkStart w:id="315" w:name="_Toc184312116"/>
      <w:bookmarkEnd w:id="315"/>
      <w:bookmarkStart w:id="316" w:name="_Toc184313287"/>
      <w:bookmarkEnd w:id="316"/>
      <w:bookmarkStart w:id="317" w:name="_Toc184310327"/>
      <w:bookmarkEnd w:id="317"/>
      <w:bookmarkStart w:id="318" w:name="_Toc184310286"/>
      <w:bookmarkEnd w:id="318"/>
      <w:bookmarkStart w:id="319" w:name="_Toc184314416"/>
      <w:bookmarkEnd w:id="319"/>
      <w:bookmarkStart w:id="320" w:name="_Toc184308049"/>
      <w:bookmarkEnd w:id="320"/>
      <w:bookmarkStart w:id="321" w:name="_Toc184312088"/>
      <w:bookmarkEnd w:id="321"/>
      <w:bookmarkStart w:id="322" w:name="_Toc184313259"/>
      <w:bookmarkEnd w:id="322"/>
      <w:bookmarkStart w:id="323" w:name="_Toc184313280"/>
      <w:bookmarkEnd w:id="323"/>
      <w:bookmarkStart w:id="324" w:name="_Toc184310291"/>
      <w:bookmarkEnd w:id="324"/>
      <w:bookmarkStart w:id="325" w:name="_Toc184312132"/>
      <w:bookmarkEnd w:id="325"/>
      <w:bookmarkStart w:id="326" w:name="_Toc184308055"/>
      <w:bookmarkEnd w:id="326"/>
      <w:bookmarkStart w:id="327" w:name="_Toc184314457"/>
      <w:bookmarkEnd w:id="327"/>
      <w:bookmarkStart w:id="328" w:name="_Toc184310287"/>
      <w:bookmarkEnd w:id="328"/>
      <w:bookmarkStart w:id="329" w:name="_Toc184314432"/>
      <w:bookmarkEnd w:id="329"/>
      <w:bookmarkStart w:id="330" w:name="_Toc184308061"/>
      <w:bookmarkEnd w:id="330"/>
      <w:bookmarkStart w:id="331" w:name="_Toc184308084"/>
      <w:bookmarkEnd w:id="331"/>
      <w:bookmarkStart w:id="332" w:name="_Toc184308039"/>
      <w:bookmarkEnd w:id="332"/>
      <w:bookmarkStart w:id="333" w:name="_Toc184312135"/>
      <w:bookmarkEnd w:id="333"/>
      <w:bookmarkStart w:id="334" w:name="_Toc184308077"/>
      <w:bookmarkEnd w:id="334"/>
      <w:bookmarkStart w:id="335" w:name="_Toc184313266"/>
      <w:bookmarkEnd w:id="335"/>
      <w:bookmarkStart w:id="336" w:name="_Toc184313275"/>
      <w:bookmarkEnd w:id="336"/>
      <w:bookmarkStart w:id="337" w:name="_Toc184314463"/>
      <w:bookmarkEnd w:id="337"/>
      <w:bookmarkStart w:id="338" w:name="_Toc184314431"/>
      <w:bookmarkEnd w:id="338"/>
      <w:bookmarkStart w:id="339" w:name="_Toc184312080"/>
      <w:bookmarkEnd w:id="339"/>
      <w:bookmarkStart w:id="340" w:name="_Toc184310312"/>
      <w:bookmarkEnd w:id="340"/>
      <w:bookmarkStart w:id="341" w:name="_Toc184310295"/>
      <w:bookmarkEnd w:id="341"/>
      <w:bookmarkStart w:id="342" w:name="_Toc184314471"/>
      <w:bookmarkEnd w:id="342"/>
      <w:bookmarkStart w:id="343" w:name="_Toc184312098"/>
      <w:bookmarkEnd w:id="343"/>
      <w:bookmarkStart w:id="344" w:name="_Toc184310322"/>
      <w:bookmarkEnd w:id="344"/>
      <w:bookmarkStart w:id="345" w:name="_Toc184313261"/>
      <w:bookmarkEnd w:id="345"/>
      <w:bookmarkStart w:id="346" w:name="_Toc184312107"/>
      <w:bookmarkEnd w:id="346"/>
      <w:bookmarkStart w:id="347" w:name="_Toc184313264"/>
      <w:bookmarkEnd w:id="347"/>
      <w:bookmarkStart w:id="348" w:name="_Toc184308088"/>
      <w:bookmarkEnd w:id="348"/>
      <w:bookmarkStart w:id="349" w:name="_Toc184308089"/>
      <w:bookmarkEnd w:id="349"/>
      <w:bookmarkStart w:id="350" w:name="_Toc184308085"/>
      <w:bookmarkEnd w:id="350"/>
      <w:bookmarkStart w:id="351" w:name="_Toc184314466"/>
      <w:bookmarkEnd w:id="351"/>
      <w:bookmarkStart w:id="352" w:name="_Toc184308060"/>
      <w:bookmarkEnd w:id="352"/>
      <w:bookmarkStart w:id="353" w:name="_Toc184308066"/>
      <w:bookmarkEnd w:id="353"/>
      <w:bookmarkStart w:id="354" w:name="_Toc184308054"/>
      <w:bookmarkEnd w:id="354"/>
      <w:bookmarkStart w:id="355" w:name="_Toc184312126"/>
      <w:bookmarkEnd w:id="355"/>
      <w:bookmarkStart w:id="356" w:name="_Toc184308052"/>
      <w:bookmarkEnd w:id="356"/>
      <w:bookmarkStart w:id="357" w:name="_Toc184313241"/>
      <w:bookmarkEnd w:id="357"/>
      <w:bookmarkStart w:id="358" w:name="_Toc184308056"/>
      <w:bookmarkEnd w:id="358"/>
      <w:bookmarkStart w:id="359" w:name="_Toc184313250"/>
      <w:bookmarkEnd w:id="359"/>
      <w:bookmarkStart w:id="360" w:name="_Toc184314477"/>
      <w:bookmarkEnd w:id="360"/>
      <w:bookmarkStart w:id="361" w:name="_Toc184308058"/>
      <w:bookmarkEnd w:id="361"/>
      <w:bookmarkStart w:id="362" w:name="_Toc184312091"/>
      <w:bookmarkEnd w:id="362"/>
      <w:bookmarkStart w:id="363" w:name="_Toc184314468"/>
      <w:bookmarkEnd w:id="363"/>
      <w:bookmarkStart w:id="364" w:name="_Toc184308070"/>
      <w:bookmarkEnd w:id="364"/>
      <w:bookmarkStart w:id="365" w:name="_Toc184308108"/>
      <w:bookmarkEnd w:id="365"/>
      <w:bookmarkStart w:id="366" w:name="_Toc184310305"/>
      <w:bookmarkEnd w:id="366"/>
      <w:bookmarkStart w:id="367" w:name="_Toc184313282"/>
      <w:bookmarkEnd w:id="367"/>
      <w:bookmarkStart w:id="368" w:name="_Toc184313257"/>
      <w:bookmarkEnd w:id="368"/>
      <w:bookmarkStart w:id="369" w:name="_Toc184313253"/>
      <w:bookmarkEnd w:id="369"/>
      <w:bookmarkStart w:id="370" w:name="_Toc184312118"/>
      <w:bookmarkEnd w:id="370"/>
      <w:bookmarkStart w:id="371" w:name="_Toc184314433"/>
      <w:bookmarkEnd w:id="371"/>
      <w:bookmarkStart w:id="372" w:name="_Toc184312092"/>
      <w:bookmarkEnd w:id="372"/>
      <w:bookmarkStart w:id="373" w:name="_Toc184312123"/>
      <w:bookmarkEnd w:id="373"/>
      <w:bookmarkStart w:id="374" w:name="_Toc184314467"/>
      <w:bookmarkEnd w:id="374"/>
      <w:bookmarkStart w:id="375" w:name="_Toc184313256"/>
      <w:bookmarkEnd w:id="375"/>
      <w:bookmarkStart w:id="376" w:name="_Toc184314430"/>
      <w:bookmarkEnd w:id="376"/>
      <w:bookmarkStart w:id="377" w:name="_Toc184312089"/>
      <w:bookmarkEnd w:id="377"/>
      <w:bookmarkStart w:id="378" w:name="_Toc184308081"/>
      <w:bookmarkEnd w:id="378"/>
      <w:bookmarkStart w:id="379" w:name="_Toc184310280"/>
      <w:bookmarkEnd w:id="379"/>
      <w:bookmarkStart w:id="380" w:name="_Toc184308041"/>
      <w:bookmarkEnd w:id="380"/>
      <w:bookmarkStart w:id="381" w:name="_Toc184314420"/>
      <w:bookmarkEnd w:id="381"/>
      <w:bookmarkStart w:id="382" w:name="_Toc184312068"/>
      <w:bookmarkEnd w:id="382"/>
      <w:bookmarkStart w:id="383" w:name="_Toc184313290"/>
      <w:bookmarkEnd w:id="383"/>
      <w:bookmarkStart w:id="384" w:name="_Toc184312113"/>
      <w:bookmarkEnd w:id="384"/>
      <w:bookmarkStart w:id="385" w:name="_Toc184314476"/>
      <w:bookmarkEnd w:id="385"/>
      <w:bookmarkStart w:id="386" w:name="_Toc184314434"/>
      <w:bookmarkEnd w:id="386"/>
      <w:bookmarkStart w:id="387" w:name="_Toc184312076"/>
      <w:bookmarkEnd w:id="387"/>
      <w:bookmarkStart w:id="388" w:name="_Toc184313246"/>
      <w:bookmarkEnd w:id="388"/>
      <w:bookmarkStart w:id="389" w:name="_Toc184313305"/>
      <w:bookmarkEnd w:id="389"/>
      <w:bookmarkStart w:id="390" w:name="_Toc184312117"/>
      <w:bookmarkEnd w:id="390"/>
      <w:bookmarkStart w:id="391" w:name="_Toc184314475"/>
      <w:bookmarkEnd w:id="391"/>
      <w:bookmarkStart w:id="392" w:name="_Toc184314458"/>
      <w:bookmarkEnd w:id="392"/>
      <w:bookmarkStart w:id="393" w:name="_Toc184310333"/>
      <w:bookmarkEnd w:id="393"/>
      <w:bookmarkStart w:id="394" w:name="_Toc184314474"/>
      <w:bookmarkEnd w:id="394"/>
      <w:r>
        <w:rPr>
          <w:rFonts w:hint="eastAsia" w:ascii="宋体" w:hAnsi="宋体" w:cs="宋体"/>
          <w:b/>
          <w:sz w:val="36"/>
          <w:szCs w:val="36"/>
        </w:rPr>
        <w:t>评标办法</w:t>
      </w:r>
    </w:p>
    <w:p>
      <w:pPr>
        <w:snapToGrid w:val="0"/>
        <w:spacing w:line="360" w:lineRule="auto"/>
        <w:jc w:val="center"/>
        <w:rPr>
          <w:rFonts w:ascii="宋体" w:hAnsi="宋体" w:cs="宋体"/>
        </w:rPr>
      </w:pPr>
      <w:r>
        <w:rPr>
          <w:rFonts w:hint="eastAsia" w:ascii="宋体" w:hAnsi="宋体" w:cs="宋体"/>
          <w:b/>
          <w:sz w:val="32"/>
          <w:szCs w:val="20"/>
        </w:rPr>
        <w:t>评标办法前附表</w:t>
      </w:r>
    </w:p>
    <w:tbl>
      <w:tblPr>
        <w:tblStyle w:val="62"/>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172"/>
        <w:gridCol w:w="50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vAlign w:val="center"/>
          </w:tcPr>
          <w:p>
            <w:pPr>
              <w:spacing w:line="360" w:lineRule="auto"/>
              <w:outlineLvl w:val="0"/>
              <w:rPr>
                <w:rFonts w:ascii="宋体" w:hAnsi="宋体" w:cs="宋体"/>
                <w:b/>
                <w:sz w:val="24"/>
              </w:rPr>
            </w:pPr>
            <w:r>
              <w:rPr>
                <w:rFonts w:hint="eastAsia" w:ascii="宋体" w:hAnsi="宋体" w:cs="宋体"/>
                <w:b/>
                <w:sz w:val="24"/>
              </w:rPr>
              <w:t>序号</w:t>
            </w:r>
          </w:p>
        </w:tc>
        <w:tc>
          <w:tcPr>
            <w:tcW w:w="6172" w:type="dxa"/>
            <w:vAlign w:val="center"/>
          </w:tcPr>
          <w:p>
            <w:pPr>
              <w:spacing w:line="360" w:lineRule="auto"/>
              <w:jc w:val="center"/>
              <w:outlineLvl w:val="0"/>
              <w:rPr>
                <w:rFonts w:ascii="宋体" w:hAnsi="宋体" w:cs="宋体"/>
                <w:b/>
                <w:sz w:val="24"/>
              </w:rPr>
            </w:pPr>
            <w:r>
              <w:rPr>
                <w:rFonts w:hint="eastAsia" w:ascii="宋体" w:hAnsi="宋体" w:cs="宋体"/>
                <w:b/>
                <w:sz w:val="24"/>
              </w:rPr>
              <w:t>评标标准</w:t>
            </w:r>
          </w:p>
        </w:tc>
        <w:tc>
          <w:tcPr>
            <w:tcW w:w="500" w:type="dxa"/>
            <w:vAlign w:val="center"/>
          </w:tcPr>
          <w:p>
            <w:pPr>
              <w:spacing w:line="360" w:lineRule="auto"/>
              <w:jc w:val="center"/>
              <w:outlineLvl w:val="0"/>
              <w:rPr>
                <w:rFonts w:ascii="宋体" w:hAnsi="宋体" w:cs="宋体"/>
                <w:b/>
                <w:sz w:val="24"/>
              </w:rPr>
            </w:pPr>
            <w:r>
              <w:rPr>
                <w:rFonts w:hint="eastAsia" w:ascii="宋体" w:hAnsi="宋体" w:cs="宋体"/>
                <w:b/>
                <w:sz w:val="24"/>
              </w:rPr>
              <w:t>最高分值</w:t>
            </w:r>
          </w:p>
        </w:tc>
        <w:tc>
          <w:tcPr>
            <w:tcW w:w="1425" w:type="dxa"/>
          </w:tcPr>
          <w:p>
            <w:pPr>
              <w:spacing w:line="360" w:lineRule="auto"/>
              <w:jc w:val="center"/>
              <w:outlineLvl w:val="0"/>
              <w:rPr>
                <w:rFonts w:ascii="宋体" w:hAnsi="宋体" w:cs="宋体"/>
                <w:b/>
                <w:sz w:val="24"/>
              </w:rPr>
            </w:pPr>
            <w:r>
              <w:rPr>
                <w:rFonts w:hint="eastAsia" w:ascii="宋体" w:hAnsi="宋体" w:cs="宋体"/>
                <w:b/>
                <w:sz w:val="24"/>
              </w:rPr>
              <w:t>投标文件中评标标准相应的商务技术资料目录</w:t>
            </w:r>
            <w:r>
              <w:rPr>
                <w:rFonts w:hint="eastAsia" w:ascii="宋体" w:hAnsi="宋体" w:cs="宋体"/>
                <w:b/>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vAlign w:val="center"/>
          </w:tcPr>
          <w:p>
            <w:pPr>
              <w:widowControl/>
              <w:spacing w:line="360" w:lineRule="auto"/>
              <w:ind w:firstLine="240" w:firstLineChars="100"/>
              <w:textAlignment w:val="center"/>
              <w:rPr>
                <w:rFonts w:ascii="宋体" w:hAnsi="宋体" w:cs="宋体"/>
                <w:color w:val="000000"/>
                <w:sz w:val="24"/>
              </w:rPr>
            </w:pPr>
            <w:r>
              <w:rPr>
                <w:rFonts w:hint="eastAsia" w:ascii="宋体" w:hAnsi="宋体" w:cs="宋体"/>
                <w:color w:val="000000"/>
                <w:kern w:val="0"/>
                <w:sz w:val="24"/>
                <w:lang w:bidi="ar"/>
              </w:rPr>
              <w:t>1</w:t>
            </w:r>
          </w:p>
        </w:tc>
        <w:tc>
          <w:tcPr>
            <w:tcW w:w="6172" w:type="dxa"/>
            <w:vAlign w:val="center"/>
          </w:tcPr>
          <w:p>
            <w:pPr>
              <w:widowControl/>
              <w:adjustRightInd/>
              <w:spacing w:line="360" w:lineRule="auto"/>
              <w:jc w:val="left"/>
              <w:rPr>
                <w:rFonts w:ascii="宋体" w:hAnsi="宋体" w:cs="宋体"/>
                <w:color w:val="000000"/>
                <w:kern w:val="0"/>
                <w:sz w:val="24"/>
              </w:rPr>
            </w:pPr>
            <w:r>
              <w:rPr>
                <w:rFonts w:hint="eastAsia" w:ascii="宋体" w:hAnsi="宋体" w:cs="宋体"/>
                <w:color w:val="000000"/>
                <w:kern w:val="0"/>
                <w:sz w:val="24"/>
              </w:rPr>
              <w:t>投标人自202</w:t>
            </w:r>
            <w:r>
              <w:rPr>
                <w:rFonts w:ascii="宋体" w:hAnsi="宋体" w:cs="宋体"/>
                <w:color w:val="000000"/>
                <w:kern w:val="0"/>
                <w:sz w:val="24"/>
              </w:rPr>
              <w:t>1</w:t>
            </w:r>
            <w:r>
              <w:rPr>
                <w:rFonts w:hint="eastAsia" w:ascii="宋体" w:hAnsi="宋体" w:cs="宋体"/>
                <w:color w:val="000000"/>
                <w:kern w:val="0"/>
                <w:sz w:val="24"/>
              </w:rPr>
              <w:t>年1月1日以来完成过类似项目业绩的，每个得0.5分，最高得1分。</w:t>
            </w:r>
          </w:p>
          <w:p>
            <w:pPr>
              <w:widowControl/>
              <w:adjustRightInd/>
              <w:spacing w:line="360" w:lineRule="auto"/>
              <w:jc w:val="left"/>
              <w:rPr>
                <w:rFonts w:ascii="宋体" w:hAnsi="宋体" w:cs="宋体"/>
                <w:color w:val="000000"/>
                <w:kern w:val="0"/>
                <w:sz w:val="24"/>
              </w:rPr>
            </w:pPr>
            <w:r>
              <w:rPr>
                <w:rFonts w:hint="eastAsia" w:ascii="宋体" w:hAnsi="宋体" w:cs="宋体"/>
                <w:color w:val="000000"/>
                <w:kern w:val="0"/>
                <w:sz w:val="24"/>
              </w:rPr>
              <w:t>证明材料：合同扫描件，日期以合同签订日期为准，不提供不得分。一个单位分年度多次签订的案例，计入1个案例；同一个项目，分两期或以上建设完成的，计入1个案例</w:t>
            </w:r>
          </w:p>
        </w:tc>
        <w:tc>
          <w:tcPr>
            <w:tcW w:w="500"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1425"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ind w:firstLine="240" w:firstLineChars="100"/>
              <w:textAlignment w:val="center"/>
              <w:rPr>
                <w:rFonts w:ascii="宋体" w:hAnsi="宋体" w:cs="宋体"/>
                <w:color w:val="000000"/>
                <w:sz w:val="24"/>
              </w:rPr>
            </w:pPr>
            <w:r>
              <w:rPr>
                <w:rFonts w:hint="eastAsia" w:ascii="宋体" w:hAnsi="宋体" w:cs="宋体"/>
                <w:color w:val="000000"/>
                <w:kern w:val="0"/>
                <w:sz w:val="24"/>
                <w:lang w:bidi="ar"/>
              </w:rPr>
              <w:t>2</w:t>
            </w:r>
          </w:p>
        </w:tc>
        <w:tc>
          <w:tcPr>
            <w:tcW w:w="6172" w:type="dxa"/>
          </w:tcPr>
          <w:p>
            <w:pPr>
              <w:widowControl/>
              <w:adjustRightInd/>
              <w:spacing w:line="360" w:lineRule="auto"/>
              <w:jc w:val="left"/>
              <w:rPr>
                <w:rFonts w:ascii="宋体" w:hAnsi="宋体" w:cs="宋体"/>
                <w:color w:val="000000"/>
                <w:kern w:val="0"/>
                <w:sz w:val="24"/>
              </w:rPr>
            </w:pPr>
            <w:r>
              <w:rPr>
                <w:rFonts w:hint="eastAsia" w:ascii="宋体" w:hAnsi="宋体" w:cs="宋体"/>
                <w:color w:val="000000"/>
                <w:kern w:val="0"/>
                <w:sz w:val="24"/>
              </w:rPr>
              <w:t>投标人具有有效的职业健康安全管理体系认证证书、环境管理体系认证证书、质量管理体系认证证书，每项得1分，最高得3分。</w:t>
            </w:r>
          </w:p>
          <w:p>
            <w:pPr>
              <w:widowControl/>
              <w:adjustRightInd/>
              <w:spacing w:line="360" w:lineRule="auto"/>
              <w:jc w:val="left"/>
              <w:rPr>
                <w:rFonts w:ascii="宋体" w:hAnsi="宋体" w:cs="宋体"/>
                <w:color w:val="000000"/>
                <w:sz w:val="24"/>
              </w:rPr>
            </w:pPr>
            <w:r>
              <w:rPr>
                <w:rFonts w:hint="eastAsia" w:ascii="宋体" w:hAnsi="宋体" w:cs="宋体"/>
                <w:color w:val="000000"/>
                <w:kern w:val="0"/>
                <w:sz w:val="24"/>
              </w:rPr>
              <w:t>证明材料：</w:t>
            </w:r>
            <w:r>
              <w:rPr>
                <w:rFonts w:hint="eastAsia" w:ascii="宋体" w:hAnsi="宋体" w:eastAsia="宋体" w:cs="宋体"/>
                <w:kern w:val="0"/>
                <w:sz w:val="24"/>
                <w:szCs w:val="24"/>
              </w:rPr>
              <w:t>提供在有效期内</w:t>
            </w:r>
            <w:r>
              <w:rPr>
                <w:rFonts w:hint="eastAsia" w:ascii="宋体" w:hAnsi="宋体" w:cs="宋体"/>
                <w:kern w:val="0"/>
                <w:sz w:val="24"/>
                <w:szCs w:val="24"/>
                <w:lang w:eastAsia="zh-CN"/>
              </w:rPr>
              <w:t>的证书复印件</w:t>
            </w:r>
            <w:r>
              <w:rPr>
                <w:rFonts w:hint="eastAsia" w:ascii="宋体" w:hAnsi="宋体" w:eastAsia="宋体" w:cs="宋体"/>
                <w:kern w:val="0"/>
                <w:sz w:val="24"/>
                <w:szCs w:val="24"/>
              </w:rPr>
              <w:t>并提供可在全国认证认可信息公共服务平台查询</w:t>
            </w:r>
            <w:r>
              <w:rPr>
                <w:rFonts w:hint="eastAsia" w:ascii="宋体" w:hAnsi="宋体" w:cs="宋体"/>
                <w:kern w:val="0"/>
                <w:sz w:val="24"/>
                <w:szCs w:val="24"/>
                <w:lang w:eastAsia="zh-CN"/>
              </w:rPr>
              <w:t>的截图</w:t>
            </w:r>
            <w:r>
              <w:rPr>
                <w:rFonts w:hint="eastAsia" w:ascii="宋体" w:hAnsi="宋体" w:cs="宋体"/>
                <w:color w:val="000000"/>
                <w:kern w:val="0"/>
                <w:sz w:val="24"/>
              </w:rPr>
              <w:t>，未</w:t>
            </w:r>
            <w:r>
              <w:rPr>
                <w:rFonts w:hint="eastAsia" w:ascii="宋体" w:hAnsi="宋体" w:cs="宋体"/>
                <w:color w:val="000000"/>
                <w:kern w:val="0"/>
                <w:sz w:val="24"/>
                <w:lang w:eastAsia="zh-CN"/>
              </w:rPr>
              <w:t>提供</w:t>
            </w:r>
            <w:r>
              <w:rPr>
                <w:rFonts w:hint="eastAsia" w:ascii="宋体" w:hAnsi="宋体" w:cs="宋体"/>
                <w:color w:val="000000"/>
                <w:kern w:val="0"/>
                <w:sz w:val="24"/>
              </w:rPr>
              <w:t>的，不得分。</w:t>
            </w:r>
          </w:p>
        </w:tc>
        <w:tc>
          <w:tcPr>
            <w:tcW w:w="500" w:type="dxa"/>
            <w:vAlign w:val="center"/>
          </w:tcPr>
          <w:p>
            <w:pPr>
              <w:widowControl/>
              <w:adjustRightInd/>
              <w:spacing w:line="360" w:lineRule="auto"/>
              <w:jc w:val="center"/>
              <w:rPr>
                <w:rFonts w:ascii="宋体" w:hAnsi="宋体" w:cs="宋体"/>
                <w:color w:val="000000"/>
                <w:sz w:val="24"/>
              </w:rPr>
            </w:pPr>
            <w:r>
              <w:rPr>
                <w:rFonts w:hint="eastAsia" w:ascii="宋体" w:hAnsi="宋体" w:cs="宋体"/>
                <w:color w:val="000000"/>
                <w:kern w:val="0"/>
                <w:sz w:val="24"/>
              </w:rPr>
              <w:t>3</w:t>
            </w:r>
          </w:p>
        </w:tc>
        <w:tc>
          <w:tcPr>
            <w:tcW w:w="1425" w:type="dxa"/>
            <w:vAlign w:val="center"/>
          </w:tcPr>
          <w:p>
            <w:pPr>
              <w:widowControl/>
              <w:adjustRightInd/>
              <w:spacing w:line="360" w:lineRule="auto"/>
              <w:jc w:val="center"/>
              <w:rPr>
                <w:rFonts w:ascii="宋体" w:hAnsi="宋体" w:cs="宋体"/>
                <w:color w:val="000000"/>
                <w:sz w:val="24"/>
              </w:rPr>
            </w:pPr>
            <w:r>
              <w:rPr>
                <w:rFonts w:hint="eastAsia" w:ascii="宋体" w:hAnsi="宋体" w:cs="宋体"/>
                <w:color w:val="000000"/>
                <w:kern w:val="0"/>
                <w:sz w:val="24"/>
              </w:rPr>
              <w:t>企业管理体系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6172" w:type="dxa"/>
            <w:vAlign w:val="center"/>
          </w:tcPr>
          <w:p>
            <w:pPr>
              <w:widowControl/>
              <w:adjustRightInd/>
              <w:spacing w:line="360" w:lineRule="auto"/>
              <w:jc w:val="left"/>
              <w:rPr>
                <w:rFonts w:ascii="宋体" w:hAnsi="宋体" w:cs="宋体"/>
                <w:color w:val="000000"/>
                <w:kern w:val="0"/>
                <w:sz w:val="24"/>
              </w:rPr>
            </w:pPr>
            <w:r>
              <w:rPr>
                <w:rFonts w:hint="eastAsia" w:ascii="宋体" w:hAnsi="宋体" w:cs="宋体"/>
                <w:b/>
                <w:bCs/>
                <w:color w:val="000000"/>
                <w:kern w:val="0"/>
                <w:sz w:val="24"/>
              </w:rPr>
              <w:t>投标人针对本项目制定的校园保安工作职责规划方案：</w:t>
            </w:r>
            <w:r>
              <w:rPr>
                <w:rFonts w:hint="eastAsia" w:ascii="宋体" w:hAnsi="宋体" w:cs="宋体"/>
                <w:color w:val="000000"/>
                <w:kern w:val="0"/>
                <w:sz w:val="24"/>
              </w:rPr>
              <w:t>方案符合招标文件要求，条理清晰，内容详尽完整、合理的得5分；方案条理较清晰，内容较详尽完整、较合理的得3分；方案条理欠清晰，内容欠详尽完整、欠合理的得1分；方案条理不清晰，内容不详尽完整、不合理或未提供本项方案的不得分。</w:t>
            </w:r>
          </w:p>
        </w:tc>
        <w:tc>
          <w:tcPr>
            <w:tcW w:w="500"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5</w:t>
            </w:r>
          </w:p>
        </w:tc>
        <w:tc>
          <w:tcPr>
            <w:tcW w:w="1425"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职责规划方案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ind w:firstLine="240" w:firstLineChars="100"/>
              <w:textAlignment w:val="center"/>
              <w:rPr>
                <w:rFonts w:ascii="宋体" w:hAnsi="宋体" w:cs="宋体"/>
                <w:color w:val="000000"/>
                <w:sz w:val="24"/>
              </w:rPr>
            </w:pPr>
            <w:r>
              <w:rPr>
                <w:rFonts w:hint="eastAsia" w:ascii="宋体" w:hAnsi="宋体" w:cs="宋体"/>
                <w:color w:val="000000"/>
                <w:sz w:val="24"/>
              </w:rPr>
              <w:t>4</w:t>
            </w:r>
          </w:p>
        </w:tc>
        <w:tc>
          <w:tcPr>
            <w:tcW w:w="6172" w:type="dxa"/>
            <w:vAlign w:val="center"/>
          </w:tcPr>
          <w:p>
            <w:pPr>
              <w:widowControl/>
              <w:spacing w:line="360" w:lineRule="auto"/>
              <w:jc w:val="left"/>
              <w:textAlignment w:val="center"/>
              <w:rPr>
                <w:rFonts w:ascii="宋体" w:hAnsi="宋体" w:cs="宋体"/>
                <w:color w:val="000000"/>
                <w:sz w:val="24"/>
              </w:rPr>
            </w:pPr>
            <w:r>
              <w:rPr>
                <w:rFonts w:hint="eastAsia" w:ascii="宋体" w:hAnsi="宋体" w:cs="宋体"/>
                <w:b/>
                <w:bCs/>
                <w:color w:val="000000"/>
                <w:kern w:val="0"/>
                <w:sz w:val="24"/>
              </w:rPr>
              <w:t>投标人应对重大活动或重要接待任务的服务方案：</w:t>
            </w:r>
            <w:r>
              <w:rPr>
                <w:rFonts w:hint="eastAsia" w:ascii="宋体" w:hAnsi="宋体" w:cs="宋体"/>
                <w:color w:val="000000"/>
                <w:kern w:val="0"/>
                <w:sz w:val="24"/>
              </w:rPr>
              <w:t>方案符合招标文件要求，条理清晰，内容详尽完整、合理的得5分；方案条理较清晰，内容较详尽完整、较合理的得3分；方案条理欠清晰，内容欠详尽完整、欠合理的得1分；方案条理不清晰，内容不详尽完整、不合理科学或未提供本项方案的不得分。</w:t>
            </w:r>
          </w:p>
        </w:tc>
        <w:tc>
          <w:tcPr>
            <w:tcW w:w="500"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5</w:t>
            </w:r>
          </w:p>
        </w:tc>
        <w:tc>
          <w:tcPr>
            <w:tcW w:w="1425"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应对重大活动或重要接待任务的服务方案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根据对本项目采购需求的理解，对保安工作存在的难点、要点问题分析：</w:t>
            </w:r>
            <w:r>
              <w:rPr>
                <w:rFonts w:hint="eastAsia" w:ascii="宋体" w:hAnsi="宋体" w:cs="宋体"/>
                <w:color w:val="000000"/>
                <w:kern w:val="0"/>
                <w:sz w:val="24"/>
              </w:rPr>
              <w:t>分析准确、条理清晰、内容详尽的得5分；分析较准确、条理较清晰、内容较详尽的得3分；分析欠准确、条理欠清晰、内容欠详尽的得1分；分析不准确、条理不清晰，内容不详尽或未提供本项方案的不得分。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142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重点、难点分析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投标人针对本项目制定的岗位管理制度</w:t>
            </w:r>
            <w:r>
              <w:rPr>
                <w:rFonts w:hint="eastAsia" w:ascii="宋体" w:hAnsi="宋体" w:cs="宋体"/>
                <w:color w:val="000000"/>
                <w:kern w:val="0"/>
                <w:sz w:val="24"/>
              </w:rPr>
              <w:t>（包括岗位人员职责、交接班制度、例会制度、义务消防制度等）：方案符合招标文件要求，条理清晰，内容详尽完整、合理的得4分；方案条理较清晰，内容较详尽完整、较合理的得2分；方案条理欠清晰，内容欠详尽完整、欠合理的得1分；方案条理不清晰，内容不详尽完整、不合理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4</w:t>
            </w:r>
          </w:p>
        </w:tc>
        <w:tc>
          <w:tcPr>
            <w:tcW w:w="142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岗位管理制度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7</w:t>
            </w: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投标人针对本项目制定的人事管理制度</w:t>
            </w:r>
            <w:r>
              <w:rPr>
                <w:rFonts w:hint="eastAsia" w:ascii="宋体" w:hAnsi="宋体" w:cs="宋体"/>
                <w:color w:val="000000"/>
                <w:kern w:val="0"/>
                <w:sz w:val="24"/>
              </w:rPr>
              <w:t>（包括员工管理、档案管理、人文关怀、员工考核细则、信息化管理等）：方案符合招标文件要求，条理清晰，内容详尽完整、合理的得5分；方案条理较清晰，内容较详尽完整、较合理的得3分；方案条理欠清晰，内容欠详尽完整、欠合理的得1分；方案条理不清晰，内容不详尽完整、不合理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142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人事管理制度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投标人针对本项目制定的服务质量保障方案（</w:t>
            </w:r>
            <w:r>
              <w:rPr>
                <w:rFonts w:hint="eastAsia" w:ascii="宋体" w:hAnsi="宋体" w:cs="宋体"/>
                <w:color w:val="000000"/>
                <w:kern w:val="0"/>
                <w:sz w:val="24"/>
              </w:rPr>
              <w:t>包括管理教育保障、人员供应保障、人员稳定保障等）：方案符合招标文件要求，条理清晰，内容详尽完整、合理的得3分；方案条理较清晰，内容较详尽完整、较合理的得2分；方案条理欠清晰，内容欠详尽完整、欠合理的得1分；方案条理不清晰，内容不详尽完整、不合理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3</w:t>
            </w:r>
          </w:p>
        </w:tc>
        <w:tc>
          <w:tcPr>
            <w:tcW w:w="142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服务质量保障方案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投标人所提供与原供应商交接方案</w:t>
            </w:r>
            <w:r>
              <w:rPr>
                <w:rFonts w:hint="eastAsia" w:ascii="宋体" w:hAnsi="宋体" w:cs="宋体"/>
                <w:color w:val="000000"/>
                <w:kern w:val="0"/>
                <w:sz w:val="24"/>
              </w:rPr>
              <w:t>：方案符合招标文件要求，条理清晰，内容详尽完整、交接措施合理的得5分；方案条理较清晰，内容较详尽完整、交接措施较合理的得2分；方案条理欠清晰，内容欠详尽完整、交接措施欠合理的得1分；方案条理不清晰，内容不详尽完整、交接措施不合理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142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与原供应商交接方案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10</w:t>
            </w: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投标人根据本项目制定的校园保安服务监督考核办法</w:t>
            </w:r>
            <w:r>
              <w:rPr>
                <w:rFonts w:hint="eastAsia" w:ascii="宋体" w:hAnsi="宋体" w:cs="宋体"/>
                <w:color w:val="000000"/>
                <w:kern w:val="0"/>
                <w:sz w:val="24"/>
              </w:rPr>
              <w:t>（包括考核机制、激励机制、监督机制、自我约束机制、信息反馈渠道及处理机制等）方案符合招标文件要求，条理清晰，内容详尽完整、合理的得5分；方案条理较清晰，内容较详尽完整、较合理的得3分；方案条理欠清晰，内容欠详尽完整、欠合理的得1分；方案条理不清晰，内容不详尽完整、不合理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142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11</w:t>
            </w:r>
          </w:p>
        </w:tc>
        <w:tc>
          <w:tcPr>
            <w:tcW w:w="6172" w:type="dxa"/>
            <w:vAlign w:val="center"/>
          </w:tcPr>
          <w:p>
            <w:pPr>
              <w:widowControl/>
              <w:spacing w:line="360" w:lineRule="auto"/>
              <w:jc w:val="left"/>
              <w:textAlignment w:val="center"/>
              <w:rPr>
                <w:rFonts w:ascii="宋体" w:hAnsi="宋体" w:cs="宋体"/>
                <w:b/>
                <w:bCs/>
                <w:kern w:val="0"/>
                <w:sz w:val="24"/>
              </w:rPr>
            </w:pPr>
            <w:r>
              <w:rPr>
                <w:rFonts w:hint="eastAsia" w:ascii="宋体" w:hAnsi="宋体" w:cs="宋体"/>
                <w:b/>
                <w:bCs/>
                <w:color w:val="000000"/>
                <w:kern w:val="0"/>
                <w:sz w:val="24"/>
              </w:rPr>
              <w:t>拟派</w:t>
            </w:r>
            <w:r>
              <w:rPr>
                <w:rFonts w:hint="eastAsia" w:ascii="宋体" w:hAnsi="宋体" w:cs="宋体"/>
                <w:b/>
                <w:bCs/>
                <w:kern w:val="0"/>
                <w:sz w:val="24"/>
              </w:rPr>
              <w:t>的服务学校保安队长：</w:t>
            </w:r>
          </w:p>
          <w:p>
            <w:pPr>
              <w:widowControl/>
              <w:spacing w:line="360" w:lineRule="auto"/>
              <w:jc w:val="left"/>
              <w:textAlignment w:val="center"/>
              <w:rPr>
                <w:rFonts w:ascii="宋体" w:hAnsi="宋体" w:cs="宋体"/>
                <w:kern w:val="0"/>
                <w:sz w:val="24"/>
              </w:rPr>
            </w:pPr>
            <w:r>
              <w:rPr>
                <w:rFonts w:hint="eastAsia" w:ascii="宋体" w:hAnsi="宋体" w:cs="宋体"/>
                <w:kern w:val="0"/>
                <w:sz w:val="24"/>
              </w:rPr>
              <w:t>1）年龄55周岁以下，具有专科及以上学历的得2分，不符合的本项不得分；</w:t>
            </w:r>
          </w:p>
          <w:p>
            <w:pPr>
              <w:widowControl/>
              <w:spacing w:line="360" w:lineRule="auto"/>
              <w:jc w:val="left"/>
              <w:textAlignment w:val="center"/>
              <w:rPr>
                <w:rFonts w:ascii="宋体" w:hAnsi="宋体" w:cs="宋体"/>
                <w:sz w:val="24"/>
              </w:rPr>
            </w:pPr>
            <w:r>
              <w:rPr>
                <w:rFonts w:hint="eastAsia" w:ascii="宋体" w:hAnsi="宋体" w:cs="宋体"/>
                <w:kern w:val="0"/>
                <w:sz w:val="24"/>
              </w:rPr>
              <w:t>2）具有5年以上相关服务经验得1分，不符合的本项不得分。</w:t>
            </w:r>
          </w:p>
          <w:p>
            <w:pPr>
              <w:widowControl/>
              <w:spacing w:line="360" w:lineRule="auto"/>
              <w:jc w:val="left"/>
              <w:textAlignment w:val="center"/>
              <w:rPr>
                <w:rFonts w:ascii="宋体" w:hAnsi="宋体" w:cs="宋体"/>
                <w:color w:val="000000"/>
                <w:kern w:val="0"/>
                <w:sz w:val="24"/>
              </w:rPr>
            </w:pPr>
            <w:r>
              <w:rPr>
                <w:rFonts w:hint="eastAsia" w:ascii="宋体" w:hAnsi="宋体" w:cs="宋体"/>
                <w:color w:val="000000"/>
                <w:kern w:val="0"/>
                <w:sz w:val="24"/>
              </w:rPr>
              <w:t>证明材料：提供身份证、</w:t>
            </w:r>
            <w:r>
              <w:rPr>
                <w:rFonts w:hint="eastAsia" w:ascii="宋体" w:hAnsi="宋体" w:cs="宋体"/>
                <w:kern w:val="0"/>
                <w:sz w:val="24"/>
              </w:rPr>
              <w:t>工作经验证明、</w:t>
            </w:r>
            <w:r>
              <w:rPr>
                <w:rFonts w:hint="eastAsia" w:ascii="宋体" w:hAnsi="宋体" w:cs="宋体"/>
                <w:color w:val="000000"/>
                <w:kern w:val="0"/>
                <w:sz w:val="24"/>
              </w:rPr>
              <w:t>相关学历证书及在投标单位缴纳社保的证明文件扫描件，社保证明须在本项目招标文件发布日之后打印，未提供不得分。</w:t>
            </w:r>
          </w:p>
        </w:tc>
        <w:tc>
          <w:tcPr>
            <w:tcW w:w="500" w:type="dxa"/>
            <w:vAlign w:val="center"/>
          </w:tcPr>
          <w:p>
            <w:pPr>
              <w:pStyle w:val="6"/>
              <w:jc w:val="center"/>
              <w:rPr>
                <w:rFonts w:ascii="宋体" w:hAnsi="宋体" w:eastAsia="宋体" w:cs="宋体"/>
                <w:color w:val="000000"/>
                <w:kern w:val="0"/>
                <w:sz w:val="24"/>
                <w:szCs w:val="24"/>
                <w:lang w:val="en-US"/>
              </w:rPr>
            </w:pPr>
            <w:r>
              <w:rPr>
                <w:rFonts w:hint="eastAsia" w:ascii="宋体" w:hAnsi="宋体" w:eastAsia="宋体" w:cs="宋体"/>
                <w:b w:val="0"/>
                <w:bCs w:val="0"/>
                <w:color w:val="000000"/>
                <w:kern w:val="0"/>
                <w:sz w:val="24"/>
                <w:szCs w:val="24"/>
                <w:lang w:val="en-US"/>
              </w:rPr>
              <w:t>3</w:t>
            </w:r>
          </w:p>
        </w:tc>
        <w:tc>
          <w:tcPr>
            <w:tcW w:w="142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eastAsia="宋体" w:cs="宋体"/>
                <w:color w:val="000000"/>
                <w:kern w:val="0"/>
                <w:sz w:val="24"/>
                <w:szCs w:val="24"/>
                <w:highlight w:val="none"/>
                <w:lang w:val="en-US" w:eastAsia="zh-CN" w:bidi="ar-SA"/>
              </w:rPr>
              <w:t>保安队长</w:t>
            </w:r>
            <w:r>
              <w:rPr>
                <w:rFonts w:hint="eastAsia" w:ascii="宋体" w:hAnsi="宋体" w:cs="宋体"/>
                <w:color w:val="000000"/>
                <w:kern w:val="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kern w:val="0"/>
                <w:sz w:val="24"/>
              </w:rPr>
              <w:t>投标人根据本项目门岗服务方案</w:t>
            </w:r>
            <w:r>
              <w:rPr>
                <w:rFonts w:hint="eastAsia" w:ascii="宋体" w:hAnsi="宋体" w:cs="宋体"/>
                <w:b/>
                <w:bCs/>
                <w:sz w:val="24"/>
                <w:lang w:val="zh-CN"/>
              </w:rPr>
              <w:t>的全面性、合理性进行评审。</w:t>
            </w:r>
            <w:r>
              <w:rPr>
                <w:rFonts w:hint="eastAsia" w:ascii="宋体" w:hAnsi="宋体" w:cs="宋体"/>
                <w:kern w:val="0"/>
                <w:sz w:val="24"/>
              </w:rPr>
              <w:t>内容全面完整、措施合理、操作性强的得</w:t>
            </w:r>
            <w:r>
              <w:rPr>
                <w:rFonts w:ascii="宋体" w:hAnsi="宋体" w:cs="宋体"/>
                <w:kern w:val="0"/>
                <w:sz w:val="24"/>
              </w:rPr>
              <w:t>5</w:t>
            </w:r>
            <w:r>
              <w:rPr>
                <w:rFonts w:hint="eastAsia" w:ascii="宋体" w:hAnsi="宋体" w:cs="宋体"/>
                <w:kern w:val="0"/>
                <w:sz w:val="24"/>
              </w:rPr>
              <w:t>分；内容较完整、措施较合理、操作性较强的得3分；内容欠完整、措施欠合理、操作性欠佳的得1分；内容不完整、措施不合理、操作性不强的或未提供本项方案的不得分。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142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门岗服务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kern w:val="0"/>
                <w:sz w:val="24"/>
              </w:rPr>
              <w:t>投标人根据本项目消防巡查服务方案</w:t>
            </w:r>
            <w:r>
              <w:rPr>
                <w:rFonts w:hint="eastAsia" w:ascii="宋体" w:hAnsi="宋体" w:cs="宋体"/>
                <w:b/>
                <w:bCs/>
                <w:sz w:val="24"/>
                <w:lang w:val="zh-CN"/>
              </w:rPr>
              <w:t>的全面性、合理性进行评审。</w:t>
            </w:r>
            <w:r>
              <w:rPr>
                <w:rFonts w:hint="eastAsia" w:ascii="宋体" w:hAnsi="宋体" w:cs="宋体"/>
                <w:kern w:val="0"/>
                <w:sz w:val="24"/>
              </w:rPr>
              <w:t>内容全面完整、措施合理、操作性强的得</w:t>
            </w:r>
            <w:r>
              <w:rPr>
                <w:rFonts w:ascii="宋体" w:hAnsi="宋体" w:cs="宋体"/>
                <w:kern w:val="0"/>
                <w:sz w:val="24"/>
              </w:rPr>
              <w:t>5</w:t>
            </w:r>
            <w:r>
              <w:rPr>
                <w:rFonts w:hint="eastAsia" w:ascii="宋体" w:hAnsi="宋体" w:cs="宋体"/>
                <w:kern w:val="0"/>
                <w:sz w:val="24"/>
              </w:rPr>
              <w:t>分；内容较完整、措施较合理、操作性较强的得3分；内容欠完整、措施欠合理、操作性欠强的得1分；内容不完整、措施不合理、操作性不强的或未提供本项方案的不得分。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142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消防巡查服务方案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投标人针对本项目提出的项目人员培训方案</w:t>
            </w:r>
            <w:r>
              <w:rPr>
                <w:rFonts w:hint="eastAsia" w:ascii="宋体" w:hAnsi="宋体" w:cs="宋体"/>
                <w:color w:val="000000"/>
                <w:kern w:val="0"/>
                <w:sz w:val="24"/>
              </w:rPr>
              <w:t>（包含且不限于岗姿岗容、礼貌礼仪、队列训练、交通指挥手势、消防应急演练、防暴反 恐应急演练等）：内容全面完整、措施合理的得6分；内容较完整，措施较合理的得3分；内容欠完整，措施欠合理的得1分；内容不完整，措施不合理的或未提供本项方案的不得分。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142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restart"/>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投标人提供的对服务管理区域内出现突发状况</w:t>
            </w:r>
            <w:r>
              <w:rPr>
                <w:rFonts w:hint="eastAsia" w:ascii="宋体" w:hAnsi="宋体" w:cs="宋体"/>
                <w:b/>
                <w:bCs/>
                <w:color w:val="000000"/>
                <w:kern w:val="0"/>
                <w:sz w:val="24"/>
                <w:lang w:val="zh-CN"/>
              </w:rPr>
              <w:t>（包括台风、</w:t>
            </w:r>
            <w:r>
              <w:rPr>
                <w:rFonts w:hint="eastAsia" w:ascii="宋体" w:hAnsi="宋体" w:cs="宋体"/>
                <w:b/>
                <w:bCs/>
                <w:color w:val="000000"/>
                <w:kern w:val="0"/>
                <w:sz w:val="24"/>
              </w:rPr>
              <w:t>暴雨雪、霜冻</w:t>
            </w:r>
            <w:r>
              <w:rPr>
                <w:rFonts w:hint="eastAsia" w:ascii="宋体" w:hAnsi="宋体" w:cs="宋体"/>
                <w:b/>
                <w:bCs/>
                <w:color w:val="000000"/>
                <w:kern w:val="0"/>
                <w:sz w:val="24"/>
                <w:lang w:val="zh-CN"/>
              </w:rPr>
              <w:t>等灾害性天气、疫情防控）的</w:t>
            </w:r>
            <w:r>
              <w:rPr>
                <w:rFonts w:hint="eastAsia" w:ascii="宋体" w:hAnsi="宋体" w:cs="宋体"/>
                <w:b/>
                <w:bCs/>
                <w:color w:val="000000"/>
                <w:kern w:val="0"/>
                <w:sz w:val="24"/>
              </w:rPr>
              <w:t>应急预案及措施</w:t>
            </w:r>
            <w:r>
              <w:rPr>
                <w:rFonts w:hint="eastAsia" w:ascii="宋体" w:hAnsi="宋体" w:cs="宋体"/>
                <w:color w:val="000000"/>
                <w:kern w:val="0"/>
                <w:sz w:val="24"/>
              </w:rPr>
              <w:t>：内容全面完整、措施合理、操作性强的得4分；内容较完整、措施较合理、操作性较强的得2分；内容欠完整、措施欠合理、操作性欠强的得1分；内容不完整、措施不合理、操作性不强的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4</w:t>
            </w:r>
          </w:p>
        </w:tc>
        <w:tc>
          <w:tcPr>
            <w:tcW w:w="1425" w:type="dxa"/>
            <w:vMerge w:val="restart"/>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bCs/>
                <w:sz w:val="24"/>
              </w:rPr>
              <w:t>突发、应急事件的应急预案及措施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adjustRightInd/>
              <w:spacing w:line="360" w:lineRule="auto"/>
              <w:jc w:val="center"/>
              <w:outlineLvl w:val="0"/>
              <w:rPr>
                <w:rFonts w:ascii="宋体" w:hAnsi="宋体" w:cs="宋体"/>
                <w:sz w:val="24"/>
              </w:rPr>
            </w:pPr>
          </w:p>
        </w:tc>
        <w:tc>
          <w:tcPr>
            <w:tcW w:w="6172"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投标人提供的对有可能发生的消防、重大安全事故、突发事件、重大集聚性事件的应急预案及措施：</w:t>
            </w:r>
            <w:r>
              <w:rPr>
                <w:rFonts w:hint="eastAsia" w:ascii="宋体" w:hAnsi="宋体" w:cs="宋体"/>
                <w:color w:val="000000"/>
                <w:kern w:val="0"/>
                <w:sz w:val="24"/>
              </w:rPr>
              <w:t>内容全面完整、措施合理、操作性强的得4分；内容较完整、措施较合理、操作性较强的得2分；内容欠完整、措施欠合理、操作性欠强的得1分；内容不完整、措施不合理、操作性不强的或未提供本项方案的不得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4</w:t>
            </w:r>
          </w:p>
        </w:tc>
        <w:tc>
          <w:tcPr>
            <w:tcW w:w="1425" w:type="dxa"/>
            <w:vMerge w:val="continue"/>
            <w:vAlign w:val="center"/>
          </w:tcPr>
          <w:p>
            <w:pPr>
              <w:widowControl/>
              <w:adjustRightInd/>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adjustRightInd/>
              <w:spacing w:line="360" w:lineRule="auto"/>
              <w:jc w:val="center"/>
              <w:outlineLvl w:val="0"/>
              <w:rPr>
                <w:rFonts w:ascii="宋体" w:hAnsi="宋体" w:cs="宋体"/>
                <w:sz w:val="24"/>
              </w:rPr>
            </w:pPr>
            <w:r>
              <w:rPr>
                <w:rFonts w:hint="eastAsia" w:ascii="宋体" w:hAnsi="宋体" w:cs="宋体"/>
                <w:sz w:val="24"/>
              </w:rPr>
              <w:t>16</w:t>
            </w:r>
          </w:p>
        </w:tc>
        <w:tc>
          <w:tcPr>
            <w:tcW w:w="6172" w:type="dxa"/>
            <w:vAlign w:val="center"/>
          </w:tcPr>
          <w:p>
            <w:pPr>
              <w:widowControl/>
              <w:spacing w:line="360" w:lineRule="auto"/>
              <w:jc w:val="left"/>
              <w:textAlignment w:val="center"/>
              <w:rPr>
                <w:rFonts w:ascii="宋体" w:hAnsi="宋体" w:cs="宋体"/>
                <w:b/>
                <w:bCs/>
                <w:color w:val="000000"/>
                <w:kern w:val="0"/>
                <w:sz w:val="24"/>
              </w:rPr>
            </w:pPr>
            <w:r>
              <w:rPr>
                <w:rFonts w:hint="eastAsia" w:ascii="宋体" w:hAnsi="宋体" w:cs="宋体"/>
                <w:b/>
                <w:bCs/>
                <w:color w:val="000000"/>
                <w:kern w:val="0"/>
                <w:sz w:val="24"/>
              </w:rPr>
              <w:t>投标人应急响应能力：</w:t>
            </w:r>
          </w:p>
          <w:p>
            <w:pPr>
              <w:widowControl/>
              <w:spacing w:line="360" w:lineRule="auto"/>
              <w:jc w:val="left"/>
              <w:textAlignment w:val="center"/>
              <w:rPr>
                <w:rFonts w:ascii="宋体" w:hAnsi="宋体" w:cs="宋体"/>
                <w:color w:val="000000"/>
                <w:kern w:val="0"/>
                <w:sz w:val="24"/>
              </w:rPr>
            </w:pPr>
            <w:r>
              <w:rPr>
                <w:rFonts w:hint="eastAsia" w:ascii="宋体" w:hAnsi="宋体" w:cs="宋体"/>
                <w:color w:val="000000"/>
                <w:kern w:val="0"/>
                <w:sz w:val="24"/>
              </w:rPr>
              <w:t>（1）在特殊安保需要时，能迅速派出周边驻点足够数量的有经验的增援人员，投标人对应急处置突发能力进行具体阐述和承诺。提供增援力量来源或可直接调动地点的证明材料。内容全面完整、措施合理、操作性强的得4分；内容较完整、措施较合理、操作性较强的得2分；内容欠完整、措施欠合理、操作性欠强的得1分；内容不完整、措施不合理、操作性不强的或未提供本项方案的不得分。</w:t>
            </w:r>
          </w:p>
          <w:p>
            <w:pPr>
              <w:widowControl/>
              <w:spacing w:line="360" w:lineRule="auto"/>
              <w:jc w:val="left"/>
              <w:textAlignment w:val="center"/>
              <w:rPr>
                <w:rFonts w:ascii="宋体" w:hAnsi="宋体" w:cs="宋体"/>
                <w:color w:val="000000"/>
                <w:kern w:val="0"/>
                <w:sz w:val="24"/>
              </w:rPr>
            </w:pPr>
            <w:r>
              <w:rPr>
                <w:rFonts w:hint="eastAsia" w:ascii="宋体" w:hAnsi="宋体" w:cs="宋体"/>
                <w:color w:val="000000"/>
                <w:kern w:val="0"/>
                <w:sz w:val="24"/>
              </w:rPr>
              <w:t>（2）投标人自有应急专用机动车辆，投标人对运输能力进行具体阐述和承诺。提供拟投入相关车辆证明材料。内容全面完整、措施合理、操作性强的得3分；内容较完整、措施较合理、操作性较强的得2分；内容欠完整、措施欠合理、操作性欠强的得1分；内容不完整、措施不合理、操作性不强的或未提供本项方案的不得分.</w:t>
            </w:r>
          </w:p>
          <w:p>
            <w:pPr>
              <w:widowControl/>
              <w:spacing w:line="360" w:lineRule="auto"/>
              <w:jc w:val="left"/>
              <w:textAlignment w:val="center"/>
              <w:rPr>
                <w:rFonts w:ascii="宋体" w:hAnsi="宋体" w:cs="宋体"/>
                <w:b/>
                <w:bCs/>
                <w:color w:val="000000"/>
                <w:kern w:val="0"/>
                <w:sz w:val="24"/>
              </w:rPr>
            </w:pPr>
            <w:r>
              <w:rPr>
                <w:rFonts w:hint="eastAsia" w:ascii="宋体" w:hAnsi="宋体" w:cs="宋体"/>
                <w:color w:val="000000"/>
                <w:kern w:val="0"/>
                <w:sz w:val="24"/>
              </w:rPr>
              <w:t>（3）与属地派出所、交警、巡特警有联动机制。提供相关证明材料，每满足一个得1分，共3分。</w:t>
            </w:r>
          </w:p>
        </w:tc>
        <w:tc>
          <w:tcPr>
            <w:tcW w:w="500"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10</w:t>
            </w:r>
          </w:p>
        </w:tc>
        <w:tc>
          <w:tcPr>
            <w:tcW w:w="1425" w:type="dxa"/>
            <w:vAlign w:val="center"/>
          </w:tcPr>
          <w:p>
            <w:pPr>
              <w:widowControl/>
              <w:adjustRightInd/>
              <w:spacing w:line="360" w:lineRule="auto"/>
              <w:jc w:val="center"/>
              <w:rPr>
                <w:rFonts w:ascii="宋体" w:hAnsi="宋体" w:cs="宋体"/>
                <w:kern w:val="0"/>
                <w:sz w:val="24"/>
              </w:rPr>
            </w:pPr>
            <w:r>
              <w:rPr>
                <w:rFonts w:hint="eastAsia" w:ascii="宋体" w:hAnsi="宋体" w:cs="宋体"/>
                <w:color w:val="000000"/>
                <w:kern w:val="0"/>
                <w:sz w:val="24"/>
              </w:rPr>
              <w:t>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17</w:t>
            </w:r>
          </w:p>
        </w:tc>
        <w:tc>
          <w:tcPr>
            <w:tcW w:w="6172" w:type="dxa"/>
            <w:vAlign w:val="center"/>
          </w:tcPr>
          <w:p>
            <w:pPr>
              <w:widowControl/>
              <w:spacing w:line="360" w:lineRule="auto"/>
              <w:jc w:val="left"/>
              <w:textAlignment w:val="center"/>
              <w:rPr>
                <w:rFonts w:ascii="宋体" w:hAnsi="宋体" w:cs="宋体"/>
                <w:kern w:val="0"/>
                <w:sz w:val="24"/>
              </w:rPr>
            </w:pPr>
            <w:r>
              <w:rPr>
                <w:rFonts w:hint="eastAsia" w:ascii="宋体" w:hAnsi="宋体" w:cs="宋体"/>
                <w:kern w:val="0"/>
                <w:sz w:val="24"/>
              </w:rPr>
              <w:t>投标人承诺协助服务学校完成其他工作，如学校运动场地开放管理、各类会议培训活动等安保服务的，得</w:t>
            </w:r>
            <w:r>
              <w:rPr>
                <w:rFonts w:ascii="宋体" w:hAnsi="宋体" w:cs="宋体"/>
                <w:kern w:val="0"/>
                <w:sz w:val="24"/>
              </w:rPr>
              <w:t>1</w:t>
            </w:r>
            <w:r>
              <w:rPr>
                <w:rFonts w:hint="eastAsia" w:ascii="宋体" w:hAnsi="宋体" w:cs="宋体"/>
                <w:kern w:val="0"/>
                <w:sz w:val="24"/>
              </w:rPr>
              <w:t>分。（注：供应商需自拟承诺格式，承诺内容需满足要求，未提供承诺，或承诺不满足要求的不得分。）</w:t>
            </w:r>
          </w:p>
        </w:tc>
        <w:tc>
          <w:tcPr>
            <w:tcW w:w="500" w:type="dxa"/>
            <w:vAlign w:val="center"/>
          </w:tcPr>
          <w:p>
            <w:pPr>
              <w:widowControl/>
              <w:spacing w:line="360" w:lineRule="auto"/>
              <w:jc w:val="center"/>
              <w:textAlignment w:val="center"/>
              <w:rPr>
                <w:rFonts w:ascii="宋体" w:hAnsi="宋体" w:cs="宋体"/>
                <w:kern w:val="0"/>
                <w:sz w:val="24"/>
                <w:highlight w:val="yellow"/>
              </w:rPr>
            </w:pPr>
            <w:r>
              <w:rPr>
                <w:rFonts w:hint="eastAsia" w:ascii="宋体" w:hAnsi="宋体" w:cs="宋体"/>
                <w:kern w:val="0"/>
                <w:sz w:val="24"/>
              </w:rPr>
              <w:t>1</w:t>
            </w:r>
          </w:p>
        </w:tc>
        <w:tc>
          <w:tcPr>
            <w:tcW w:w="1425"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18</w:t>
            </w:r>
          </w:p>
        </w:tc>
        <w:tc>
          <w:tcPr>
            <w:tcW w:w="6172" w:type="dxa"/>
            <w:vAlign w:val="center"/>
          </w:tcPr>
          <w:p>
            <w:pPr>
              <w:widowControl/>
              <w:spacing w:line="360" w:lineRule="auto"/>
              <w:jc w:val="left"/>
              <w:textAlignment w:val="center"/>
              <w:rPr>
                <w:rFonts w:ascii="宋体" w:hAnsi="宋体" w:cs="宋体"/>
                <w:kern w:val="0"/>
                <w:sz w:val="24"/>
              </w:rPr>
            </w:pPr>
            <w:r>
              <w:rPr>
                <w:rFonts w:hint="eastAsia" w:ascii="宋体" w:hAnsi="宋体" w:cs="宋体"/>
                <w:b/>
                <w:bCs/>
                <w:kern w:val="0"/>
                <w:sz w:val="24"/>
              </w:rPr>
              <w:t>投标人设置及时处置员工劳务纠纷、工伤处置等预案流程</w:t>
            </w:r>
            <w:r>
              <w:rPr>
                <w:rFonts w:hint="eastAsia" w:ascii="宋体" w:hAnsi="宋体" w:cs="宋体"/>
                <w:kern w:val="0"/>
                <w:sz w:val="24"/>
              </w:rPr>
              <w:t>：方案符合招标文件要求，条理清晰，内容详尽、措施合理的得4分；方案条理较清晰，内容较详尽、措施较合理的得2分；方案条理欠清晰，内容欠详尽、措施欠合理的得1分；方案条理不清晰，内容不详尽、措施不合理的或未提供本项方案的不得分。</w:t>
            </w:r>
          </w:p>
        </w:tc>
        <w:tc>
          <w:tcPr>
            <w:tcW w:w="500"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4</w:t>
            </w:r>
          </w:p>
        </w:tc>
        <w:tc>
          <w:tcPr>
            <w:tcW w:w="1425"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员工权益保障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19</w:t>
            </w:r>
          </w:p>
        </w:tc>
        <w:tc>
          <w:tcPr>
            <w:tcW w:w="6172" w:type="dxa"/>
            <w:vAlign w:val="center"/>
          </w:tcPr>
          <w:p>
            <w:pPr>
              <w:widowControl/>
              <w:spacing w:line="360" w:lineRule="auto"/>
              <w:jc w:val="left"/>
              <w:textAlignment w:val="center"/>
              <w:rPr>
                <w:rFonts w:ascii="宋体" w:hAnsi="宋体" w:cs="宋体"/>
                <w:kern w:val="0"/>
                <w:sz w:val="24"/>
              </w:rPr>
            </w:pPr>
            <w:r>
              <w:rPr>
                <w:rFonts w:hint="eastAsia" w:ascii="宋体" w:hAnsi="宋体" w:cs="宋体"/>
                <w:b/>
                <w:bCs/>
                <w:kern w:val="0"/>
                <w:sz w:val="24"/>
              </w:rPr>
              <w:t>投标人对项目的合理化建议和做法：</w:t>
            </w:r>
            <w:r>
              <w:rPr>
                <w:rFonts w:hint="eastAsia" w:ascii="宋体" w:hAnsi="宋体" w:cs="宋体"/>
                <w:kern w:val="0"/>
                <w:sz w:val="24"/>
              </w:rPr>
              <w:t>方案条理清晰，逻辑严谨，建议合理，具有可操作性和针对性的得4分；方案条理较清晰，逻辑较严谨，建议较合理，可操作性和针对性一般的得2分；方案条理欠清晰，逻辑欠严谨，建议欠合理，欠可操作性和针对性的得1分；方案条理不清晰，逻辑不严谨，建议不合理，无可操作性和针对性的或未提供本项方案的不得分。</w:t>
            </w:r>
          </w:p>
        </w:tc>
        <w:tc>
          <w:tcPr>
            <w:tcW w:w="500" w:type="dxa"/>
            <w:vAlign w:val="center"/>
          </w:tcPr>
          <w:p>
            <w:pPr>
              <w:widowControl/>
              <w:adjustRightInd/>
              <w:spacing w:line="360" w:lineRule="auto"/>
              <w:jc w:val="center"/>
              <w:rPr>
                <w:rFonts w:ascii="宋体" w:hAnsi="宋体" w:cs="宋体"/>
                <w:kern w:val="0"/>
                <w:sz w:val="24"/>
              </w:rPr>
            </w:pPr>
            <w:r>
              <w:rPr>
                <w:rFonts w:hint="eastAsia" w:ascii="宋体" w:hAnsi="宋体" w:cs="宋体"/>
                <w:kern w:val="0"/>
                <w:sz w:val="24"/>
              </w:rPr>
              <w:t>4</w:t>
            </w:r>
          </w:p>
        </w:tc>
        <w:tc>
          <w:tcPr>
            <w:tcW w:w="1425" w:type="dxa"/>
            <w:vAlign w:val="center"/>
          </w:tcPr>
          <w:p>
            <w:pPr>
              <w:widowControl/>
              <w:adjustRightInd/>
              <w:spacing w:line="360" w:lineRule="auto"/>
              <w:jc w:val="center"/>
              <w:rPr>
                <w:rFonts w:ascii="宋体" w:hAnsi="宋体" w:cs="宋体"/>
                <w:kern w:val="0"/>
                <w:sz w:val="24"/>
              </w:rPr>
            </w:pPr>
            <w:r>
              <w:rPr>
                <w:rFonts w:hint="eastAsia" w:ascii="宋体" w:hAnsi="宋体" w:cs="宋体"/>
                <w:kern w:val="0"/>
                <w:sz w:val="24"/>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20</w:t>
            </w:r>
          </w:p>
        </w:tc>
        <w:tc>
          <w:tcPr>
            <w:tcW w:w="6172" w:type="dxa"/>
            <w:vAlign w:val="center"/>
          </w:tcPr>
          <w:p>
            <w:pPr>
              <w:widowControl/>
              <w:spacing w:line="360" w:lineRule="auto"/>
              <w:jc w:val="left"/>
              <w:textAlignment w:val="center"/>
              <w:rPr>
                <w:rFonts w:ascii="宋体" w:hAnsi="宋体" w:cs="宋体"/>
                <w:b/>
                <w:bCs/>
                <w:kern w:val="0"/>
                <w:sz w:val="24"/>
              </w:rPr>
            </w:pPr>
            <w:r>
              <w:rPr>
                <w:rFonts w:hint="eastAsia" w:ascii="宋体" w:hAnsi="宋体" w:cs="宋体"/>
                <w:b/>
                <w:bCs/>
                <w:kern w:val="0"/>
                <w:sz w:val="24"/>
                <w:lang w:eastAsia="zh-CN"/>
              </w:rPr>
              <w:t>投</w:t>
            </w:r>
            <w:r>
              <w:rPr>
                <w:rFonts w:hint="eastAsia" w:ascii="宋体" w:hAnsi="宋体" w:cs="宋体"/>
                <w:b/>
                <w:bCs/>
                <w:kern w:val="0"/>
                <w:sz w:val="24"/>
              </w:rPr>
              <w:t>标人针对本项目的保安人员食宿问题的方案的全面性、合理性进行评审。</w:t>
            </w:r>
            <w:r>
              <w:rPr>
                <w:rFonts w:hint="eastAsia" w:ascii="宋体" w:hAnsi="宋体" w:cs="宋体"/>
                <w:kern w:val="0"/>
                <w:sz w:val="24"/>
              </w:rPr>
              <w:t>方案详尽全面、完整合理的得3分，方案合理，较为完整的得</w:t>
            </w:r>
            <w:r>
              <w:rPr>
                <w:rFonts w:ascii="宋体" w:hAnsi="宋体" w:cs="宋体"/>
                <w:kern w:val="0"/>
                <w:sz w:val="24"/>
              </w:rPr>
              <w:t>1</w:t>
            </w:r>
            <w:r>
              <w:rPr>
                <w:rFonts w:hint="eastAsia" w:ascii="宋体" w:hAnsi="宋体" w:cs="宋体"/>
                <w:kern w:val="0"/>
                <w:sz w:val="24"/>
              </w:rPr>
              <w:t>.5分，方案内容不合理或不提供的不得分。</w:t>
            </w:r>
          </w:p>
        </w:tc>
        <w:tc>
          <w:tcPr>
            <w:tcW w:w="500" w:type="dxa"/>
            <w:vAlign w:val="center"/>
          </w:tcPr>
          <w:p>
            <w:pPr>
              <w:widowControl/>
              <w:adjustRightInd/>
              <w:spacing w:line="360" w:lineRule="auto"/>
              <w:jc w:val="center"/>
              <w:rPr>
                <w:rFonts w:ascii="宋体" w:hAnsi="宋体" w:cs="宋体"/>
                <w:kern w:val="0"/>
                <w:sz w:val="24"/>
              </w:rPr>
            </w:pPr>
            <w:r>
              <w:rPr>
                <w:rFonts w:hint="eastAsia" w:ascii="宋体" w:hAnsi="宋体" w:cs="宋体"/>
                <w:kern w:val="0"/>
                <w:sz w:val="24"/>
              </w:rPr>
              <w:t>3</w:t>
            </w:r>
          </w:p>
        </w:tc>
        <w:tc>
          <w:tcPr>
            <w:tcW w:w="1425" w:type="dxa"/>
            <w:vAlign w:val="center"/>
          </w:tcPr>
          <w:p>
            <w:pPr>
              <w:widowControl/>
              <w:adjustRightInd/>
              <w:spacing w:line="360" w:lineRule="auto"/>
              <w:jc w:val="center"/>
              <w:rPr>
                <w:rFonts w:ascii="宋体" w:hAnsi="宋体" w:cs="宋体"/>
                <w:kern w:val="0"/>
                <w:sz w:val="24"/>
              </w:rPr>
            </w:pPr>
            <w:r>
              <w:rPr>
                <w:rFonts w:hint="eastAsia" w:ascii="宋体" w:hAnsi="宋体" w:cs="宋体"/>
                <w:kern w:val="0"/>
                <w:sz w:val="24"/>
              </w:rPr>
              <w:t>保安人员食宿问题的方案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18" w:type="dxa"/>
            <w:vAlign w:val="center"/>
          </w:tcPr>
          <w:p>
            <w:pPr>
              <w:spacing w:line="360" w:lineRule="auto"/>
              <w:jc w:val="center"/>
              <w:outlineLvl w:val="0"/>
              <w:rPr>
                <w:rFonts w:ascii="宋体" w:hAnsi="宋体" w:cs="宋体"/>
                <w:sz w:val="24"/>
              </w:rPr>
            </w:pPr>
            <w:r>
              <w:rPr>
                <w:rFonts w:hint="eastAsia" w:ascii="宋体" w:hAnsi="宋体" w:cs="宋体"/>
                <w:sz w:val="24"/>
              </w:rPr>
              <w:t>21</w:t>
            </w:r>
          </w:p>
        </w:tc>
        <w:tc>
          <w:tcPr>
            <w:tcW w:w="6172" w:type="dxa"/>
          </w:tcPr>
          <w:p>
            <w:pPr>
              <w:snapToGrid w:val="0"/>
              <w:spacing w:line="360" w:lineRule="auto"/>
              <w:outlineLvl w:val="0"/>
              <w:rPr>
                <w:rFonts w:ascii="宋体" w:hAnsi="宋体" w:cs="宋体"/>
                <w:sz w:val="24"/>
              </w:rPr>
            </w:pPr>
            <w:r>
              <w:rPr>
                <w:rFonts w:hint="eastAsia" w:ascii="宋体" w:hAnsi="宋体" w:cs="宋体"/>
                <w:sz w:val="24"/>
              </w:rPr>
              <w:t>有效投标报价的最低价作为评标基准价，其最低报价为满分；按［投标报价得分=（评标基准价/投标报价）*10］的计算公式计算。</w:t>
            </w:r>
          </w:p>
          <w:p>
            <w:pPr>
              <w:snapToGrid w:val="0"/>
              <w:spacing w:line="360" w:lineRule="auto"/>
              <w:outlineLvl w:val="0"/>
              <w:rPr>
                <w:rFonts w:ascii="宋体" w:hAnsi="宋体" w:cs="宋体"/>
                <w:sz w:val="24"/>
              </w:rPr>
            </w:pPr>
            <w:r>
              <w:rPr>
                <w:rFonts w:hint="eastAsia" w:ascii="宋体" w:hAnsi="宋体" w:cs="宋体"/>
                <w:sz w:val="24"/>
              </w:rPr>
              <w:t>评标过程中，不得去掉报价中的最高报价和最低报价。</w:t>
            </w:r>
          </w:p>
          <w:p>
            <w:pPr>
              <w:spacing w:line="360" w:lineRule="auto"/>
              <w:ind w:firstLine="480" w:firstLineChars="200"/>
              <w:outlineLvl w:val="0"/>
              <w:rPr>
                <w:rFonts w:ascii="宋体" w:hAnsi="宋体" w:cs="宋体"/>
                <w:sz w:val="24"/>
              </w:rPr>
            </w:pPr>
            <w:r>
              <w:rPr>
                <w:rFonts w:hint="eastAsia" w:ascii="宋体" w:hAnsi="宋体" w:cs="宋体"/>
                <w:sz w:val="24"/>
              </w:rPr>
              <w:t>对于未预留份额专门面向中小企业的政府采购服务项目，以及预留份额政府采购服务项目中的非预留部分标项，对小型和微型企业的投标报价给予</w:t>
            </w:r>
            <w:r>
              <w:rPr>
                <w:rFonts w:hint="eastAsia" w:ascii="宋体" w:hAnsi="宋体" w:cs="宋体"/>
                <w:b/>
                <w:sz w:val="24"/>
                <w:u w:val="single"/>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cs="宋体"/>
                <w:b/>
                <w:sz w:val="24"/>
                <w:u w:val="single"/>
              </w:rPr>
              <w:t>6%</w:t>
            </w:r>
            <w:r>
              <w:rPr>
                <w:rFonts w:hint="eastAsia" w:ascii="宋体" w:hAnsi="宋体" w:cs="宋体"/>
                <w:sz w:val="24"/>
              </w:rPr>
              <w:t>的扣除，用扣除后的价格参加评审。</w:t>
            </w:r>
          </w:p>
        </w:tc>
        <w:tc>
          <w:tcPr>
            <w:tcW w:w="500" w:type="dxa"/>
            <w:vAlign w:val="center"/>
          </w:tcPr>
          <w:p>
            <w:pPr>
              <w:spacing w:line="360" w:lineRule="auto"/>
              <w:jc w:val="center"/>
              <w:outlineLvl w:val="0"/>
              <w:rPr>
                <w:rFonts w:ascii="宋体" w:hAnsi="宋体" w:cs="宋体"/>
                <w:sz w:val="24"/>
              </w:rPr>
            </w:pPr>
            <w:r>
              <w:rPr>
                <w:rFonts w:hint="eastAsia" w:ascii="宋体" w:hAnsi="宋体" w:cs="宋体"/>
                <w:sz w:val="24"/>
              </w:rPr>
              <w:t>10</w:t>
            </w:r>
          </w:p>
        </w:tc>
        <w:tc>
          <w:tcPr>
            <w:tcW w:w="1425" w:type="dxa"/>
            <w:vAlign w:val="center"/>
          </w:tcPr>
          <w:p>
            <w:pPr>
              <w:spacing w:line="360" w:lineRule="auto"/>
              <w:jc w:val="center"/>
              <w:outlineLvl w:val="0"/>
              <w:rPr>
                <w:rFonts w:ascii="宋体" w:hAnsi="宋体" w:cs="宋体"/>
                <w:sz w:val="24"/>
              </w:rPr>
            </w:pPr>
            <w:r>
              <w:rPr>
                <w:rFonts w:hint="eastAsia" w:ascii="宋体" w:hAnsi="宋体" w:cs="宋体"/>
                <w:sz w:val="24"/>
              </w:rPr>
              <w:t>/</w:t>
            </w:r>
          </w:p>
        </w:tc>
      </w:tr>
    </w:tbl>
    <w:p>
      <w:pPr>
        <w:rPr>
          <w:rFonts w:ascii="宋体" w:hAnsi="宋体" w:cs="宋体"/>
        </w:rPr>
      </w:pPr>
    </w:p>
    <w:p>
      <w:pPr>
        <w:spacing w:line="360" w:lineRule="auto"/>
        <w:jc w:val="center"/>
        <w:outlineLvl w:val="0"/>
        <w:rPr>
          <w:rFonts w:ascii="宋体" w:hAnsi="宋体" w:cs="宋体"/>
          <w:b/>
          <w:sz w:val="36"/>
          <w:szCs w:val="36"/>
        </w:rPr>
      </w:pP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服务）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4.2.8报价明显低于其他通过符合性审查投标人的报价，有可能影响产品（服务）质量或者不能诚信履约的，未能按要求提供书面说明或者提交相关证明材料，不能证明其报价合理性的;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废标后，采购机构应当将废标理由通知所有投标人。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rPr>
      </w:pPr>
    </w:p>
    <w:bookmarkEnd w:id="27"/>
    <w:p>
      <w:pPr>
        <w:widowControl/>
        <w:adjustRightInd/>
        <w:jc w:val="left"/>
        <w:rPr>
          <w:rFonts w:ascii="宋体" w:hAnsi="宋体" w:cs="宋体"/>
          <w:b/>
          <w:sz w:val="36"/>
          <w:szCs w:val="36"/>
        </w:rPr>
      </w:pPr>
      <w:bookmarkStart w:id="395" w:name="第五部分"/>
      <w:bookmarkStart w:id="396" w:name="_Toc86217003"/>
      <w:r>
        <w:rPr>
          <w:rFonts w:hint="eastAsia"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1"/>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6"/>
        <w:rPr>
          <w:rFonts w:ascii="宋体" w:hAnsi="宋体" w:eastAsia="宋体" w:cs="宋体"/>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spacing w:before="120" w:line="22" w:lineRule="atLeast"/>
        <w:ind w:firstLine="960" w:firstLineChars="400"/>
        <w:rPr>
          <w:rFonts w:hint="eastAsia" w:ascii="宋体" w:hAnsi="宋体" w:cs="宋体"/>
          <w:sz w:val="24"/>
        </w:rPr>
      </w:pPr>
    </w:p>
    <w:p>
      <w:pPr>
        <w:spacing w:before="120" w:line="22" w:lineRule="atLeast"/>
        <w:ind w:firstLine="960" w:firstLineChars="400"/>
        <w:rPr>
          <w:rFonts w:ascii="宋体" w:hAnsi="宋体" w:cs="宋体"/>
          <w:sz w:val="24"/>
        </w:rPr>
      </w:pPr>
      <w:r>
        <w:rPr>
          <w:rFonts w:hint="eastAsia" w:ascii="宋体" w:hAnsi="宋体" w:cs="宋体"/>
          <w:sz w:val="24"/>
        </w:rPr>
        <w:t>项目</w:t>
      </w:r>
      <w:r>
        <w:rPr>
          <w:rFonts w:hint="eastAsia" w:ascii="宋体" w:hAnsi="宋体" w:cs="宋体"/>
          <w:sz w:val="24"/>
          <w:lang w:eastAsia="zh-CN"/>
        </w:rPr>
        <w:t>编号</w:t>
      </w:r>
      <w:r>
        <w:rPr>
          <w:rFonts w:hint="eastAsia" w:ascii="宋体" w:hAnsi="宋体" w:cs="宋体"/>
          <w:sz w:val="24"/>
        </w:rPr>
        <w:t>：</w:t>
      </w:r>
      <w:r>
        <w:rPr>
          <w:rFonts w:hint="eastAsia" w:ascii="宋体" w:hAnsi="宋体" w:cs="宋体"/>
          <w:sz w:val="24"/>
          <w:u w:val="single"/>
        </w:rPr>
        <w:t xml:space="preserve">                                   </w:t>
      </w:r>
    </w:p>
    <w:p>
      <w:pPr>
        <w:pStyle w:val="598"/>
        <w:spacing w:before="120" w:line="22" w:lineRule="atLeast"/>
        <w:rPr>
          <w:rFonts w:hint="default" w:ascii="宋体" w:hAnsi="宋体" w:eastAsia="宋体" w:cs="宋体"/>
          <w:szCs w:val="24"/>
          <w:lang w:val="en-US" w:eastAsia="zh-CN"/>
        </w:rPr>
      </w:pPr>
    </w:p>
    <w:p>
      <w:pPr>
        <w:pStyle w:val="598"/>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680" w:right="1417" w:bottom="471" w:left="1417" w:header="851" w:footer="851" w:gutter="0"/>
          <w:cols w:space="720" w:num="1"/>
        </w:sectPr>
      </w:pP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年</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月</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日</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杭州市西湖区高级中学</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以</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公开招标方式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对</w:t>
      </w:r>
      <w:r>
        <w:rPr>
          <w:rFonts w:asciiTheme="minorEastAsia" w:hAnsiTheme="minorEastAsia" w:eastAsiaTheme="minorEastAsia"/>
          <w:sz w:val="24"/>
          <w:u w:val="single"/>
        </w:rPr>
        <w:t xml:space="preserve">  </w:t>
      </w:r>
      <w:r>
        <w:rPr>
          <w:rFonts w:hint="eastAsia" w:ascii="宋体" w:hAnsi="宋体" w:cs="宋体"/>
          <w:sz w:val="24"/>
          <w:u w:val="single"/>
        </w:rPr>
        <w:t>杭州市西湖区高级中学保安服务采购项目</w:t>
      </w:r>
      <w:r>
        <w:rPr>
          <w:rFonts w:hint="eastAsia" w:ascii="宋体" w:hAnsi="宋体" w:cs="宋体"/>
          <w:color w:val="0000FF"/>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项目进行了采购。经</w:t>
      </w:r>
      <w:r>
        <w:rPr>
          <w:rFonts w:asciiTheme="minorEastAsia" w:hAnsiTheme="minorEastAsia" w:eastAsiaTheme="minorEastAsia"/>
          <w:sz w:val="24"/>
          <w:u w:val="single"/>
        </w:rPr>
        <w:t xml:space="preserve">   （相关评定主体名称）   </w:t>
      </w:r>
      <w:r>
        <w:rPr>
          <w:rFonts w:hint="eastAsia" w:asciiTheme="minorEastAsia" w:hAnsiTheme="minorEastAsia" w:eastAsiaTheme="minorEastAsia"/>
          <w:sz w:val="24"/>
        </w:rPr>
        <w:t>评定，</w:t>
      </w:r>
      <w:r>
        <w:rPr>
          <w:rFonts w:asciiTheme="minorEastAsia" w:hAnsiTheme="minorEastAsia" w:eastAsiaTheme="minorEastAsia"/>
          <w:sz w:val="24"/>
          <w:u w:val="single"/>
        </w:rPr>
        <w:t xml:space="preserve">   （中标供应商名称） </w:t>
      </w:r>
      <w:r>
        <w:rPr>
          <w:rFonts w:hint="eastAsia" w:asciiTheme="minorEastAsia" w:hAnsiTheme="minorEastAsia" w:eastAsiaTheme="minorEastAsia"/>
          <w:sz w:val="24"/>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杭州市西湖区高级中学</w:t>
      </w:r>
      <w:r>
        <w:rPr>
          <w:rFonts w:asciiTheme="minorEastAsia" w:hAnsiTheme="minorEastAsia" w:eastAsiaTheme="minorEastAsia"/>
          <w:sz w:val="24"/>
          <w:u w:val="single"/>
        </w:rPr>
        <w:t xml:space="preserve">  </w:t>
      </w:r>
      <w:r>
        <w:rPr>
          <w:rFonts w:asciiTheme="minorEastAsia" w:hAnsiTheme="minorEastAsia" w:eastAsiaTheme="minorEastAsia"/>
          <w:sz w:val="24"/>
          <w:lang w:val="zh-CN"/>
        </w:rPr>
        <w:t>(以下简称：甲方)和</w:t>
      </w:r>
      <w:r>
        <w:rPr>
          <w:rFonts w:asciiTheme="minorEastAsia" w:hAnsiTheme="minorEastAsia" w:eastAsiaTheme="minorEastAsia"/>
          <w:sz w:val="24"/>
          <w:u w:val="single"/>
        </w:rPr>
        <w:t xml:space="preserve">   （中标供应商名称）   </w:t>
      </w:r>
      <w:r>
        <w:rPr>
          <w:rFonts w:asciiTheme="minorEastAsia" w:hAnsiTheme="minorEastAsia" w:eastAsiaTheme="minorEastAsia"/>
          <w:sz w:val="24"/>
          <w:lang w:val="zh-CN"/>
        </w:rPr>
        <w:t>(以下简称：乙方)协商一致，约定以下合同</w:t>
      </w:r>
      <w:r>
        <w:rPr>
          <w:rFonts w:hint="eastAsia" w:asciiTheme="minorEastAsia" w:hAnsiTheme="minorEastAsia" w:eastAsiaTheme="minorEastAsia"/>
          <w:sz w:val="24"/>
        </w:rPr>
        <w:t>条款，以兹共同遵守、全面履行。</w:t>
      </w:r>
    </w:p>
    <w:p>
      <w:pPr>
        <w:spacing w:line="560" w:lineRule="exact"/>
        <w:ind w:firstLine="482" w:firstLineChars="200"/>
        <w:outlineLvl w:val="0"/>
        <w:rPr>
          <w:rFonts w:asciiTheme="minorEastAsia" w:hAnsiTheme="minorEastAsia" w:eastAsiaTheme="minorEastAsia"/>
          <w:sz w:val="24"/>
        </w:rPr>
      </w:pPr>
      <w:bookmarkStart w:id="397" w:name="_Toc20421"/>
      <w:bookmarkStart w:id="398" w:name="_Toc22967"/>
      <w:bookmarkStart w:id="399" w:name="_Toc28855"/>
      <w:bookmarkStart w:id="400" w:name="_Toc15367"/>
      <w:bookmarkStart w:id="401" w:name="_Toc19273"/>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397"/>
      <w:bookmarkEnd w:id="398"/>
      <w:bookmarkEnd w:id="399"/>
      <w:bookmarkEnd w:id="400"/>
      <w:bookmarkEnd w:id="401"/>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0"/>
        <w:rPr>
          <w:rFonts w:asciiTheme="minorEastAsia" w:hAnsiTheme="minorEastAsia" w:eastAsiaTheme="minorEastAsia"/>
          <w:b/>
          <w:sz w:val="24"/>
        </w:rPr>
      </w:pPr>
      <w:bookmarkStart w:id="402" w:name="_Toc6773"/>
      <w:bookmarkStart w:id="403" w:name="_Toc22185"/>
      <w:bookmarkStart w:id="404" w:name="_Toc6311"/>
      <w:bookmarkStart w:id="405" w:name="_Toc2918"/>
      <w:bookmarkStart w:id="406" w:name="_Toc18585"/>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02"/>
      <w:bookmarkEnd w:id="403"/>
      <w:bookmarkEnd w:id="404"/>
      <w:bookmarkEnd w:id="405"/>
      <w:bookmarkEnd w:id="406"/>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07" w:name="_Toc21124"/>
      <w:bookmarkStart w:id="408" w:name="_Toc5635"/>
      <w:bookmarkStart w:id="409" w:name="_Toc13918"/>
      <w:bookmarkStart w:id="410" w:name="_Toc4929"/>
      <w:bookmarkStart w:id="411" w:name="_Toc1386"/>
      <w:r>
        <w:rPr>
          <w:rFonts w:asciiTheme="minorEastAsia" w:hAnsiTheme="minorEastAsia" w:eastAsiaTheme="minorEastAsia"/>
          <w:b/>
          <w:sz w:val="24"/>
        </w:rPr>
        <w:t>1.3 价款</w:t>
      </w:r>
      <w:bookmarkEnd w:id="407"/>
      <w:bookmarkEnd w:id="408"/>
      <w:bookmarkEnd w:id="409"/>
      <w:bookmarkEnd w:id="410"/>
      <w:bookmarkEnd w:id="41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19"/>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19"/>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19"/>
              <w:spacing w:line="560" w:lineRule="exact"/>
              <w:ind w:firstLine="200"/>
              <w:jc w:val="center"/>
              <w:rPr>
                <w:rFonts w:asciiTheme="minorEastAsia" w:hAnsiTheme="minorEastAsia" w:eastAsiaTheme="minorEastAsia"/>
                <w:sz w:val="24"/>
                <w:szCs w:val="24"/>
              </w:rPr>
            </w:pPr>
          </w:p>
        </w:tc>
      </w:tr>
    </w:tbl>
    <w:p>
      <w:pPr>
        <w:spacing w:line="560" w:lineRule="exact"/>
        <w:ind w:firstLine="482" w:firstLineChars="200"/>
        <w:outlineLvl w:val="0"/>
        <w:rPr>
          <w:rFonts w:asciiTheme="minorEastAsia" w:hAnsiTheme="minorEastAsia" w:eastAsiaTheme="minorEastAsia"/>
          <w:b/>
          <w:sz w:val="24"/>
        </w:rPr>
      </w:pPr>
      <w:bookmarkStart w:id="412" w:name="_Toc26916"/>
      <w:bookmarkStart w:id="413" w:name="_Toc14993"/>
      <w:bookmarkStart w:id="414" w:name="_Toc30158"/>
      <w:bookmarkStart w:id="415" w:name="_Toc3654"/>
      <w:bookmarkStart w:id="416" w:name="_Toc30506"/>
      <w:r>
        <w:rPr>
          <w:rFonts w:hint="eastAsia" w:ascii="宋体" w:hAnsi="宋体" w:cs="宋体"/>
          <w:b/>
          <w:bCs/>
          <w:sz w:val="24"/>
        </w:rPr>
        <w:t xml:space="preserve">注： </w:t>
      </w:r>
      <w:r>
        <w:rPr>
          <w:rFonts w:hint="eastAsia" w:ascii="宋体" w:hAnsi="宋体" w:cs="宋体"/>
          <w:b/>
          <w:bCs/>
          <w:sz w:val="24"/>
          <w:lang w:val="zh-CN"/>
        </w:rPr>
        <w:t>202</w:t>
      </w:r>
      <w:r>
        <w:rPr>
          <w:rFonts w:hint="eastAsia" w:ascii="宋体" w:hAnsi="宋体" w:cs="宋体"/>
          <w:b/>
          <w:bCs/>
          <w:sz w:val="24"/>
        </w:rPr>
        <w:t>4</w:t>
      </w:r>
      <w:r>
        <w:rPr>
          <w:rFonts w:hint="eastAsia" w:ascii="宋体" w:hAnsi="宋体" w:cs="宋体"/>
          <w:b/>
          <w:bCs/>
          <w:sz w:val="24"/>
          <w:lang w:val="zh-CN"/>
        </w:rPr>
        <w:t>年</w:t>
      </w:r>
      <w:r>
        <w:rPr>
          <w:rFonts w:hint="eastAsia" w:ascii="宋体" w:hAnsi="宋体" w:cs="宋体"/>
          <w:b/>
          <w:bCs/>
          <w:sz w:val="24"/>
        </w:rPr>
        <w:t>1</w:t>
      </w:r>
      <w:r>
        <w:rPr>
          <w:rFonts w:hint="eastAsia" w:ascii="宋体" w:hAnsi="宋体" w:cs="宋体"/>
          <w:b/>
          <w:bCs/>
          <w:sz w:val="24"/>
          <w:lang w:val="zh-CN"/>
        </w:rPr>
        <w:t>月</w:t>
      </w:r>
      <w:r>
        <w:rPr>
          <w:rFonts w:hint="eastAsia" w:ascii="宋体" w:hAnsi="宋体" w:cs="宋体"/>
          <w:b/>
          <w:bCs/>
          <w:sz w:val="24"/>
        </w:rPr>
        <w:t>1</w:t>
      </w:r>
      <w:r>
        <w:rPr>
          <w:rFonts w:hint="eastAsia" w:ascii="宋体" w:hAnsi="宋体" w:cs="宋体"/>
          <w:b/>
          <w:bCs/>
          <w:sz w:val="24"/>
          <w:lang w:val="zh-CN"/>
        </w:rPr>
        <w:t>日至合同签订之日前的空档期物业服务原供应商承担，费用由</w:t>
      </w:r>
      <w:r>
        <w:rPr>
          <w:rFonts w:hint="eastAsia" w:ascii="宋体" w:hAnsi="宋体" w:cs="宋体"/>
          <w:b/>
          <w:bCs/>
          <w:sz w:val="24"/>
        </w:rPr>
        <w:t>乙方</w:t>
      </w:r>
      <w:r>
        <w:rPr>
          <w:rFonts w:hint="eastAsia" w:ascii="宋体" w:hAnsi="宋体" w:cs="宋体"/>
          <w:b/>
          <w:bCs/>
          <w:sz w:val="24"/>
          <w:lang w:val="zh-CN"/>
        </w:rPr>
        <w:t>按</w:t>
      </w:r>
      <w:r>
        <w:rPr>
          <w:rFonts w:hint="eastAsia" w:ascii="宋体" w:hAnsi="宋体" w:cs="宋体"/>
          <w:b/>
          <w:bCs/>
          <w:sz w:val="24"/>
        </w:rPr>
        <w:t>合同</w:t>
      </w:r>
      <w:r>
        <w:rPr>
          <w:rFonts w:hint="eastAsia" w:ascii="宋体" w:hAnsi="宋体" w:cs="宋体"/>
          <w:b/>
          <w:bCs/>
          <w:sz w:val="24"/>
          <w:lang w:val="zh-CN"/>
        </w:rPr>
        <w:t>价单日金额乘以实际服务天数，与原供应商结算，</w:t>
      </w:r>
      <w:r>
        <w:rPr>
          <w:rFonts w:hint="eastAsia" w:ascii="宋体" w:hAnsi="宋体" w:cs="宋体"/>
          <w:b/>
          <w:bCs/>
          <w:sz w:val="24"/>
        </w:rPr>
        <w:t>该项费用已包含在合同价中。</w:t>
      </w:r>
    </w:p>
    <w:p>
      <w:pPr>
        <w:spacing w:line="560" w:lineRule="exact"/>
        <w:ind w:firstLine="482" w:firstLineChars="200"/>
        <w:outlineLvl w:val="0"/>
        <w:rPr>
          <w:rFonts w:asciiTheme="minorEastAsia" w:hAnsiTheme="minorEastAsia" w:eastAsiaTheme="minorEastAsia"/>
          <w:b/>
          <w:sz w:val="24"/>
        </w:rPr>
      </w:pPr>
      <w:r>
        <w:rPr>
          <w:rFonts w:asciiTheme="minorEastAsia" w:hAnsiTheme="minorEastAsia" w:eastAsiaTheme="minorEastAsia"/>
          <w:b/>
          <w:sz w:val="24"/>
        </w:rPr>
        <w:t>1.4 付款方式和发票开具方式</w:t>
      </w:r>
      <w:bookmarkEnd w:id="412"/>
      <w:bookmarkEnd w:id="413"/>
      <w:bookmarkEnd w:id="414"/>
      <w:bookmarkEnd w:id="415"/>
      <w:bookmarkEnd w:id="416"/>
    </w:p>
    <w:p>
      <w:pPr>
        <w:pStyle w:val="959"/>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asciiTheme="minorEastAsia" w:hAnsiTheme="minorEastAsia" w:eastAsia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sz w:val="24"/>
        </w:rPr>
        <w:t>5</w:t>
      </w:r>
      <w:r>
        <w:rPr>
          <w:rFonts w:asciiTheme="minorEastAsia" w:hAnsiTheme="minorEastAsia" w:eastAsiaTheme="minorEastAsia"/>
          <w:sz w:val="24"/>
        </w:rPr>
        <w:t>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17" w:name="_Toc3625"/>
      <w:bookmarkStart w:id="418" w:name="_Toc4760"/>
      <w:bookmarkStart w:id="419" w:name="_Toc31421"/>
      <w:bookmarkStart w:id="420" w:name="_Toc8772"/>
      <w:bookmarkStart w:id="421" w:name="_Toc11108"/>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17"/>
      <w:bookmarkEnd w:id="418"/>
      <w:bookmarkEnd w:id="419"/>
      <w:bookmarkEnd w:id="420"/>
      <w:bookmarkEnd w:id="421"/>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u w:val="single"/>
        </w:rPr>
      </w:pPr>
      <w:bookmarkStart w:id="422" w:name="_Toc3079"/>
      <w:bookmarkStart w:id="423" w:name="_Toc5698"/>
      <w:bookmarkStart w:id="424" w:name="_Toc2375"/>
      <w:bookmarkStart w:id="425" w:name="_Toc8586"/>
      <w:bookmarkStart w:id="426" w:name="_Toc24662"/>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22"/>
      <w:bookmarkEnd w:id="423"/>
      <w:bookmarkEnd w:id="424"/>
      <w:bookmarkEnd w:id="425"/>
      <w:bookmarkEnd w:id="42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0"/>
        <w:rPr>
          <w:rFonts w:asciiTheme="minorEastAsia" w:hAnsiTheme="minorEastAsia" w:eastAsiaTheme="minorEastAsia"/>
          <w:b/>
          <w:sz w:val="24"/>
        </w:rPr>
      </w:pPr>
      <w:bookmarkStart w:id="427" w:name="_Toc9497"/>
      <w:bookmarkStart w:id="428" w:name="_Toc26807"/>
      <w:bookmarkStart w:id="429" w:name="_Toc18683"/>
      <w:bookmarkStart w:id="430" w:name="_Toc30329"/>
      <w:bookmarkStart w:id="431" w:name="_Toc32454"/>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27"/>
      <w:bookmarkEnd w:id="428"/>
      <w:bookmarkEnd w:id="429"/>
      <w:bookmarkEnd w:id="430"/>
      <w:bookmarkEnd w:id="431"/>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0"/>
        <w:rPr>
          <w:rFonts w:asciiTheme="minorEastAsia" w:hAnsiTheme="minorEastAsia" w:eastAsiaTheme="minorEastAsia"/>
          <w:b/>
          <w:sz w:val="24"/>
        </w:rPr>
      </w:pPr>
      <w:bookmarkStart w:id="432" w:name="_Toc26227"/>
      <w:bookmarkStart w:id="433" w:name="_Toc15827"/>
      <w:bookmarkStart w:id="434" w:name="_Toc16417"/>
      <w:bookmarkStart w:id="435" w:name="_Toc12273"/>
      <w:bookmarkStart w:id="436" w:name="_Toc23784"/>
      <w:r>
        <w:rPr>
          <w:rFonts w:asciiTheme="minorEastAsia" w:hAnsiTheme="minorEastAsia" w:eastAsiaTheme="minorEastAsia"/>
          <w:b/>
          <w:sz w:val="24"/>
        </w:rPr>
        <w:t>1.8 合同生效</w:t>
      </w:r>
      <w:bookmarkEnd w:id="432"/>
      <w:bookmarkEnd w:id="433"/>
      <w:bookmarkEnd w:id="434"/>
      <w:bookmarkEnd w:id="435"/>
      <w:bookmarkEnd w:id="436"/>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widowControl/>
        <w:adjustRightInd/>
        <w:jc w:val="left"/>
        <w:rPr>
          <w:rFonts w:asciiTheme="minorEastAsia" w:hAnsiTheme="minorEastAsia" w:eastAsiaTheme="minorEastAsia"/>
          <w:b/>
          <w:sz w:val="24"/>
        </w:rPr>
      </w:pPr>
      <w:r>
        <w:rPr>
          <w:rFonts w:asciiTheme="minorEastAsia" w:hAnsiTheme="minorEastAsia" w:eastAsiaTheme="minorEastAsia"/>
          <w:b/>
        </w:rPr>
        <w:br w:type="page"/>
      </w:r>
    </w:p>
    <w:p>
      <w:pPr>
        <w:pStyle w:val="701"/>
        <w:spacing w:line="560" w:lineRule="exact"/>
        <w:ind w:firstLine="482"/>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0"/>
        <w:rPr>
          <w:rFonts w:asciiTheme="minorEastAsia" w:hAnsiTheme="minorEastAsia" w:eastAsiaTheme="minorEastAsia"/>
          <w:b/>
          <w:sz w:val="24"/>
        </w:rPr>
      </w:pPr>
      <w:bookmarkStart w:id="437" w:name="_Toc14021"/>
      <w:bookmarkStart w:id="438" w:name="_Toc31297"/>
      <w:bookmarkStart w:id="439" w:name="_Toc19680"/>
      <w:bookmarkStart w:id="440" w:name="_Toc5228"/>
      <w:bookmarkStart w:id="441" w:name="_Toc25079"/>
      <w:r>
        <w:rPr>
          <w:rFonts w:asciiTheme="minorEastAsia" w:hAnsiTheme="minorEastAsia" w:eastAsiaTheme="minorEastAsia"/>
          <w:b/>
          <w:sz w:val="24"/>
        </w:rPr>
        <w:t>2.1 定义</w:t>
      </w:r>
      <w:bookmarkEnd w:id="437"/>
      <w:bookmarkEnd w:id="438"/>
      <w:bookmarkEnd w:id="439"/>
      <w:bookmarkEnd w:id="440"/>
      <w:bookmarkEnd w:id="44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0"/>
        <w:rPr>
          <w:rFonts w:asciiTheme="minorEastAsia" w:hAnsiTheme="minorEastAsia" w:eastAsiaTheme="minorEastAsia"/>
          <w:b/>
          <w:sz w:val="24"/>
        </w:rPr>
      </w:pPr>
      <w:bookmarkStart w:id="442" w:name="_Toc19539"/>
      <w:bookmarkStart w:id="443" w:name="_Toc3769"/>
      <w:bookmarkStart w:id="444" w:name="_Toc23289"/>
      <w:bookmarkStart w:id="445" w:name="_Toc16752"/>
      <w:bookmarkStart w:id="446" w:name="_Toc31402"/>
      <w:r>
        <w:rPr>
          <w:rFonts w:asciiTheme="minorEastAsia" w:hAnsiTheme="minorEastAsia" w:eastAsiaTheme="minorEastAsia"/>
          <w:b/>
          <w:sz w:val="24"/>
        </w:rPr>
        <w:t>2.2 技术规范</w:t>
      </w:r>
      <w:bookmarkEnd w:id="442"/>
      <w:bookmarkEnd w:id="443"/>
      <w:bookmarkEnd w:id="444"/>
      <w:bookmarkEnd w:id="445"/>
      <w:bookmarkEnd w:id="446"/>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0"/>
        <w:rPr>
          <w:rFonts w:asciiTheme="minorEastAsia" w:hAnsiTheme="minorEastAsia" w:eastAsiaTheme="minorEastAsia"/>
          <w:b/>
          <w:sz w:val="24"/>
        </w:rPr>
      </w:pPr>
      <w:bookmarkStart w:id="447" w:name="_Toc12412"/>
      <w:bookmarkStart w:id="448" w:name="_Toc9161"/>
      <w:bookmarkStart w:id="449" w:name="_Toc13673"/>
      <w:bookmarkStart w:id="450" w:name="_Toc27945"/>
      <w:bookmarkStart w:id="451" w:name="_Toc4133"/>
      <w:r>
        <w:rPr>
          <w:rFonts w:asciiTheme="minorEastAsia" w:hAnsiTheme="minorEastAsia" w:eastAsiaTheme="minorEastAsia"/>
          <w:b/>
          <w:sz w:val="24"/>
        </w:rPr>
        <w:t>2.3 知识产权</w:t>
      </w:r>
      <w:bookmarkEnd w:id="447"/>
      <w:bookmarkEnd w:id="448"/>
      <w:bookmarkEnd w:id="449"/>
      <w:bookmarkEnd w:id="450"/>
      <w:bookmarkEnd w:id="45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sz w:val="24"/>
        </w:rPr>
      </w:pPr>
      <w:bookmarkStart w:id="452" w:name="_Toc32670"/>
      <w:bookmarkStart w:id="453" w:name="_Toc15447"/>
      <w:bookmarkStart w:id="454" w:name="_Toc26555"/>
      <w:bookmarkStart w:id="455" w:name="_Toc31233"/>
      <w:bookmarkStart w:id="456" w:name="_Toc22011"/>
      <w:r>
        <w:rPr>
          <w:rFonts w:asciiTheme="minorEastAsia" w:hAnsiTheme="minorEastAsia" w:eastAsiaTheme="minorEastAsia"/>
          <w:b/>
          <w:sz w:val="24"/>
        </w:rPr>
        <w:t>2.5 结算方式和付款条件</w:t>
      </w:r>
      <w:bookmarkEnd w:id="452"/>
      <w:bookmarkEnd w:id="453"/>
      <w:bookmarkEnd w:id="454"/>
      <w:bookmarkEnd w:id="455"/>
      <w:bookmarkEnd w:id="45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57" w:name="_Toc16163"/>
      <w:bookmarkStart w:id="458" w:name="_Toc13154"/>
      <w:bookmarkStart w:id="459" w:name="_Toc13467"/>
      <w:bookmarkStart w:id="460" w:name="_Toc30507"/>
      <w:bookmarkStart w:id="461" w:name="_Toc18990"/>
      <w:r>
        <w:rPr>
          <w:rFonts w:asciiTheme="minorEastAsia" w:hAnsiTheme="minorEastAsia" w:eastAsiaTheme="minorEastAsia"/>
          <w:b/>
          <w:sz w:val="24"/>
        </w:rPr>
        <w:t>2.6 技术资料和保密义务</w:t>
      </w:r>
      <w:bookmarkEnd w:id="457"/>
      <w:bookmarkEnd w:id="458"/>
      <w:bookmarkEnd w:id="459"/>
      <w:bookmarkEnd w:id="460"/>
      <w:bookmarkEnd w:id="46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sz w:val="24"/>
        </w:rPr>
      </w:pPr>
      <w:bookmarkStart w:id="462"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6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sz w:val="24"/>
        </w:rPr>
      </w:pPr>
      <w:bookmarkStart w:id="463"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6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0"/>
        <w:rPr>
          <w:rFonts w:asciiTheme="minorEastAsia" w:hAnsiTheme="minorEastAsia" w:eastAsiaTheme="minorEastAsia"/>
          <w:b/>
          <w:sz w:val="24"/>
        </w:rPr>
      </w:pPr>
      <w:bookmarkStart w:id="464"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64"/>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465" w:name="_Toc26689"/>
      <w:bookmarkStart w:id="466" w:name="_Toc21830"/>
      <w:bookmarkStart w:id="467" w:name="_Toc42"/>
      <w:bookmarkStart w:id="468" w:name="_Toc23368"/>
      <w:bookmarkStart w:id="469" w:name="_Toc10663"/>
      <w:r>
        <w:rPr>
          <w:rFonts w:asciiTheme="minorEastAsia" w:hAnsiTheme="minorEastAsia" w:eastAsiaTheme="minorEastAsia"/>
          <w:b/>
          <w:sz w:val="24"/>
        </w:rPr>
        <w:t>2.10 合同转让和分包</w:t>
      </w:r>
      <w:bookmarkEnd w:id="465"/>
      <w:bookmarkEnd w:id="466"/>
      <w:bookmarkEnd w:id="467"/>
      <w:bookmarkEnd w:id="468"/>
      <w:bookmarkEnd w:id="46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0"/>
        <w:rPr>
          <w:rFonts w:asciiTheme="minorEastAsia" w:hAnsiTheme="minorEastAsia" w:eastAsiaTheme="minorEastAsia"/>
          <w:b/>
          <w:sz w:val="24"/>
        </w:rPr>
      </w:pPr>
      <w:bookmarkStart w:id="470" w:name="_Toc25571"/>
      <w:bookmarkStart w:id="471" w:name="_Toc26633"/>
      <w:bookmarkStart w:id="472" w:name="_Toc32494"/>
      <w:bookmarkStart w:id="473" w:name="_Toc14371"/>
      <w:bookmarkStart w:id="474" w:name="_Toc4720"/>
      <w:r>
        <w:rPr>
          <w:rFonts w:asciiTheme="minorEastAsia" w:hAnsiTheme="minorEastAsia" w:eastAsiaTheme="minorEastAsia"/>
          <w:b/>
          <w:sz w:val="24"/>
        </w:rPr>
        <w:t>2.11 不可抗力</w:t>
      </w:r>
      <w:bookmarkEnd w:id="470"/>
      <w:bookmarkEnd w:id="471"/>
      <w:bookmarkEnd w:id="472"/>
      <w:bookmarkEnd w:id="473"/>
      <w:bookmarkEnd w:id="47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75" w:name="_Toc24465"/>
      <w:bookmarkStart w:id="476" w:name="_Toc3638"/>
      <w:bookmarkStart w:id="477" w:name="_Toc14115"/>
      <w:bookmarkStart w:id="478" w:name="_Toc23854"/>
      <w:bookmarkStart w:id="479" w:name="_Toc25783"/>
      <w:r>
        <w:rPr>
          <w:rFonts w:asciiTheme="minorEastAsia" w:hAnsiTheme="minorEastAsia" w:eastAsiaTheme="minorEastAsia"/>
          <w:b/>
          <w:sz w:val="24"/>
        </w:rPr>
        <w:t>2.12 税费</w:t>
      </w:r>
      <w:bookmarkEnd w:id="475"/>
      <w:bookmarkEnd w:id="476"/>
      <w:bookmarkEnd w:id="477"/>
      <w:bookmarkEnd w:id="478"/>
      <w:bookmarkEnd w:id="47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0"/>
        <w:rPr>
          <w:rFonts w:asciiTheme="minorEastAsia" w:hAnsiTheme="minorEastAsia" w:eastAsiaTheme="minorEastAsia"/>
          <w:b/>
          <w:sz w:val="24"/>
        </w:rPr>
      </w:pPr>
      <w:bookmarkStart w:id="480" w:name="_Toc14814"/>
      <w:bookmarkStart w:id="481" w:name="_Toc7315"/>
      <w:bookmarkStart w:id="482" w:name="_Toc25525"/>
      <w:bookmarkStart w:id="483" w:name="_Toc30105"/>
      <w:bookmarkStart w:id="484" w:name="_Toc26883"/>
      <w:r>
        <w:rPr>
          <w:rFonts w:asciiTheme="minorEastAsia" w:hAnsiTheme="minorEastAsia" w:eastAsiaTheme="minorEastAsia"/>
          <w:b/>
          <w:sz w:val="24"/>
        </w:rPr>
        <w:t>2.13 乙方破产</w:t>
      </w:r>
      <w:bookmarkEnd w:id="480"/>
      <w:bookmarkEnd w:id="481"/>
      <w:bookmarkEnd w:id="482"/>
      <w:bookmarkEnd w:id="483"/>
      <w:bookmarkEnd w:id="48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85" w:name="_Toc2016"/>
      <w:bookmarkStart w:id="486" w:name="_Toc23323"/>
      <w:bookmarkStart w:id="487" w:name="_Toc1123"/>
      <w:r>
        <w:rPr>
          <w:rFonts w:asciiTheme="minorEastAsia" w:hAnsiTheme="minorEastAsia" w:eastAsiaTheme="minorEastAsia"/>
          <w:b/>
          <w:sz w:val="24"/>
        </w:rPr>
        <w:t>2.14 合同中止、终止</w:t>
      </w:r>
      <w:bookmarkEnd w:id="485"/>
      <w:bookmarkEnd w:id="486"/>
      <w:bookmarkEnd w:id="48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488" w:name="_Toc17363"/>
      <w:bookmarkStart w:id="489" w:name="_Toc1969"/>
      <w:bookmarkStart w:id="490" w:name="_Toc14525"/>
      <w:r>
        <w:rPr>
          <w:rFonts w:asciiTheme="minorEastAsia" w:hAnsiTheme="minorEastAsia" w:eastAsiaTheme="minorEastAsia"/>
          <w:b/>
          <w:sz w:val="24"/>
        </w:rPr>
        <w:t>2.15 检验和验收</w:t>
      </w:r>
      <w:bookmarkEnd w:id="488"/>
      <w:bookmarkEnd w:id="489"/>
      <w:bookmarkEnd w:id="490"/>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0"/>
        <w:rPr>
          <w:rFonts w:asciiTheme="minorEastAsia" w:hAnsiTheme="minorEastAsia" w:eastAsiaTheme="minorEastAsia"/>
          <w:b/>
          <w:sz w:val="24"/>
        </w:rPr>
      </w:pPr>
      <w:bookmarkStart w:id="491" w:name="_Toc2308"/>
      <w:bookmarkStart w:id="492" w:name="_Toc25198"/>
      <w:bookmarkStart w:id="493" w:name="_Toc9808"/>
      <w:bookmarkStart w:id="494" w:name="_Toc12666"/>
      <w:bookmarkStart w:id="495" w:name="_Toc31892"/>
      <w:r>
        <w:rPr>
          <w:rFonts w:asciiTheme="minorEastAsia" w:hAnsiTheme="minorEastAsia" w:eastAsiaTheme="minorEastAsia"/>
          <w:b/>
          <w:sz w:val="24"/>
        </w:rPr>
        <w:t>2.16 通知和送达</w:t>
      </w:r>
      <w:bookmarkEnd w:id="491"/>
      <w:bookmarkEnd w:id="492"/>
      <w:bookmarkEnd w:id="493"/>
      <w:bookmarkEnd w:id="494"/>
      <w:bookmarkEnd w:id="495"/>
    </w:p>
    <w:p>
      <w:pPr>
        <w:spacing w:line="560" w:lineRule="exact"/>
        <w:ind w:firstLine="480" w:firstLineChars="200"/>
        <w:rPr>
          <w:rFonts w:asciiTheme="minorEastAsia" w:hAnsiTheme="minorEastAsia" w:eastAsiaTheme="minorEastAsia"/>
          <w:sz w:val="24"/>
        </w:rPr>
      </w:pPr>
      <w:bookmarkStart w:id="496" w:name="_Toc18401"/>
      <w:bookmarkStart w:id="497" w:name="_Toc27674"/>
      <w:r>
        <w:rPr>
          <w:rFonts w:asciiTheme="minorEastAsia" w:hAnsiTheme="minorEastAsia" w:eastAsiaTheme="minorEastAsia"/>
          <w:sz w:val="24"/>
        </w:rPr>
        <w:t>2.1</w:t>
      </w:r>
      <w:r>
        <w:rPr>
          <w:rFonts w:hint="eastAsia" w:asciiTheme="minorEastAsia" w:hAnsiTheme="minorEastAsia" w:eastAsiaTheme="minorEastAsia"/>
          <w:sz w:val="24"/>
        </w:rPr>
        <w:t>6</w:t>
      </w:r>
      <w:r>
        <w:rPr>
          <w:rFonts w:asciiTheme="minorEastAsia" w:hAnsiTheme="minorEastAsia" w:eastAsiaTheme="minorEastAsia"/>
          <w:sz w:val="24"/>
        </w:rPr>
        <w:t>.1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w:t>
      </w:r>
      <w:r>
        <w:rPr>
          <w:rFonts w:hint="eastAsia" w:asciiTheme="minorEastAsia" w:hAnsiTheme="minorEastAsia" w:eastAsiaTheme="minorEastAsia"/>
          <w:sz w:val="24"/>
        </w:rPr>
        <w:t>6</w:t>
      </w:r>
      <w:r>
        <w:rPr>
          <w:rFonts w:asciiTheme="minorEastAsia" w:hAnsiTheme="minorEastAsia" w:eastAsiaTheme="minorEastAsia"/>
          <w:sz w:val="24"/>
        </w:rPr>
        <w:t>.2以当面交付方式送达的，交付之时视为送达；以电子邮件方式送达的，发出电子邮件之时视为送达；以传真方式送达的，发出传真之时视为送达；以邮寄方式送达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496"/>
      <w:bookmarkEnd w:id="497"/>
    </w:p>
    <w:p>
      <w:pPr>
        <w:spacing w:line="560" w:lineRule="exact"/>
        <w:ind w:firstLine="482" w:firstLineChars="200"/>
        <w:outlineLvl w:val="0"/>
        <w:rPr>
          <w:rFonts w:asciiTheme="minorEastAsia" w:hAnsiTheme="minorEastAsia" w:eastAsiaTheme="minorEastAsia"/>
          <w:b/>
          <w:sz w:val="24"/>
        </w:rPr>
      </w:pPr>
      <w:bookmarkStart w:id="498" w:name="_Toc5063"/>
      <w:bookmarkStart w:id="499" w:name="_Toc28906"/>
      <w:bookmarkStart w:id="500" w:name="_Toc12254"/>
      <w:bookmarkStart w:id="501" w:name="_Toc20808"/>
      <w:bookmarkStart w:id="502" w:name="_Toc27644"/>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498"/>
      <w:bookmarkEnd w:id="499"/>
      <w:bookmarkEnd w:id="500"/>
      <w:bookmarkEnd w:id="501"/>
      <w:bookmarkEnd w:id="50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0"/>
        <w:rPr>
          <w:rFonts w:asciiTheme="minorEastAsia" w:hAnsiTheme="minorEastAsia" w:eastAsiaTheme="minorEastAsia"/>
          <w:b/>
          <w:sz w:val="24"/>
        </w:rPr>
      </w:pPr>
      <w:bookmarkStart w:id="503" w:name="_Toc30096"/>
      <w:bookmarkStart w:id="504" w:name="_Toc22266"/>
      <w:bookmarkStart w:id="505" w:name="_Toc27403"/>
      <w:bookmarkStart w:id="506" w:name="_Toc27127"/>
      <w:bookmarkStart w:id="507" w:name="_Toc1492"/>
      <w:r>
        <w:rPr>
          <w:rFonts w:asciiTheme="minorEastAsia" w:hAnsiTheme="minorEastAsia" w:eastAsiaTheme="minorEastAsia"/>
          <w:b/>
          <w:sz w:val="24"/>
        </w:rPr>
        <w:t>2.18 履约保证金</w:t>
      </w:r>
      <w:bookmarkEnd w:id="503"/>
      <w:bookmarkEnd w:id="504"/>
      <w:bookmarkEnd w:id="505"/>
      <w:bookmarkEnd w:id="506"/>
      <w:bookmarkEnd w:id="507"/>
    </w:p>
    <w:p>
      <w:pPr>
        <w:pStyle w:val="959"/>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Theme="minorEastAsia" w:hAnsiTheme="minorEastAsia" w:eastAsiaTheme="minorEastAsia"/>
          <w:sz w:val="24"/>
        </w:rPr>
        <w:t>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2.18.4</w:t>
      </w:r>
      <w:r>
        <w:rPr>
          <w:rFonts w:hint="eastAsia" w:asciiTheme="minorEastAsia" w:hAnsiTheme="minorEastAsia" w:eastAsiaTheme="minorEastAsia"/>
          <w:sz w:val="24"/>
        </w:rPr>
        <w:t> 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4534" w:type="pct"/>
            <w:vAlign w:val="center"/>
          </w:tcPr>
          <w:p>
            <w:pPr>
              <w:spacing w:line="360" w:lineRule="auto"/>
              <w:rPr>
                <w:rFonts w:ascii="宋体" w:hAnsi="宋体" w:cs="宋体"/>
                <w:sz w:val="24"/>
              </w:rPr>
            </w:pPr>
            <w:r>
              <w:rPr>
                <w:rFonts w:hint="eastAsia"/>
                <w:sz w:val="24"/>
              </w:rPr>
              <w:t>按月支付，每月度乙方服务人数进行结算费用，甲方凭供应商开具的正规发票和甲方认可的各项记录复印件等材料，每月支付一次。因甲方服务需要需对服务人员进行增减，双方按增减后产生的费用按实结算服务。若遇甲方年终结算，支付时间按实际情况顺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534" w:type="pct"/>
            <w:vAlign w:val="center"/>
          </w:tcPr>
          <w:p>
            <w:pPr>
              <w:spacing w:line="360" w:lineRule="auto"/>
              <w:rPr>
                <w:rFonts w:ascii="宋体" w:hAnsi="宋体" w:cs="宋体"/>
                <w:sz w:val="24"/>
              </w:rPr>
            </w:pPr>
            <w:r>
              <w:rPr>
                <w:rFonts w:hint="eastAsia" w:ascii="宋体" w:hAnsi="宋体" w:cs="宋体"/>
                <w:sz w:val="24"/>
              </w:rPr>
              <w:t>服务期限：2024年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534" w:type="pct"/>
            <w:vAlign w:val="center"/>
          </w:tcPr>
          <w:p>
            <w:pPr>
              <w:spacing w:line="360" w:lineRule="auto"/>
              <w:rPr>
                <w:rFonts w:ascii="宋体" w:hAnsi="宋体" w:cs="宋体"/>
                <w:sz w:val="24"/>
              </w:rPr>
            </w:pPr>
            <w:r>
              <w:rPr>
                <w:rFonts w:hint="eastAsia" w:ascii="宋体" w:hAnsi="宋体" w:cs="宋体"/>
                <w:sz w:val="24"/>
              </w:rPr>
              <w:t>杭州市西湖区高级中学（杭州市西湖区留下大街21号）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534" w:type="pct"/>
            <w:vAlign w:val="center"/>
          </w:tcPr>
          <w:p>
            <w:pPr>
              <w:spacing w:line="360" w:lineRule="auto"/>
              <w:rPr>
                <w:rFonts w:ascii="宋体" w:hAnsi="宋体" w:cs="宋体"/>
                <w:sz w:val="24"/>
              </w:rPr>
            </w:pPr>
            <w:r>
              <w:rPr>
                <w:rFonts w:hint="eastAsia" w:ascii="宋体" w:hAnsi="宋体" w:cs="宋体"/>
                <w:sz w:val="24"/>
              </w:rPr>
              <w:t>按物业类项目服务要求提供服务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4534" w:type="pct"/>
            <w:vAlign w:val="center"/>
          </w:tcPr>
          <w:p>
            <w:pPr>
              <w:snapToGrid w:val="0"/>
              <w:spacing w:line="360" w:lineRule="auto"/>
              <w:ind w:firstLine="480" w:firstLineChars="200"/>
              <w:jc w:val="left"/>
              <w:rPr>
                <w:rFonts w:ascii="宋体" w:hAnsi="宋体" w:cs="宋体"/>
                <w:sz w:val="24"/>
              </w:rPr>
            </w:pPr>
            <w:r>
              <w:rPr>
                <w:rFonts w:hint="eastAsia" w:ascii="宋体" w:hAnsi="宋体" w:cs="宋体"/>
                <w:sz w:val="24"/>
              </w:rPr>
              <w:t>1、因乙方在服务期内超过两次物业服务综合考评未达标，甲方可以单方面终止合同，且乙方须支付给甲方月度合同服务款二倍金额的违约金。</w:t>
            </w:r>
          </w:p>
          <w:p>
            <w:pPr>
              <w:snapToGrid w:val="0"/>
              <w:spacing w:line="360" w:lineRule="auto"/>
              <w:ind w:firstLine="480" w:firstLineChars="200"/>
              <w:jc w:val="left"/>
              <w:rPr>
                <w:rFonts w:ascii="宋体" w:hAnsi="宋体" w:cs="宋体"/>
                <w:sz w:val="24"/>
              </w:rPr>
            </w:pPr>
            <w:r>
              <w:rPr>
                <w:rFonts w:hint="eastAsia" w:ascii="宋体" w:hAnsi="宋体" w:cs="宋体"/>
                <w:sz w:val="24"/>
              </w:rPr>
              <w:t>2、如甲方发现乙方出现转租、转让、抵押承包等情况，甲方可以单方面终止合同，且乙方须支付给甲方月度合同服务款二倍金额的违约金。</w:t>
            </w:r>
          </w:p>
          <w:p>
            <w:pPr>
              <w:snapToGrid w:val="0"/>
              <w:spacing w:line="360" w:lineRule="auto"/>
              <w:ind w:firstLine="480" w:firstLineChars="200"/>
              <w:jc w:val="left"/>
              <w:rPr>
                <w:rFonts w:ascii="宋体" w:hAnsi="宋体" w:cs="宋体"/>
                <w:sz w:val="24"/>
              </w:rPr>
            </w:pPr>
            <w:r>
              <w:rPr>
                <w:rFonts w:hint="eastAsia" w:ascii="宋体" w:hAnsi="宋体" w:cs="宋体"/>
                <w:sz w:val="24"/>
              </w:rPr>
              <w:t>3、如果乙方在服务期内由于乙方原因造成重大责任事故或安全事故，甲方可以单方面终止合同，且乙方须赔偿给甲方造成的经济损失，并须支付给甲方月度合同服务款五倍金额的违约金。</w:t>
            </w:r>
          </w:p>
          <w:p>
            <w:pPr>
              <w:snapToGrid w:val="0"/>
              <w:spacing w:line="360" w:lineRule="auto"/>
              <w:ind w:firstLine="480" w:firstLineChars="200"/>
              <w:jc w:val="left"/>
              <w:rPr>
                <w:rFonts w:ascii="宋体" w:hAnsi="宋体" w:cs="宋体"/>
                <w:sz w:val="24"/>
              </w:rPr>
            </w:pPr>
            <w:r>
              <w:rPr>
                <w:rFonts w:hint="eastAsia" w:ascii="宋体" w:hAnsi="宋体" w:cs="宋体"/>
                <w:sz w:val="24"/>
              </w:rPr>
              <w:t>4、提前终止合同期早于月底最后一天，应视为月底最后一天期满，此条适用于上述1、2、3项。</w:t>
            </w:r>
          </w:p>
          <w:p>
            <w:pPr>
              <w:snapToGrid w:val="0"/>
              <w:spacing w:line="360" w:lineRule="auto"/>
              <w:ind w:firstLine="480" w:firstLineChars="200"/>
              <w:jc w:val="left"/>
              <w:rPr>
                <w:rFonts w:ascii="宋体" w:hAnsi="宋体" w:cs="宋体"/>
                <w:sz w:val="24"/>
              </w:rPr>
            </w:pPr>
            <w:r>
              <w:rPr>
                <w:rFonts w:hint="eastAsia" w:ascii="宋体" w:hAnsi="宋体" w:cs="宋体"/>
                <w:sz w:val="24"/>
              </w:rPr>
              <w:t>5、乙方未能履行合同和遵守有关规定，在甲方发出书面警告后一周内乙方仍无采取补救措施，甲方可立即终止合同，且乙方须支付给甲方月度合同服务款二倍金额的违约金。</w:t>
            </w:r>
          </w:p>
          <w:p>
            <w:pPr>
              <w:spacing w:line="360" w:lineRule="auto"/>
              <w:ind w:firstLine="480" w:firstLineChars="200"/>
              <w:jc w:val="left"/>
              <w:rPr>
                <w:rFonts w:ascii="宋体" w:hAnsi="宋体" w:cs="宋体"/>
                <w:sz w:val="24"/>
              </w:rPr>
            </w:pPr>
            <w:r>
              <w:rPr>
                <w:rFonts w:hint="eastAsia" w:ascii="宋体" w:hAnsi="宋体" w:cs="宋体"/>
                <w:sz w:val="24"/>
              </w:rPr>
              <w:t>6、乙方破产清处、重组及兼并等事实发生，或被债权人接管经营，甲方即可终止合同。</w:t>
            </w:r>
          </w:p>
          <w:p>
            <w:pPr>
              <w:snapToGrid w:val="0"/>
              <w:spacing w:line="360" w:lineRule="auto"/>
              <w:ind w:firstLine="480" w:firstLineChars="200"/>
              <w:jc w:val="left"/>
              <w:rPr>
                <w:rFonts w:ascii="宋体" w:hAnsi="宋体"/>
                <w:snapToGrid w:val="0"/>
                <w:kern w:val="0"/>
                <w:sz w:val="24"/>
              </w:rPr>
            </w:pPr>
            <w:r>
              <w:rPr>
                <w:rFonts w:hint="eastAsia" w:ascii="宋体" w:hAnsi="宋体" w:cs="宋体"/>
                <w:sz w:val="24"/>
              </w:rPr>
              <w:t>7、</w:t>
            </w:r>
            <w:r>
              <w:rPr>
                <w:rFonts w:hint="eastAsia" w:ascii="宋体" w:hAnsi="宋体"/>
                <w:snapToGrid w:val="0"/>
                <w:kern w:val="0"/>
                <w:sz w:val="24"/>
              </w:rPr>
              <w:t>如遇暴力事件，乙方安保人员有胆怯、退缩行为的，不履行应尽职责的，甲方可立即</w:t>
            </w:r>
            <w:r>
              <w:rPr>
                <w:rFonts w:hint="eastAsia" w:ascii="宋体" w:hAnsi="宋体"/>
                <w:bCs/>
                <w:snapToGrid w:val="0"/>
                <w:kern w:val="0"/>
                <w:sz w:val="24"/>
              </w:rPr>
              <w:t>终</w:t>
            </w:r>
            <w:r>
              <w:rPr>
                <w:rFonts w:hint="eastAsia" w:ascii="宋体" w:hAnsi="宋体"/>
                <w:snapToGrid w:val="0"/>
                <w:kern w:val="0"/>
                <w:sz w:val="24"/>
              </w:rPr>
              <w:t>止本合同</w:t>
            </w:r>
            <w:r>
              <w:rPr>
                <w:rFonts w:hint="eastAsia" w:ascii="宋体" w:hAnsi="宋体" w:cs="宋体"/>
                <w:sz w:val="24"/>
              </w:rPr>
              <w:t>，且乙方须支付给甲方月度合同服务款二倍金额的违约金。</w:t>
            </w:r>
          </w:p>
          <w:p>
            <w:pPr>
              <w:spacing w:line="360" w:lineRule="auto"/>
              <w:ind w:firstLine="480" w:firstLineChars="200"/>
              <w:rPr>
                <w:rFonts w:ascii="宋体" w:hAnsi="宋体" w:cs="宋体"/>
                <w:sz w:val="24"/>
              </w:rPr>
            </w:pPr>
            <w:r>
              <w:rPr>
                <w:rFonts w:hint="eastAsia" w:ascii="宋体" w:hAnsi="宋体"/>
                <w:snapToGrid w:val="0"/>
                <w:kern w:val="0"/>
                <w:sz w:val="24"/>
              </w:rPr>
              <w:t>8、</w:t>
            </w:r>
            <w:r>
              <w:rPr>
                <w:rFonts w:hint="eastAsia" w:ascii="宋体" w:hAnsi="宋体" w:cs="宋体"/>
                <w:sz w:val="24"/>
              </w:rPr>
              <w:t>按招标文件采购需求中其他相关内容执行。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4534" w:type="pct"/>
            <w:vAlign w:val="center"/>
          </w:tcPr>
          <w:p>
            <w:pPr>
              <w:spacing w:line="360" w:lineRule="auto"/>
              <w:rPr>
                <w:rFonts w:ascii="宋体" w:hAnsi="宋体" w:cs="宋体"/>
                <w:sz w:val="24"/>
              </w:rPr>
            </w:pPr>
            <w:r>
              <w:rPr>
                <w:rFonts w:hint="eastAsia" w:ascii="宋体" w:hAnsi="宋体" w:cs="宋体"/>
                <w:sz w:val="24"/>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r>
              <w:rPr>
                <w:rFonts w:hint="eastAsia" w:ascii="宋体" w:hAnsi="宋体" w:cs="宋体"/>
                <w:sz w:val="24"/>
              </w:rPr>
              <w:t>甲方住所地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同1.4.4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r>
              <w:rPr>
                <w:rFonts w:hint="eastAsia" w:ascii="宋体" w:hAnsi="宋体" w:cs="宋体"/>
                <w:snapToGrid w:val="0"/>
                <w:kern w:val="0"/>
                <w:sz w:val="24"/>
              </w:rPr>
              <w:t>因不可抗力致使合同有变更必要的，双方当事人应在</w:t>
            </w:r>
            <w:r>
              <w:rPr>
                <w:rFonts w:hint="eastAsia" w:ascii="宋体" w:hAnsi="宋体" w:cs="宋体"/>
                <w:snapToGrid w:val="0"/>
                <w:kern w:val="0"/>
                <w:sz w:val="24"/>
                <w:u w:val="single"/>
              </w:rPr>
              <w:t>30日</w:t>
            </w:r>
            <w:r>
              <w:rPr>
                <w:rFonts w:hint="eastAsia" w:ascii="宋体" w:hAnsi="宋体" w:cs="宋体"/>
                <w:snapToGrid w:val="0"/>
                <w:kern w:val="0"/>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534" w:type="pct"/>
          </w:tcPr>
          <w:p>
            <w:pPr>
              <w:spacing w:line="360" w:lineRule="auto"/>
              <w:rPr>
                <w:rFonts w:ascii="宋体" w:hAnsi="宋体" w:cs="宋体"/>
                <w:sz w:val="24"/>
              </w:rPr>
            </w:pPr>
            <w:r>
              <w:rPr>
                <w:rFonts w:hint="eastAsia" w:ascii="宋体" w:hAnsi="宋体" w:cs="宋体"/>
                <w:snapToGrid w:val="0"/>
                <w:kern w:val="0"/>
                <w:sz w:val="24"/>
              </w:rPr>
              <w:t>受不可抗力影响的一方在不可抗力发生后，应在</w:t>
            </w:r>
            <w:r>
              <w:rPr>
                <w:rFonts w:hint="eastAsia" w:ascii="宋体" w:hAnsi="宋体" w:cs="宋体"/>
                <w:snapToGrid w:val="0"/>
                <w:kern w:val="0"/>
                <w:sz w:val="24"/>
                <w:u w:val="single"/>
              </w:rPr>
              <w:t>15日</w:t>
            </w:r>
            <w:r>
              <w:rPr>
                <w:rFonts w:hint="eastAsia" w:ascii="宋体" w:hAnsi="宋体" w:cs="宋体"/>
                <w:snapToGrid w:val="0"/>
                <w:kern w:val="0"/>
                <w:sz w:val="24"/>
              </w:rPr>
              <w:t>内以书面形式通知对方当事人，并在</w:t>
            </w:r>
            <w:r>
              <w:rPr>
                <w:rFonts w:hint="eastAsia" w:ascii="宋体" w:hAnsi="宋体" w:cs="宋体"/>
                <w:snapToGrid w:val="0"/>
                <w:kern w:val="0"/>
                <w:sz w:val="24"/>
                <w:u w:val="single"/>
              </w:rPr>
              <w:t>15日</w:t>
            </w:r>
            <w:r>
              <w:rPr>
                <w:rFonts w:hint="eastAsia" w:ascii="宋体" w:hAnsi="宋体" w:cs="宋体"/>
                <w:snapToGrid w:val="0"/>
                <w:kern w:val="0"/>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534" w:type="pct"/>
            <w:vAlign w:val="center"/>
          </w:tcPr>
          <w:p>
            <w:pPr>
              <w:spacing w:line="360" w:lineRule="auto"/>
              <w:rPr>
                <w:rFonts w:ascii="宋体" w:hAnsi="宋体" w:cs="宋体"/>
                <w:sz w:val="24"/>
              </w:rPr>
            </w:pPr>
            <w:r>
              <w:rPr>
                <w:rFonts w:hint="eastAsia" w:ascii="宋体" w:hAnsi="宋体" w:cs="宋体"/>
                <w:sz w:val="24"/>
              </w:rPr>
              <w:t>乙方按照</w:t>
            </w:r>
            <w:r>
              <w:rPr>
                <w:rFonts w:hint="eastAsia" w:ascii="宋体" w:hAnsi="宋体" w:cs="宋体"/>
                <w:b/>
                <w:sz w:val="24"/>
                <w:u w:val="single"/>
              </w:rPr>
              <w:t>双方确定的服务考核办法</w:t>
            </w:r>
            <w:r>
              <w:rPr>
                <w:rFonts w:hint="eastAsia" w:ascii="宋体" w:hAnsi="宋体" w:cs="宋体"/>
                <w:sz w:val="24"/>
              </w:rPr>
              <w:t>的约定，定期提交服务报告，甲方按照</w:t>
            </w:r>
            <w:r>
              <w:rPr>
                <w:rFonts w:hint="eastAsia" w:ascii="宋体" w:hAnsi="宋体" w:cs="宋体"/>
                <w:b/>
                <w:sz w:val="24"/>
                <w:u w:val="single"/>
              </w:rPr>
              <w:t>服务考核办法</w:t>
            </w:r>
            <w:r>
              <w:rPr>
                <w:rFonts w:hint="eastAsia" w:ascii="宋体" w:hAnsi="宋体" w:cs="宋体"/>
                <w:sz w:val="24"/>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r>
              <w:rPr>
                <w:rFonts w:hint="eastAsia" w:ascii="宋体" w:hAnsi="宋体" w:cs="宋体"/>
                <w:sz w:val="24"/>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4534" w:type="pct"/>
            <w:vAlign w:val="center"/>
          </w:tcPr>
          <w:p>
            <w:pPr>
              <w:spacing w:line="276" w:lineRule="auto"/>
              <w:ind w:right="141" w:rightChars="67"/>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履约保证金：</w:t>
            </w:r>
            <w:r>
              <w:rPr>
                <w:rFonts w:hint="eastAsia" w:asciiTheme="minorEastAsia" w:hAnsiTheme="minorEastAsia" w:eastAsiaTheme="minorEastAsia"/>
                <w:b/>
                <w:sz w:val="24"/>
                <w:u w:val="single"/>
              </w:rPr>
              <w:t>合同款的1%</w:t>
            </w:r>
          </w:p>
          <w:p>
            <w:pPr>
              <w:spacing w:line="360" w:lineRule="auto"/>
              <w:rPr>
                <w:rFonts w:ascii="宋体" w:hAnsi="宋体" w:cs="宋体"/>
                <w:sz w:val="24"/>
              </w:rPr>
            </w:pPr>
            <w:r>
              <w:rPr>
                <w:rFonts w:hint="eastAsia" w:cs="宋体" w:asciiTheme="minorEastAsia" w:hAnsiTheme="minorEastAsia" w:eastAsiaTheme="minorEastAsia"/>
                <w:kern w:val="0"/>
                <w:sz w:val="24"/>
              </w:rPr>
              <w:t>支付方式：</w:t>
            </w:r>
            <w:r>
              <w:rPr>
                <w:rFonts w:hint="eastAsia" w:asciiTheme="minorEastAsia" w:hAnsiTheme="minorEastAsia" w:eastAsiaTheme="minorEastAsia"/>
                <w:b/>
                <w:sz w:val="24"/>
                <w:u w:val="single"/>
              </w:rPr>
              <w:t>以转账、汇款、支票、汇票、本票或者金融机构、担保机构出具的保函等非现金形式提交，鼓励和支持乙方以银行、保险公司出具的保函形式提供履约保证。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4534" w:type="pct"/>
            <w:vAlign w:val="center"/>
          </w:tcPr>
          <w:p>
            <w:pPr>
              <w:spacing w:line="360" w:lineRule="auto"/>
              <w:rPr>
                <w:rFonts w:ascii="宋体" w:hAnsi="宋体" w:cs="宋体"/>
                <w:sz w:val="24"/>
              </w:rPr>
            </w:pPr>
            <w:r>
              <w:rPr>
                <w:rFonts w:hint="eastAsia" w:ascii="宋体" w:hAnsi="宋体" w:cs="宋体"/>
                <w:sz w:val="24"/>
              </w:rPr>
              <w:t>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2.20</w:t>
            </w:r>
          </w:p>
        </w:tc>
        <w:tc>
          <w:tcPr>
            <w:tcW w:w="4534" w:type="pct"/>
          </w:tcPr>
          <w:p>
            <w:pPr>
              <w:spacing w:line="360" w:lineRule="auto"/>
              <w:rPr>
                <w:rFonts w:ascii="宋体" w:hAnsi="宋体" w:cs="宋体"/>
                <w:sz w:val="24"/>
              </w:rPr>
            </w:pPr>
            <w:r>
              <w:rPr>
                <w:rFonts w:hint="eastAsia" w:ascii="宋体" w:hAnsi="宋体" w:cs="宋体"/>
                <w:sz w:val="24"/>
              </w:rPr>
              <w:t>壹式</w:t>
            </w:r>
            <w:r>
              <w:rPr>
                <w:rFonts w:hint="eastAsia" w:ascii="宋体" w:hAnsi="宋体" w:cs="宋体"/>
                <w:sz w:val="24"/>
                <w:lang w:eastAsia="zh-CN"/>
              </w:rPr>
              <w:t>柒</w:t>
            </w:r>
            <w:r>
              <w:rPr>
                <w:rFonts w:hint="eastAsia" w:ascii="宋体" w:hAnsi="宋体" w:cs="宋体"/>
                <w:sz w:val="24"/>
              </w:rPr>
              <w:t>份，甲方执肆份，乙方执贰份，采购中心执壹份</w:t>
            </w:r>
          </w:p>
        </w:tc>
      </w:tr>
    </w:tbl>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left"/>
        <w:rPr>
          <w:rFonts w:ascii="宋体" w:hAnsi="宋体" w:cs="宋体"/>
          <w:b/>
          <w:sz w:val="36"/>
          <w:szCs w:val="20"/>
        </w:rPr>
      </w:pPr>
      <w:r>
        <w:rPr>
          <w:rFonts w:hint="eastAsia"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5"/>
      <w:r>
        <w:rPr>
          <w:rFonts w:hint="eastAsia" w:ascii="宋体" w:hAnsi="宋体" w:cs="宋体"/>
          <w:b/>
          <w:sz w:val="36"/>
          <w:szCs w:val="20"/>
        </w:rPr>
        <w:t xml:space="preserve"> </w:t>
      </w:r>
      <w:bookmarkEnd w:id="396"/>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（3）落实政府采购政策需满足的资格要求………………………………（页码）</w:t>
      </w:r>
    </w:p>
    <w:p>
      <w:pPr>
        <w:snapToGrid w:val="0"/>
        <w:spacing w:line="360" w:lineRule="auto"/>
        <w:rPr>
          <w:rFonts w:ascii="宋体" w:hAnsi="宋体" w:cs="宋体"/>
          <w:sz w:val="24"/>
        </w:rPr>
      </w:pPr>
      <w:r>
        <w:rPr>
          <w:rFonts w:hint="eastAsia" w:ascii="宋体" w:hAnsi="宋体" w:cs="宋体"/>
          <w:sz w:val="24"/>
        </w:rPr>
        <w:t>（4）本项目的特定资格要求………………………………………………（页码）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杭州市西湖区高级中学、杭州市西湖区政府采购中心：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我方参与西湖高级中学保安服务采购项目【招标编号</w:t>
      </w:r>
      <w:r>
        <w:rPr>
          <w:rFonts w:hint="eastAsia" w:ascii="宋体" w:hAnsi="宋体" w:cs="宋体"/>
          <w:sz w:val="24"/>
          <w:lang w:eastAsia="zh-CN"/>
        </w:rPr>
        <w:t>XHZFCG-2024-G-</w:t>
      </w:r>
      <w:r>
        <w:rPr>
          <w:rFonts w:hint="eastAsia" w:ascii="宋体" w:hAnsi="宋体" w:cs="宋体"/>
          <w:sz w:val="24"/>
          <w:lang w:val="en-US" w:eastAsia="zh-CN"/>
        </w:rPr>
        <w:t>17</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rPr>
          <w:rFonts w:ascii="宋体" w:hAnsi="宋体" w:cs="宋体"/>
          <w:b/>
          <w:kern w:val="0"/>
          <w:sz w:val="32"/>
          <w:szCs w:val="32"/>
        </w:rPr>
      </w:pPr>
      <w:r>
        <w:rPr>
          <w:rFonts w:hint="eastAsia" w:ascii="宋体" w:hAnsi="宋体" w:cs="宋体"/>
          <w:sz w:val="24"/>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宋体"/>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kern w:val="0"/>
          <w:sz w:val="32"/>
          <w:szCs w:val="32"/>
        </w:rPr>
      </w:pPr>
      <w:r>
        <w:rPr>
          <w:rFonts w:hint="eastAsia"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pacing w:line="360" w:lineRule="auto"/>
        <w:ind w:firstLine="482" w:firstLineChars="200"/>
        <w:rPr>
          <w:rFonts w:ascii="宋体" w:hAnsi="宋体" w:cs="宋体"/>
          <w:b/>
          <w:bCs/>
          <w:sz w:val="24"/>
        </w:rPr>
      </w:pPr>
      <w:r>
        <w:rPr>
          <w:rFonts w:hint="eastAsia" w:ascii="宋体" w:hAnsi="宋体" w:cs="宋体"/>
          <w:b/>
          <w:bCs/>
          <w:sz w:val="24"/>
        </w:rPr>
        <w:t>本项目面向中小企业，服务全部由符合政策要求的中小企业承接，提供中小企业声明函（附件7）</w:t>
      </w:r>
    </w:p>
    <w:p>
      <w:pPr>
        <w:rPr>
          <w:rFonts w:ascii="宋体" w:hAnsi="宋体" w:cs="宋体"/>
        </w:rPr>
      </w:pPr>
    </w:p>
    <w:p>
      <w:pPr>
        <w:rPr>
          <w:rFonts w:ascii="宋体" w:hAnsi="宋体" w:cs="宋体"/>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hint="eastAsia"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（3）分包意向协议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（4）符合性审查资料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（5）评标标准相应的商务技术资料</w:t>
      </w:r>
      <w:r>
        <w:rPr>
          <w:rFonts w:hint="eastAsia" w:ascii="宋体" w:hAnsi="宋体" w:cs="宋体"/>
        </w:rPr>
        <w:t>……………………………………………………（页码）</w:t>
      </w:r>
      <w:r>
        <w:rPr>
          <w:rFonts w:hint="eastAsia" w:ascii="宋体" w:hAnsi="宋体" w:cs="宋体"/>
          <w:sz w:val="24"/>
        </w:rPr>
        <w:t>（6）投标标的清单</w:t>
      </w:r>
      <w:r>
        <w:rPr>
          <w:rFonts w:hint="eastAsia" w:ascii="宋体" w:hAnsi="宋体" w:cs="宋体"/>
        </w:rPr>
        <w:t>…………………………………………………………………………（页码）</w:t>
      </w:r>
      <w:r>
        <w:rPr>
          <w:rFonts w:hint="eastAsia" w:ascii="宋体" w:hAnsi="宋体" w:cs="宋体"/>
          <w:sz w:val="24"/>
        </w:rPr>
        <w:t>（7）商务技术偏离表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杭州市西湖高级中学、杭州市西湖区政府采购中心：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我方参加你方组织的杭州市西湖高级中学保安服务采购项目【招标编号：</w:t>
      </w:r>
      <w:r>
        <w:rPr>
          <w:rFonts w:hint="eastAsia" w:ascii="宋体" w:hAnsi="宋体" w:cs="宋体"/>
          <w:sz w:val="24"/>
          <w:lang w:eastAsia="zh-CN"/>
        </w:rPr>
        <w:t>XHZFCG-2024-G-</w:t>
      </w:r>
      <w:r>
        <w:rPr>
          <w:rFonts w:hint="eastAsia" w:ascii="宋体" w:hAnsi="宋体" w:cs="宋体"/>
          <w:sz w:val="24"/>
          <w:lang w:val="en-US" w:eastAsia="zh-CN"/>
        </w:rPr>
        <w:t>17</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9" w:name="_Hlk101257010"/>
      <w:r>
        <w:rPr>
          <w:rFonts w:hint="eastAsia" w:ascii="宋体" w:hAnsi="宋体" w:cs="宋体"/>
          <w:sz w:val="24"/>
        </w:rPr>
        <w:t>（如果有)</w:t>
      </w:r>
      <w:bookmarkEnd w:id="509"/>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2.1.3落实政府采购政策需满足的资格要求；</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2.1.4本项目的特定资格要求（如果有)。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2.2.7商务技术偏离表；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rPr>
      </w:pPr>
      <w:r>
        <w:rPr>
          <w:rFonts w:hint="eastAsia" w:ascii="宋体" w:hAnsi="宋体" w:cs="宋体"/>
          <w:sz w:val="24"/>
        </w:rPr>
        <w:t>2.3.1开标一览表（报价表）。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6"/>
        <w:rPr>
          <w:rFonts w:ascii="宋体" w:hAnsi="宋体" w:eastAsia="宋体" w:cs="宋体"/>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杭州市西湖高级中学、杭州市西湖区政府采购中心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杭州市西湖高级中学保安服务采购项目【招标编号：</w:t>
      </w:r>
      <w:r>
        <w:rPr>
          <w:rFonts w:hint="eastAsia" w:ascii="宋体" w:hAnsi="宋体" w:cs="宋体"/>
          <w:sz w:val="24"/>
          <w:lang w:eastAsia="zh-CN"/>
        </w:rPr>
        <w:t>XHZFCG-2024-G-</w:t>
      </w:r>
      <w:r>
        <w:rPr>
          <w:rFonts w:hint="eastAsia" w:ascii="宋体" w:hAnsi="宋体" w:cs="宋体"/>
          <w:sz w:val="24"/>
          <w:lang w:val="en-US" w:eastAsia="zh-CN"/>
        </w:rPr>
        <w:t>17</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pacing w:line="360" w:lineRule="auto"/>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杭州市西湖高级中学、杭州市西湖区政府采购中心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杭州市西湖高级中学保安服务采购项目【招标编号：</w:t>
      </w:r>
      <w:r>
        <w:rPr>
          <w:rFonts w:hint="eastAsia" w:ascii="宋体" w:hAnsi="宋体" w:cs="宋体"/>
          <w:sz w:val="24"/>
          <w:lang w:eastAsia="zh-CN"/>
        </w:rPr>
        <w:t>XHZFCG-2024-G-</w:t>
      </w:r>
      <w:r>
        <w:rPr>
          <w:rFonts w:hint="eastAsia" w:ascii="宋体" w:hAnsi="宋体" w:cs="宋体"/>
          <w:sz w:val="24"/>
          <w:lang w:val="en-US" w:eastAsia="zh-CN"/>
        </w:rPr>
        <w:t>17</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left"/>
        <w:rPr>
          <w:rFonts w:ascii="宋体" w:hAnsi="宋体" w:cs="宋体"/>
          <w:b/>
          <w:kern w:val="0"/>
          <w:sz w:val="32"/>
          <w:szCs w:val="32"/>
          <w:u w:val="single"/>
          <w:lang w:val="zh-CN"/>
        </w:rPr>
      </w:pPr>
      <w:r>
        <w:rPr>
          <w:rFonts w:hint="eastAsia" w:ascii="宋体" w:hAnsi="宋体" w:cs="宋体"/>
          <w:b/>
          <w:kern w:val="0"/>
          <w:sz w:val="24"/>
          <w:u w:val="singl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center"/>
          </w:tcPr>
          <w:p>
            <w:pPr>
              <w:spacing w:line="360" w:lineRule="auto"/>
              <w:jc w:val="center"/>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jc w:val="cente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见投标文件</w:t>
            </w:r>
          </w:p>
          <w:p>
            <w:pPr>
              <w:jc w:val="cente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vAlign w:val="center"/>
          </w:tcPr>
          <w:p>
            <w:pPr>
              <w:spacing w:line="360" w:lineRule="auto"/>
              <w:jc w:val="center"/>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jc w:val="center"/>
              <w:rPr>
                <w:rFonts w:ascii="宋体" w:hAnsi="宋体" w:cs="宋体"/>
                <w:sz w:val="24"/>
              </w:rPr>
            </w:pPr>
            <w:r>
              <w:rPr>
                <w:rFonts w:hint="eastAsia" w:ascii="宋体" w:hAnsi="宋体" w:cs="宋体"/>
                <w:sz w:val="24"/>
              </w:rPr>
              <w:t>投标函</w:t>
            </w:r>
          </w:p>
        </w:tc>
        <w:tc>
          <w:tcPr>
            <w:tcW w:w="1418"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center"/>
          </w:tcPr>
          <w:p>
            <w:pPr>
              <w:spacing w:line="360" w:lineRule="auto"/>
              <w:jc w:val="center"/>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jc w:val="cente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服务时间（1年）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hint="eastAsia"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杭州市西湖高级中学、杭州市西湖区政府采购中心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b/>
          <w:kern w:val="0"/>
          <w:sz w:val="32"/>
          <w:szCs w:val="32"/>
        </w:rPr>
      </w:pPr>
      <w:r>
        <w:rPr>
          <w:rFonts w:hint="eastAsia" w:ascii="宋体" w:hAnsi="宋体" w:cs="宋体"/>
          <w:sz w:val="24"/>
        </w:rPr>
        <w:t>（1）开标一览表（报价表）………………………………………………………（页码）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杭州市西湖高级中学、杭州市西湖区政府采购中心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杭州市西湖高级中学保安服务采购项目</w:t>
      </w:r>
      <w:r>
        <w:rPr>
          <w:rFonts w:hint="eastAsia" w:ascii="宋体" w:hAnsi="宋体" w:cs="宋体"/>
          <w:kern w:val="0"/>
          <w:sz w:val="24"/>
          <w:lang w:val="zh-CN"/>
        </w:rPr>
        <w:t>【招标编号：</w:t>
      </w:r>
      <w:r>
        <w:rPr>
          <w:rFonts w:hint="eastAsia" w:ascii="宋体" w:hAnsi="宋体" w:cs="宋体"/>
          <w:sz w:val="24"/>
          <w:lang w:eastAsia="zh-CN"/>
        </w:rPr>
        <w:t>XHZFCG-2024-G-</w:t>
      </w:r>
      <w:r>
        <w:rPr>
          <w:rFonts w:hint="eastAsia" w:ascii="宋体" w:hAnsi="宋体" w:cs="宋体"/>
          <w:sz w:val="24"/>
          <w:lang w:val="en-US" w:eastAsia="zh-CN"/>
        </w:rPr>
        <w:t>17</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701"/>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701"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服务时间（1年）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1559" w:type="dxa"/>
            <w:vAlign w:val="center"/>
          </w:tcPr>
          <w:p>
            <w:pPr>
              <w:snapToGrid w:val="0"/>
              <w:spacing w:line="360" w:lineRule="auto"/>
              <w:jc w:val="center"/>
              <w:rPr>
                <w:rFonts w:ascii="宋体" w:hAnsi="宋体" w:cs="宋体"/>
                <w:sz w:val="24"/>
              </w:rPr>
            </w:pPr>
          </w:p>
        </w:tc>
        <w:tc>
          <w:tcPr>
            <w:tcW w:w="1701"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w:t>
            </w:r>
          </w:p>
        </w:tc>
        <w:tc>
          <w:tcPr>
            <w:tcW w:w="1559" w:type="dxa"/>
            <w:vAlign w:val="center"/>
          </w:tcPr>
          <w:p>
            <w:pPr>
              <w:snapToGrid w:val="0"/>
              <w:spacing w:line="360" w:lineRule="auto"/>
              <w:jc w:val="center"/>
              <w:rPr>
                <w:rFonts w:ascii="宋体" w:hAnsi="宋体" w:cs="宋体"/>
                <w:sz w:val="24"/>
              </w:rPr>
            </w:pPr>
          </w:p>
        </w:tc>
        <w:tc>
          <w:tcPr>
            <w:tcW w:w="1701"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1559" w:type="dxa"/>
            <w:vAlign w:val="center"/>
          </w:tcPr>
          <w:p>
            <w:pPr>
              <w:snapToGrid w:val="0"/>
              <w:spacing w:line="360" w:lineRule="auto"/>
              <w:jc w:val="center"/>
              <w:rPr>
                <w:rFonts w:ascii="宋体" w:hAnsi="宋体" w:cs="宋体"/>
                <w:sz w:val="24"/>
              </w:rPr>
            </w:pPr>
          </w:p>
        </w:tc>
        <w:tc>
          <w:tcPr>
            <w:tcW w:w="1701"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pStyle w:val="6"/>
              <w:rPr>
                <w:rFonts w:ascii="宋体" w:hAnsi="宋体" w:eastAsia="宋体" w:cs="宋体"/>
              </w:rPr>
            </w:pPr>
          </w:p>
        </w:tc>
        <w:tc>
          <w:tcPr>
            <w:tcW w:w="1559" w:type="dxa"/>
            <w:vAlign w:val="center"/>
          </w:tcPr>
          <w:p>
            <w:pPr>
              <w:snapToGrid w:val="0"/>
              <w:spacing w:line="360" w:lineRule="auto"/>
              <w:jc w:val="center"/>
              <w:rPr>
                <w:rFonts w:ascii="宋体" w:hAnsi="宋体" w:cs="宋体"/>
                <w:sz w:val="24"/>
              </w:rPr>
            </w:pPr>
          </w:p>
        </w:tc>
        <w:tc>
          <w:tcPr>
            <w:tcW w:w="1701"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1559" w:type="dxa"/>
            <w:vAlign w:val="center"/>
          </w:tcPr>
          <w:p>
            <w:pPr>
              <w:snapToGrid w:val="0"/>
              <w:spacing w:line="360" w:lineRule="auto"/>
              <w:jc w:val="center"/>
              <w:rPr>
                <w:rFonts w:ascii="宋体" w:hAnsi="宋体" w:cs="宋体"/>
                <w:sz w:val="24"/>
              </w:rPr>
            </w:pPr>
          </w:p>
        </w:tc>
        <w:tc>
          <w:tcPr>
            <w:tcW w:w="1701"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1559" w:type="dxa"/>
            <w:vAlign w:val="center"/>
          </w:tcPr>
          <w:p>
            <w:pPr>
              <w:snapToGrid w:val="0"/>
              <w:spacing w:line="360" w:lineRule="auto"/>
              <w:jc w:val="center"/>
              <w:rPr>
                <w:rFonts w:ascii="宋体" w:hAnsi="宋体" w:cs="宋体"/>
                <w:sz w:val="24"/>
              </w:rPr>
            </w:pPr>
          </w:p>
        </w:tc>
        <w:tc>
          <w:tcPr>
            <w:tcW w:w="1701"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p>
    <w:p>
      <w:pPr>
        <w:spacing w:line="360" w:lineRule="auto"/>
        <w:ind w:firstLine="480" w:firstLineChars="200"/>
        <w:rPr>
          <w:rFonts w:ascii="宋体" w:hAnsi="宋体" w:cs="宋体"/>
          <w:b/>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合同总价不为零，报价明细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spacing w:line="360" w:lineRule="auto"/>
        <w:ind w:firstLine="482" w:firstLineChars="200"/>
        <w:rPr>
          <w:rFonts w:ascii="宋体" w:hAnsi="宋体" w:cs="宋体"/>
        </w:rPr>
      </w:pPr>
      <w:r>
        <w:rPr>
          <w:rFonts w:hint="eastAsia" w:ascii="宋体" w:hAnsi="宋体" w:cs="宋体"/>
          <w:b/>
          <w:kern w:val="0"/>
          <w:sz w:val="24"/>
        </w:rPr>
        <w:t>3、▲特别说明：供应商报价低于项目预算50%的，应当在报价文件中详细阐述不影响产品质量或者诚信履约的具体原因。</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rPr>
        <w:t>4</w:t>
      </w:r>
      <w:r>
        <w:rPr>
          <w:rFonts w:hint="eastAsia" w:ascii="宋体" w:hAnsi="宋体" w:cs="宋体"/>
          <w:kern w:val="0"/>
          <w:sz w:val="24"/>
          <w:lang w:val="zh-CN"/>
        </w:rPr>
        <w:t>、特别提示：采购机构将对项目名称和项目编号，中标供应商名称、地址和中标金额，主要中标标的名称、服务范围、服务要求、服务时间、服务标准等予以公示。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szCs w:val="22"/>
        </w:rPr>
        <w:t>5</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spacing w:line="360" w:lineRule="auto"/>
        <w:ind w:right="1760"/>
        <w:jc w:val="center"/>
        <w:rPr>
          <w:rFonts w:ascii="宋体" w:hAnsi="宋体" w:cs="宋体"/>
          <w:sz w:val="24"/>
        </w:rPr>
      </w:pPr>
      <w:r>
        <w:rPr>
          <w:rFonts w:hint="eastAsia" w:ascii="宋体" w:hAnsi="宋体" w:cs="宋体"/>
          <w:sz w:val="24"/>
        </w:rPr>
        <w:t xml:space="preserve">                                                                                  投标人名称（电子签名）：</w:t>
      </w:r>
    </w:p>
    <w:p>
      <w:pPr>
        <w:spacing w:line="360" w:lineRule="auto"/>
        <w:ind w:right="1120" w:firstLine="10200" w:firstLineChars="4250"/>
        <w:rPr>
          <w:rFonts w:ascii="宋体" w:hAnsi="宋体" w:cs="宋体"/>
          <w:sz w:val="24"/>
        </w:rPr>
      </w:pPr>
      <w:r>
        <w:rPr>
          <w:rFonts w:hint="eastAsia" w:ascii="宋体" w:hAnsi="宋体" w:cs="宋体"/>
          <w:sz w:val="24"/>
        </w:rPr>
        <w:t>日 期：</w:t>
      </w: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4"/>
      <w:bookmarkStart w:id="511" w:name="OLE_LINK13"/>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lang w:val="en-US" w:eastAsia="zh-CN"/>
        </w:rPr>
        <w:t xml:space="preserve"> </w:t>
      </w:r>
      <w:r>
        <w:rPr>
          <w:rFonts w:hint="eastAsia" w:ascii="宋体" w:hAnsi="宋体" w:cs="宋体"/>
          <w:sz w:val="24"/>
          <w:u w:val="single"/>
        </w:rPr>
        <w:t>杭州市西湖高级中学</w:t>
      </w:r>
      <w:r>
        <w:rPr>
          <w:rFonts w:hint="eastAsia" w:ascii="宋体" w:hAnsi="宋体" w:cs="宋体"/>
          <w:sz w:val="24"/>
          <w:lang w:val="en-US" w:eastAsia="zh-CN"/>
        </w:rPr>
        <w:t xml:space="preserve"> </w:t>
      </w:r>
      <w:r>
        <w:rPr>
          <w:rFonts w:hint="eastAsia" w:ascii="宋体" w:hAnsi="宋体" w:cs="宋体"/>
          <w:sz w:val="24"/>
        </w:rPr>
        <w:t>单位的</w:t>
      </w:r>
      <w:r>
        <w:rPr>
          <w:rFonts w:hint="eastAsia" w:ascii="宋体" w:hAnsi="宋体" w:cs="宋体"/>
          <w:sz w:val="24"/>
          <w:u w:val="single"/>
          <w:lang w:val="en-US" w:eastAsia="zh-CN"/>
        </w:rPr>
        <w:t xml:space="preserve"> </w:t>
      </w:r>
      <w:r>
        <w:rPr>
          <w:rFonts w:hint="eastAsia" w:ascii="宋体" w:hAnsi="宋体" w:cs="宋体"/>
          <w:sz w:val="24"/>
          <w:u w:val="single"/>
        </w:rPr>
        <w:t>杭州市西湖高级中学保安服务采购项目的</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80"/>
        <w:rPr>
          <w:rFonts w:hAnsi="宋体" w:cs="宋体"/>
          <w:b/>
        </w:rPr>
      </w:pPr>
    </w:p>
    <w:p>
      <w:pPr>
        <w:pStyle w:val="80"/>
        <w:rPr>
          <w:rFonts w:hAnsi="宋体" w:cs="宋体"/>
          <w:b/>
        </w:rPr>
      </w:pPr>
    </w:p>
    <w:p>
      <w:pPr>
        <w:pStyle w:val="80"/>
        <w:rPr>
          <w:rFonts w:hAnsi="宋体" w:cs="宋体"/>
          <w:b/>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杭州市西湖高级中学、杭州市西湖区政府采购中心：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你方组织的杭州市西湖高级中学保安服务采购项目【招标编号：</w:t>
      </w:r>
      <w:r>
        <w:rPr>
          <w:rFonts w:hint="eastAsia" w:ascii="宋体" w:hAnsi="宋体" w:cs="宋体"/>
          <w:sz w:val="24"/>
          <w:lang w:eastAsia="zh-CN"/>
        </w:rPr>
        <w:t>XHZFCG-2024-G-</w:t>
      </w:r>
      <w:r>
        <w:rPr>
          <w:rFonts w:hint="eastAsia" w:ascii="宋体" w:hAnsi="宋体" w:cs="宋体"/>
          <w:sz w:val="24"/>
          <w:lang w:val="en-US" w:eastAsia="zh-CN"/>
        </w:rPr>
        <w:t>17</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80"/>
        <w:rPr>
          <w:rFonts w:hAnsi="宋体" w:cs="宋体"/>
          <w:b/>
          <w:spacing w:val="6"/>
          <w:sz w:val="32"/>
          <w:szCs w:val="32"/>
        </w:rPr>
      </w:pPr>
    </w:p>
    <w:p>
      <w:pPr>
        <w:pStyle w:val="80"/>
        <w:rPr>
          <w:rFonts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附件5：</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杭州市西湖高级中学保安服务采购项目【招标编号：</w:t>
      </w:r>
      <w:r>
        <w:rPr>
          <w:rFonts w:hint="eastAsia" w:ascii="宋体" w:hAnsi="宋体" w:cs="宋体"/>
          <w:sz w:val="24"/>
          <w:lang w:eastAsia="zh-CN"/>
        </w:rPr>
        <w:t>XHZFCG-2024-G-</w:t>
      </w:r>
      <w:r>
        <w:rPr>
          <w:rFonts w:hint="eastAsia" w:ascii="宋体" w:hAnsi="宋体" w:cs="宋体"/>
          <w:sz w:val="24"/>
          <w:lang w:val="en-US" w:eastAsia="zh-CN"/>
        </w:rPr>
        <w:t>17</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（联合体成员2）</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hint="eastAsia"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杭州市西湖高级中学保安服务采购项目【招标编号：</w:t>
      </w:r>
      <w:r>
        <w:rPr>
          <w:rFonts w:hint="eastAsia" w:ascii="宋体" w:hAnsi="宋体" w:cs="宋体"/>
          <w:sz w:val="24"/>
          <w:lang w:eastAsia="zh-CN"/>
        </w:rPr>
        <w:t>XHZFCG-2024-G-</w:t>
      </w:r>
      <w:r>
        <w:rPr>
          <w:rFonts w:hint="eastAsia" w:ascii="宋体" w:hAnsi="宋体" w:cs="宋体"/>
          <w:sz w:val="24"/>
          <w:lang w:val="en-US" w:eastAsia="zh-CN"/>
        </w:rPr>
        <w:t>17</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hint="eastAsia"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6"/>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rPr>
          <w:rFonts w:ascii="宋体" w:hAnsi="宋体" w:cs="宋体"/>
        </w:rPr>
      </w:pPr>
      <w:r>
        <w:rPr>
          <w:rFonts w:hint="eastAsia" w:ascii="宋体" w:hAnsi="宋体" w:cs="宋体"/>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rPr>
        <w:t>1、</w:t>
      </w:r>
      <w:r>
        <w:rPr>
          <w:rFonts w:hint="eastAsia" w:ascii="宋体" w:hAnsi="宋体" w:cs="宋体"/>
          <w:kern w:val="0"/>
          <w:sz w:val="24"/>
          <w:u w:val="single"/>
        </w:rPr>
        <w:t>（分包供应商X,……）提供的服务全部由小微企业承接，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附件7：中小企业声明函</w:t>
      </w: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杭州市十三中教育集团（总校） </w:t>
      </w:r>
      <w:r>
        <w:rPr>
          <w:rFonts w:hint="eastAsia" w:ascii="宋体" w:hAnsi="宋体" w:cs="宋体"/>
          <w:sz w:val="24"/>
        </w:rPr>
        <w:t>的</w:t>
      </w:r>
      <w:r>
        <w:rPr>
          <w:rFonts w:hint="eastAsia" w:ascii="宋体" w:hAnsi="宋体" w:cs="宋体"/>
          <w:sz w:val="24"/>
          <w:u w:val="single"/>
        </w:rPr>
        <w:t xml:space="preserve"> 杭州市西湖高级中学保安服务采购项目 </w:t>
      </w:r>
      <w:r>
        <w:rPr>
          <w:rFonts w:hint="eastAsia" w:ascii="宋体" w:hAnsi="宋体" w:cs="宋体"/>
          <w:sz w:val="24"/>
        </w:rPr>
        <w:t>采购活动，服务全部由符合政策要求的中小企业承接。相关企业（含联合体中的中小企业、签订分包意向协议的中小企业）的具体情况如下：</w:t>
      </w:r>
    </w:p>
    <w:p>
      <w:pPr>
        <w:numPr>
          <w:ilvl w:val="0"/>
          <w:numId w:val="1"/>
        </w:numPr>
        <w:spacing w:line="360" w:lineRule="auto"/>
        <w:ind w:firstLine="480" w:firstLineChars="200"/>
        <w:jc w:val="left"/>
        <w:rPr>
          <w:rFonts w:ascii="宋体" w:hAnsi="宋体" w:cs="宋体"/>
          <w:sz w:val="24"/>
        </w:rPr>
      </w:pPr>
      <w:r>
        <w:rPr>
          <w:rFonts w:hint="eastAsia" w:ascii="宋体" w:hAnsi="宋体" w:cs="宋体"/>
          <w:kern w:val="0"/>
          <w:sz w:val="24"/>
          <w:u w:val="single"/>
        </w:rPr>
        <w:t>保安服务</w:t>
      </w:r>
      <w:r>
        <w:rPr>
          <w:rFonts w:hint="eastAsia" w:ascii="宋体" w:hAnsi="宋体" w:cs="宋体"/>
          <w:sz w:val="24"/>
        </w:rPr>
        <w:t>，属于</w:t>
      </w:r>
      <w:r>
        <w:rPr>
          <w:rFonts w:hint="eastAsia" w:ascii="宋体" w:hAnsi="宋体" w:cs="宋体"/>
          <w:sz w:val="24"/>
          <w:u w:val="single"/>
        </w:rPr>
        <w:t xml:space="preserve"> </w:t>
      </w:r>
      <w:r>
        <w:rPr>
          <w:rFonts w:hint="eastAsia" w:ascii="宋体" w:hAnsi="宋体" w:cs="宋体"/>
          <w:kern w:val="0"/>
          <w:sz w:val="24"/>
          <w:u w:val="single"/>
        </w:rPr>
        <w:t xml:space="preserve">租赁和商务服务 </w:t>
      </w:r>
      <w:r>
        <w:rPr>
          <w:rFonts w:hint="eastAsia" w:ascii="宋体" w:hAnsi="宋体" w:cs="宋体"/>
          <w:sz w:val="24"/>
          <w:u w:val="single"/>
        </w:rPr>
        <w:t>行业</w:t>
      </w:r>
      <w:r>
        <w:rPr>
          <w:rFonts w:hint="eastAsia" w:ascii="宋体" w:hAnsi="宋体" w:cs="宋体"/>
          <w:sz w:val="24"/>
        </w:rPr>
        <w:t xml:space="preserve"> ；承接企业为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kern w:val="0"/>
          <w:sz w:val="24"/>
          <w:u w:val="single"/>
        </w:rPr>
        <w:t xml:space="preserve">        </w:t>
      </w:r>
      <w:r>
        <w:rPr>
          <w:rFonts w:hint="eastAsia" w:ascii="宋体" w:hAnsi="宋体" w:cs="宋体"/>
          <w:sz w:val="24"/>
        </w:rPr>
        <w:t xml:space="preserve">，属于 </w:t>
      </w:r>
      <w:r>
        <w:rPr>
          <w:rFonts w:hint="eastAsia" w:ascii="宋体" w:hAnsi="宋体" w:cs="宋体"/>
          <w:kern w:val="0"/>
          <w:sz w:val="24"/>
          <w:u w:val="single"/>
        </w:rPr>
        <w:t xml:space="preserve">           </w:t>
      </w:r>
      <w:r>
        <w:rPr>
          <w:rFonts w:hint="eastAsia" w:ascii="宋体" w:hAnsi="宋体" w:cs="宋体"/>
          <w:sz w:val="24"/>
          <w:u w:val="single"/>
        </w:rPr>
        <w:t>行业</w:t>
      </w:r>
      <w:r>
        <w:rPr>
          <w:rFonts w:hint="eastAsia" w:ascii="宋体" w:hAnsi="宋体" w:cs="宋体"/>
          <w:sz w:val="24"/>
        </w:rPr>
        <w:t xml:space="preserve"> ；承接企业为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pStyle w:val="6"/>
        <w:ind w:left="0" w:firstLine="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w:t>
      </w:r>
    </w:p>
    <w:p>
      <w:pPr>
        <w:rPr>
          <w:rFonts w:ascii="宋体" w:hAnsi="宋体" w:cs="宋体"/>
        </w:rPr>
      </w:pP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Arial Unicode MS"/>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Arial Unicode MS"/>
    <w:panose1 w:val="00000000000000000000"/>
    <w:charset w:val="00"/>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515" w:name="_Toc36110187"/>
    <w:bookmarkStart w:id="516" w:name="_Toc164085800"/>
    <w:bookmarkStart w:id="517" w:name="_Toc131845147"/>
    <w:bookmarkStart w:id="518" w:name="_Toc91899912"/>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西湖区</w:t>
    </w:r>
    <w:r>
      <w:t>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w:t>
    </w:r>
    <w:r>
      <w:rPr>
        <w:rFonts w:hint="eastAsia"/>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西湖区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A329A"/>
    <w:multiLevelType w:val="singleLevel"/>
    <w:tmpl w:val="292A329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iOTNhNjNmN2RmYTczMWE0NmI4MmRjMGYyMzEyOW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3852"/>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4AC"/>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325"/>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F77"/>
    <w:rsid w:val="001E17E3"/>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7E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59A"/>
    <w:rsid w:val="00291CF1"/>
    <w:rsid w:val="00292AA1"/>
    <w:rsid w:val="00293A93"/>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CE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6F34"/>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735"/>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5C2"/>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D6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3B8"/>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FE"/>
    <w:rsid w:val="006C7E04"/>
    <w:rsid w:val="006C7F79"/>
    <w:rsid w:val="006D0004"/>
    <w:rsid w:val="006D015F"/>
    <w:rsid w:val="006D060E"/>
    <w:rsid w:val="006D0665"/>
    <w:rsid w:val="006D0681"/>
    <w:rsid w:val="006D0A80"/>
    <w:rsid w:val="006D0AE8"/>
    <w:rsid w:val="006D135C"/>
    <w:rsid w:val="006D2F72"/>
    <w:rsid w:val="006D43C1"/>
    <w:rsid w:val="006D5442"/>
    <w:rsid w:val="006D5A2F"/>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545"/>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380"/>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A77"/>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028"/>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4C"/>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3"/>
    <w:rsid w:val="00D86EC6"/>
    <w:rsid w:val="00D873A5"/>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4BE"/>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BAC"/>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CF"/>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A6D"/>
    <w:rsid w:val="00F31CF5"/>
    <w:rsid w:val="00F3265C"/>
    <w:rsid w:val="00F32ABF"/>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8DA"/>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3915"/>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55BFE"/>
    <w:rsid w:val="01EC2C57"/>
    <w:rsid w:val="0224354D"/>
    <w:rsid w:val="025F0711"/>
    <w:rsid w:val="026B2E25"/>
    <w:rsid w:val="027F76D9"/>
    <w:rsid w:val="02824D4D"/>
    <w:rsid w:val="02DC4B10"/>
    <w:rsid w:val="02DD76CE"/>
    <w:rsid w:val="02F36323"/>
    <w:rsid w:val="02F5619C"/>
    <w:rsid w:val="0326446A"/>
    <w:rsid w:val="032D5555"/>
    <w:rsid w:val="036634D2"/>
    <w:rsid w:val="03DD35E4"/>
    <w:rsid w:val="04076900"/>
    <w:rsid w:val="041A5A3B"/>
    <w:rsid w:val="04222EE7"/>
    <w:rsid w:val="042311BA"/>
    <w:rsid w:val="042B157A"/>
    <w:rsid w:val="045E0623"/>
    <w:rsid w:val="048F763B"/>
    <w:rsid w:val="049F330E"/>
    <w:rsid w:val="04AA775C"/>
    <w:rsid w:val="04AF1889"/>
    <w:rsid w:val="04F66F48"/>
    <w:rsid w:val="05251E14"/>
    <w:rsid w:val="053026F6"/>
    <w:rsid w:val="05A16594"/>
    <w:rsid w:val="05A7762D"/>
    <w:rsid w:val="060E5941"/>
    <w:rsid w:val="06110FAF"/>
    <w:rsid w:val="06145ED4"/>
    <w:rsid w:val="06493CA7"/>
    <w:rsid w:val="064D54C0"/>
    <w:rsid w:val="065A6178"/>
    <w:rsid w:val="066F1CF3"/>
    <w:rsid w:val="06930BB8"/>
    <w:rsid w:val="07245D42"/>
    <w:rsid w:val="07264C62"/>
    <w:rsid w:val="076C1A79"/>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D7AD0"/>
    <w:rsid w:val="0A5B7E63"/>
    <w:rsid w:val="0AA374A5"/>
    <w:rsid w:val="0AAB7649"/>
    <w:rsid w:val="0ABC5606"/>
    <w:rsid w:val="0B30404E"/>
    <w:rsid w:val="0B4C6C14"/>
    <w:rsid w:val="0B547599"/>
    <w:rsid w:val="0B631A88"/>
    <w:rsid w:val="0B683D45"/>
    <w:rsid w:val="0B7F3F11"/>
    <w:rsid w:val="0B884417"/>
    <w:rsid w:val="0B945DBC"/>
    <w:rsid w:val="0BCB0FB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917F2C"/>
    <w:rsid w:val="11C6522A"/>
    <w:rsid w:val="11E104CC"/>
    <w:rsid w:val="11E20309"/>
    <w:rsid w:val="12255233"/>
    <w:rsid w:val="12530213"/>
    <w:rsid w:val="12736F32"/>
    <w:rsid w:val="127723A9"/>
    <w:rsid w:val="12862074"/>
    <w:rsid w:val="12883966"/>
    <w:rsid w:val="129E45B4"/>
    <w:rsid w:val="12D81596"/>
    <w:rsid w:val="13072A44"/>
    <w:rsid w:val="135F4BE2"/>
    <w:rsid w:val="139B1A0A"/>
    <w:rsid w:val="139D25C7"/>
    <w:rsid w:val="13BF3CE4"/>
    <w:rsid w:val="141008D8"/>
    <w:rsid w:val="14125FE6"/>
    <w:rsid w:val="14206C0D"/>
    <w:rsid w:val="146D271E"/>
    <w:rsid w:val="14982588"/>
    <w:rsid w:val="149A5AD9"/>
    <w:rsid w:val="14A7619D"/>
    <w:rsid w:val="150536C3"/>
    <w:rsid w:val="150C1963"/>
    <w:rsid w:val="151447A0"/>
    <w:rsid w:val="154A6454"/>
    <w:rsid w:val="15762120"/>
    <w:rsid w:val="16A8729C"/>
    <w:rsid w:val="16B33777"/>
    <w:rsid w:val="16BC70A7"/>
    <w:rsid w:val="16C6339E"/>
    <w:rsid w:val="17195F78"/>
    <w:rsid w:val="172F2D79"/>
    <w:rsid w:val="174A00C6"/>
    <w:rsid w:val="17557BEF"/>
    <w:rsid w:val="17940E95"/>
    <w:rsid w:val="17D349C1"/>
    <w:rsid w:val="1830729E"/>
    <w:rsid w:val="18606D05"/>
    <w:rsid w:val="1870062C"/>
    <w:rsid w:val="18817102"/>
    <w:rsid w:val="18830A15"/>
    <w:rsid w:val="18852B28"/>
    <w:rsid w:val="188B5321"/>
    <w:rsid w:val="19932372"/>
    <w:rsid w:val="19A20DD5"/>
    <w:rsid w:val="19AE03F1"/>
    <w:rsid w:val="1A071A03"/>
    <w:rsid w:val="1A1F16AE"/>
    <w:rsid w:val="1A3B5C77"/>
    <w:rsid w:val="1A984BAD"/>
    <w:rsid w:val="1AB8220E"/>
    <w:rsid w:val="1ACF0BBD"/>
    <w:rsid w:val="1AE4166C"/>
    <w:rsid w:val="1AF06CFB"/>
    <w:rsid w:val="1AF11B8D"/>
    <w:rsid w:val="1B11359C"/>
    <w:rsid w:val="1B2A271F"/>
    <w:rsid w:val="1B530544"/>
    <w:rsid w:val="1B713184"/>
    <w:rsid w:val="1BA209CF"/>
    <w:rsid w:val="1BB4777D"/>
    <w:rsid w:val="1BD75AB8"/>
    <w:rsid w:val="1C0459C2"/>
    <w:rsid w:val="1C1B3B4A"/>
    <w:rsid w:val="1C2245B4"/>
    <w:rsid w:val="1C88086E"/>
    <w:rsid w:val="1D126EB8"/>
    <w:rsid w:val="1D266CE1"/>
    <w:rsid w:val="1D3963AF"/>
    <w:rsid w:val="1D6A673C"/>
    <w:rsid w:val="1D9247AE"/>
    <w:rsid w:val="1DB567EC"/>
    <w:rsid w:val="1DF51A98"/>
    <w:rsid w:val="1E252B7C"/>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E868A9"/>
    <w:rsid w:val="20034907"/>
    <w:rsid w:val="20173E4B"/>
    <w:rsid w:val="202B1A36"/>
    <w:rsid w:val="204E48BC"/>
    <w:rsid w:val="208921B3"/>
    <w:rsid w:val="20973DEB"/>
    <w:rsid w:val="20AC5858"/>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131E7D"/>
    <w:rsid w:val="241F5673"/>
    <w:rsid w:val="245375B0"/>
    <w:rsid w:val="24642C0A"/>
    <w:rsid w:val="248652B4"/>
    <w:rsid w:val="24B22173"/>
    <w:rsid w:val="24B95AD9"/>
    <w:rsid w:val="24BE24DA"/>
    <w:rsid w:val="24CF5825"/>
    <w:rsid w:val="24D663E6"/>
    <w:rsid w:val="24D77F2B"/>
    <w:rsid w:val="24E06D38"/>
    <w:rsid w:val="258B00E2"/>
    <w:rsid w:val="25A917A6"/>
    <w:rsid w:val="25BE27CC"/>
    <w:rsid w:val="25F74A5C"/>
    <w:rsid w:val="2628662C"/>
    <w:rsid w:val="262D45DE"/>
    <w:rsid w:val="26871DC8"/>
    <w:rsid w:val="26A53EF9"/>
    <w:rsid w:val="26A94201"/>
    <w:rsid w:val="26AC274F"/>
    <w:rsid w:val="26C3139C"/>
    <w:rsid w:val="27044A29"/>
    <w:rsid w:val="271D34C8"/>
    <w:rsid w:val="27413E1F"/>
    <w:rsid w:val="276142BF"/>
    <w:rsid w:val="27783712"/>
    <w:rsid w:val="27907362"/>
    <w:rsid w:val="27F90FCD"/>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EA1308"/>
    <w:rsid w:val="2B437463"/>
    <w:rsid w:val="2B7807EE"/>
    <w:rsid w:val="2BA50BF7"/>
    <w:rsid w:val="2BBF00EC"/>
    <w:rsid w:val="2BC37CFD"/>
    <w:rsid w:val="2BD5237F"/>
    <w:rsid w:val="2BE536CE"/>
    <w:rsid w:val="2BE758D9"/>
    <w:rsid w:val="2C09049E"/>
    <w:rsid w:val="2C0A653C"/>
    <w:rsid w:val="2C191F85"/>
    <w:rsid w:val="2C1F33CD"/>
    <w:rsid w:val="2CE82D6F"/>
    <w:rsid w:val="2D343236"/>
    <w:rsid w:val="2DD15014"/>
    <w:rsid w:val="2DF72DE4"/>
    <w:rsid w:val="2E0220AF"/>
    <w:rsid w:val="2E4B082A"/>
    <w:rsid w:val="2E5D4E86"/>
    <w:rsid w:val="2E5D790B"/>
    <w:rsid w:val="2E9172AF"/>
    <w:rsid w:val="2E9A3C18"/>
    <w:rsid w:val="2EBB0FEE"/>
    <w:rsid w:val="2EC63002"/>
    <w:rsid w:val="2F0A6B38"/>
    <w:rsid w:val="2F946CCB"/>
    <w:rsid w:val="2FB37440"/>
    <w:rsid w:val="2FD25781"/>
    <w:rsid w:val="2FDC745C"/>
    <w:rsid w:val="2FFD7934"/>
    <w:rsid w:val="30244583"/>
    <w:rsid w:val="3033585A"/>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BD0E2C"/>
    <w:rsid w:val="33CA1BD7"/>
    <w:rsid w:val="33E571B5"/>
    <w:rsid w:val="33EB55CD"/>
    <w:rsid w:val="33EC4C02"/>
    <w:rsid w:val="340D2360"/>
    <w:rsid w:val="3410665D"/>
    <w:rsid w:val="34120903"/>
    <w:rsid w:val="34211214"/>
    <w:rsid w:val="342E63AB"/>
    <w:rsid w:val="34950E68"/>
    <w:rsid w:val="34986E94"/>
    <w:rsid w:val="34AF62C9"/>
    <w:rsid w:val="34CB4388"/>
    <w:rsid w:val="34FA6E12"/>
    <w:rsid w:val="350E6FCA"/>
    <w:rsid w:val="354D7158"/>
    <w:rsid w:val="358D5588"/>
    <w:rsid w:val="363A3B40"/>
    <w:rsid w:val="365302AE"/>
    <w:rsid w:val="36607A0A"/>
    <w:rsid w:val="366E227C"/>
    <w:rsid w:val="366F2E0D"/>
    <w:rsid w:val="367B6A5C"/>
    <w:rsid w:val="36A74ADA"/>
    <w:rsid w:val="36AD60D5"/>
    <w:rsid w:val="36B224F9"/>
    <w:rsid w:val="36EC0CC9"/>
    <w:rsid w:val="373F410B"/>
    <w:rsid w:val="379225B7"/>
    <w:rsid w:val="37EE7094"/>
    <w:rsid w:val="38132832"/>
    <w:rsid w:val="38296C89"/>
    <w:rsid w:val="383002EB"/>
    <w:rsid w:val="38586797"/>
    <w:rsid w:val="38BC0149"/>
    <w:rsid w:val="38D87D1C"/>
    <w:rsid w:val="390B50AB"/>
    <w:rsid w:val="39636459"/>
    <w:rsid w:val="396B7F6C"/>
    <w:rsid w:val="39B417A9"/>
    <w:rsid w:val="39FC5695"/>
    <w:rsid w:val="3A006D8E"/>
    <w:rsid w:val="3A3651E5"/>
    <w:rsid w:val="3A744481"/>
    <w:rsid w:val="3A8C7BEF"/>
    <w:rsid w:val="3A906246"/>
    <w:rsid w:val="3B2349B7"/>
    <w:rsid w:val="3B616CFF"/>
    <w:rsid w:val="3B6259F6"/>
    <w:rsid w:val="3B8C414B"/>
    <w:rsid w:val="3B976654"/>
    <w:rsid w:val="3BC01EFC"/>
    <w:rsid w:val="3BCA786A"/>
    <w:rsid w:val="3BCF0784"/>
    <w:rsid w:val="3BD31E2F"/>
    <w:rsid w:val="3BF15831"/>
    <w:rsid w:val="3C105946"/>
    <w:rsid w:val="3C471448"/>
    <w:rsid w:val="3C5F759A"/>
    <w:rsid w:val="3C6C525A"/>
    <w:rsid w:val="3C8A7746"/>
    <w:rsid w:val="3CAF5805"/>
    <w:rsid w:val="3CCE23CB"/>
    <w:rsid w:val="3CD17D17"/>
    <w:rsid w:val="3D3C7F39"/>
    <w:rsid w:val="3D440F09"/>
    <w:rsid w:val="3D4504A0"/>
    <w:rsid w:val="3D8734BB"/>
    <w:rsid w:val="3D9A11D4"/>
    <w:rsid w:val="3DA16D89"/>
    <w:rsid w:val="3DA364BE"/>
    <w:rsid w:val="3DE041CB"/>
    <w:rsid w:val="3E0D48F6"/>
    <w:rsid w:val="3E1868B4"/>
    <w:rsid w:val="3E21017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15913"/>
    <w:rsid w:val="40FF545D"/>
    <w:rsid w:val="410067C8"/>
    <w:rsid w:val="412135BE"/>
    <w:rsid w:val="418F0D2A"/>
    <w:rsid w:val="41D01505"/>
    <w:rsid w:val="42474939"/>
    <w:rsid w:val="424C3C57"/>
    <w:rsid w:val="42613FF3"/>
    <w:rsid w:val="42660D96"/>
    <w:rsid w:val="428667D2"/>
    <w:rsid w:val="42CD1CE0"/>
    <w:rsid w:val="42E1381E"/>
    <w:rsid w:val="42E55060"/>
    <w:rsid w:val="42ED6459"/>
    <w:rsid w:val="42FE58DD"/>
    <w:rsid w:val="43174B3D"/>
    <w:rsid w:val="434B790E"/>
    <w:rsid w:val="4360274F"/>
    <w:rsid w:val="43977AB6"/>
    <w:rsid w:val="43A3342B"/>
    <w:rsid w:val="43C77C27"/>
    <w:rsid w:val="43DE09EE"/>
    <w:rsid w:val="44002FAD"/>
    <w:rsid w:val="44814F07"/>
    <w:rsid w:val="449101DD"/>
    <w:rsid w:val="44DE1391"/>
    <w:rsid w:val="451B225C"/>
    <w:rsid w:val="452410C9"/>
    <w:rsid w:val="45317DFB"/>
    <w:rsid w:val="45603A9A"/>
    <w:rsid w:val="456C13DC"/>
    <w:rsid w:val="456D3CE4"/>
    <w:rsid w:val="4579042C"/>
    <w:rsid w:val="457F0571"/>
    <w:rsid w:val="45851176"/>
    <w:rsid w:val="45C63B94"/>
    <w:rsid w:val="460E7DA5"/>
    <w:rsid w:val="46422483"/>
    <w:rsid w:val="4659254A"/>
    <w:rsid w:val="465B0637"/>
    <w:rsid w:val="465E3F0D"/>
    <w:rsid w:val="466A16E6"/>
    <w:rsid w:val="46893F2B"/>
    <w:rsid w:val="46C4686E"/>
    <w:rsid w:val="47033856"/>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855B9D"/>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5E275F"/>
    <w:rsid w:val="4F911C54"/>
    <w:rsid w:val="4FC04044"/>
    <w:rsid w:val="4FE625E0"/>
    <w:rsid w:val="5021480F"/>
    <w:rsid w:val="5047323B"/>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2FF4253"/>
    <w:rsid w:val="53097272"/>
    <w:rsid w:val="53544462"/>
    <w:rsid w:val="538B6520"/>
    <w:rsid w:val="5397158E"/>
    <w:rsid w:val="54013861"/>
    <w:rsid w:val="54487265"/>
    <w:rsid w:val="544D6070"/>
    <w:rsid w:val="54605E1E"/>
    <w:rsid w:val="54653AAC"/>
    <w:rsid w:val="54B3506A"/>
    <w:rsid w:val="54CA0D16"/>
    <w:rsid w:val="54DD4057"/>
    <w:rsid w:val="54E7490F"/>
    <w:rsid w:val="550764A4"/>
    <w:rsid w:val="550B2BF6"/>
    <w:rsid w:val="55214EB5"/>
    <w:rsid w:val="552A00CC"/>
    <w:rsid w:val="55364EFD"/>
    <w:rsid w:val="55370920"/>
    <w:rsid w:val="555D4828"/>
    <w:rsid w:val="557A4C8B"/>
    <w:rsid w:val="558931E1"/>
    <w:rsid w:val="55923347"/>
    <w:rsid w:val="55925180"/>
    <w:rsid w:val="55983B1B"/>
    <w:rsid w:val="55A8376B"/>
    <w:rsid w:val="55DC29B6"/>
    <w:rsid w:val="55DD4241"/>
    <w:rsid w:val="56663A0A"/>
    <w:rsid w:val="566B6D1E"/>
    <w:rsid w:val="569727B2"/>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C34DD"/>
    <w:rsid w:val="58917D2F"/>
    <w:rsid w:val="5894085C"/>
    <w:rsid w:val="58AE4F0C"/>
    <w:rsid w:val="58B85899"/>
    <w:rsid w:val="58E363A9"/>
    <w:rsid w:val="5956204A"/>
    <w:rsid w:val="595E1678"/>
    <w:rsid w:val="596D5BD4"/>
    <w:rsid w:val="597E3DD8"/>
    <w:rsid w:val="597F795F"/>
    <w:rsid w:val="59F80043"/>
    <w:rsid w:val="5A09252F"/>
    <w:rsid w:val="5A0B2778"/>
    <w:rsid w:val="5A2A7C7B"/>
    <w:rsid w:val="5A3E2560"/>
    <w:rsid w:val="5A5D3B6E"/>
    <w:rsid w:val="5A637A76"/>
    <w:rsid w:val="5A6D33BA"/>
    <w:rsid w:val="5A792B1F"/>
    <w:rsid w:val="5A874767"/>
    <w:rsid w:val="5AA85BE2"/>
    <w:rsid w:val="5AAD6F28"/>
    <w:rsid w:val="5AD63A24"/>
    <w:rsid w:val="5B263693"/>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3F596E"/>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41C96"/>
    <w:rsid w:val="619F7F92"/>
    <w:rsid w:val="61F94C26"/>
    <w:rsid w:val="62000E56"/>
    <w:rsid w:val="624F3E49"/>
    <w:rsid w:val="62632286"/>
    <w:rsid w:val="626C0AC3"/>
    <w:rsid w:val="62885958"/>
    <w:rsid w:val="62A44442"/>
    <w:rsid w:val="62B40FE2"/>
    <w:rsid w:val="62F40B65"/>
    <w:rsid w:val="62FC2CFE"/>
    <w:rsid w:val="63024505"/>
    <w:rsid w:val="630B44AB"/>
    <w:rsid w:val="632C3A03"/>
    <w:rsid w:val="635600A5"/>
    <w:rsid w:val="635B1DB5"/>
    <w:rsid w:val="63711FED"/>
    <w:rsid w:val="63880DDC"/>
    <w:rsid w:val="638D750D"/>
    <w:rsid w:val="63AC6CC0"/>
    <w:rsid w:val="64055776"/>
    <w:rsid w:val="64240056"/>
    <w:rsid w:val="643E143A"/>
    <w:rsid w:val="64491666"/>
    <w:rsid w:val="648B6EEF"/>
    <w:rsid w:val="64C158BF"/>
    <w:rsid w:val="64CE2EAA"/>
    <w:rsid w:val="65095250"/>
    <w:rsid w:val="653C3090"/>
    <w:rsid w:val="65854376"/>
    <w:rsid w:val="658767BE"/>
    <w:rsid w:val="65892531"/>
    <w:rsid w:val="65CE78B0"/>
    <w:rsid w:val="661563F5"/>
    <w:rsid w:val="66195831"/>
    <w:rsid w:val="662E75B1"/>
    <w:rsid w:val="66342C2E"/>
    <w:rsid w:val="663E784C"/>
    <w:rsid w:val="66830316"/>
    <w:rsid w:val="668B6A45"/>
    <w:rsid w:val="6728455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9C3127"/>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5C1652"/>
    <w:rsid w:val="74706664"/>
    <w:rsid w:val="747F3682"/>
    <w:rsid w:val="7485558E"/>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17655B"/>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4C4E8C"/>
    <w:rsid w:val="7D5429C0"/>
    <w:rsid w:val="7D6E6D43"/>
    <w:rsid w:val="7DB57A34"/>
    <w:rsid w:val="7DE60973"/>
    <w:rsid w:val="7DEF0916"/>
    <w:rsid w:val="7E1E5218"/>
    <w:rsid w:val="7E9A4E1F"/>
    <w:rsid w:val="7EA7723A"/>
    <w:rsid w:val="7EBB533B"/>
    <w:rsid w:val="7EF56FBB"/>
    <w:rsid w:val="7F0768EB"/>
    <w:rsid w:val="7F143BEC"/>
    <w:rsid w:val="7F374687"/>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20"/>
    <w:qFormat/>
    <w:uiPriority w:val="0"/>
    <w:pPr>
      <w:ind w:firstLine="420"/>
    </w:pPr>
    <w:rPr>
      <w:rFonts w:hAnsi="Calibri" w:cs="Times New Roman"/>
      <w:snapToGrid/>
      <w:szCs w:val="20"/>
    </w:rPr>
  </w:style>
  <w:style w:type="paragraph" w:styleId="3">
    <w:name w:val="Body Text"/>
    <w:basedOn w:val="1"/>
    <w:link w:val="429"/>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28"/>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1"/>
    <w:qFormat/>
    <w:uiPriority w:val="0"/>
    <w:pPr>
      <w:shd w:val="clear" w:color="auto" w:fill="000080"/>
    </w:pPr>
  </w:style>
  <w:style w:type="paragraph" w:styleId="22">
    <w:name w:val="annotation text"/>
    <w:basedOn w:val="1"/>
    <w:link w:val="343"/>
    <w:qFormat/>
    <w:uiPriority w:val="99"/>
    <w:pPr>
      <w:jc w:val="left"/>
    </w:pPr>
  </w:style>
  <w:style w:type="paragraph" w:styleId="23">
    <w:name w:val="Salutation"/>
    <w:basedOn w:val="1"/>
    <w:next w:val="1"/>
    <w:link w:val="297"/>
    <w:qFormat/>
    <w:uiPriority w:val="0"/>
    <w:rPr>
      <w:rFonts w:ascii="仿宋_GB2312" w:eastAsia="仿宋_GB2312"/>
      <w:sz w:val="28"/>
      <w:szCs w:val="20"/>
    </w:rPr>
  </w:style>
  <w:style w:type="paragraph" w:styleId="24">
    <w:name w:val="Body Text 3"/>
    <w:basedOn w:val="1"/>
    <w:link w:val="329"/>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264"/>
    <w:qFormat/>
    <w:uiPriority w:val="0"/>
    <w:pPr>
      <w:spacing w:line="480" w:lineRule="exact"/>
      <w:ind w:firstLine="480" w:firstLineChars="200"/>
    </w:pPr>
    <w:rPr>
      <w:rFonts w:ascii="宋体" w:hAnsi="宋体"/>
      <w:sz w:val="24"/>
    </w:rPr>
  </w:style>
  <w:style w:type="paragraph" w:styleId="27">
    <w:name w:val="Body Text First Indent 2"/>
    <w:basedOn w:val="26"/>
    <w:link w:val="120"/>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4"/>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0"/>
    <w:qFormat/>
    <w:uiPriority w:val="0"/>
    <w:pPr>
      <w:ind w:left="100" w:leftChars="2500"/>
    </w:pPr>
    <w:rPr>
      <w:rFonts w:ascii="宋体"/>
      <w:sz w:val="24"/>
      <w:szCs w:val="21"/>
      <w:lang w:val="zh-CN"/>
    </w:rPr>
  </w:style>
  <w:style w:type="paragraph" w:styleId="39">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0">
    <w:name w:val="endnote text"/>
    <w:basedOn w:val="1"/>
    <w:link w:val="931"/>
    <w:qFormat/>
    <w:uiPriority w:val="0"/>
    <w:rPr>
      <w:lang w:val="zh-CN"/>
    </w:rPr>
  </w:style>
  <w:style w:type="paragraph" w:styleId="41">
    <w:name w:val="Balloon Text"/>
    <w:basedOn w:val="1"/>
    <w:link w:val="187"/>
    <w:qFormat/>
    <w:uiPriority w:val="0"/>
    <w:rPr>
      <w:sz w:val="18"/>
      <w:szCs w:val="18"/>
    </w:rPr>
  </w:style>
  <w:style w:type="paragraph" w:styleId="42">
    <w:name w:val="footer"/>
    <w:basedOn w:val="1"/>
    <w:link w:val="382"/>
    <w:qFormat/>
    <w:uiPriority w:val="99"/>
    <w:pPr>
      <w:tabs>
        <w:tab w:val="center" w:pos="4153"/>
        <w:tab w:val="right" w:pos="8306"/>
      </w:tabs>
      <w:snapToGrid w:val="0"/>
      <w:jc w:val="left"/>
    </w:pPr>
    <w:rPr>
      <w:sz w:val="18"/>
      <w:szCs w:val="18"/>
    </w:rPr>
  </w:style>
  <w:style w:type="paragraph" w:styleId="43">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8"/>
    <w:link w:val="309"/>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5"/>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Normal]"/>
    <w:qFormat/>
    <w:uiPriority w:val="0"/>
    <w:rPr>
      <w:rFonts w:ascii="宋体" w:hAnsi="宋体" w:eastAsia="宋体" w:cs="Times New Roman"/>
      <w:sz w:val="24"/>
      <w:szCs w:val="22"/>
      <w:lang w:val="zh-CN" w:eastAsia="zh-CN" w:bidi="ar-SA"/>
    </w:rPr>
  </w:style>
  <w:style w:type="paragraph" w:customStyle="1" w:styleId="80">
    <w:name w:val="正文文本首行缩进1"/>
    <w:basedOn w:val="3"/>
    <w:qFormat/>
    <w:uiPriority w:val="0"/>
    <w:pPr>
      <w:ind w:firstLine="420"/>
    </w:pPr>
    <w:rPr>
      <w:rFonts w:hAnsi="Calibri" w:cs="Times New Roman"/>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字符"/>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27"/>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字符"/>
    <w:link w:val="49"/>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字符"/>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0"/>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6"/>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8"/>
    <w:qFormat/>
    <w:uiPriority w:val="0"/>
    <w:rPr>
      <w:rFonts w:ascii="宋体"/>
      <w:kern w:val="2"/>
      <w:sz w:val="24"/>
      <w:szCs w:val="21"/>
      <w:lang w:val="zh-CN"/>
    </w:rPr>
  </w:style>
  <w:style w:type="character" w:customStyle="1" w:styleId="181">
    <w:name w:val="标题 9 字符"/>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41"/>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18"/>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21"/>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2"/>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19"/>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2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5"/>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3"/>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8"/>
    <w:qFormat/>
    <w:uiPriority w:val="0"/>
    <w:rPr>
      <w:rFonts w:ascii="黑体" w:hAnsi="Courier New" w:eastAsia="黑体"/>
    </w:rPr>
  </w:style>
  <w:style w:type="character" w:customStyle="1" w:styleId="301">
    <w:name w:val="正文文本 2 字符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11"/>
    <w:qFormat/>
    <w:uiPriority w:val="0"/>
    <w:rPr>
      <w:b/>
      <w:bCs/>
      <w:kern w:val="2"/>
      <w:sz w:val="24"/>
      <w:szCs w:val="24"/>
    </w:rPr>
  </w:style>
  <w:style w:type="character" w:customStyle="1" w:styleId="307">
    <w:name w:val="正文文本缩进 2 字符"/>
    <w:link w:val="39"/>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2"/>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文本首行缩进 字符"/>
    <w:link w:val="2"/>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4"/>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2"/>
    <w:qFormat/>
    <w:uiPriority w:val="99"/>
    <w:rPr>
      <w:kern w:val="2"/>
      <w:sz w:val="21"/>
      <w:szCs w:val="24"/>
    </w:rPr>
  </w:style>
  <w:style w:type="character" w:customStyle="1" w:styleId="344">
    <w:name w:val="签名 字符"/>
    <w:link w:val="44"/>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2"/>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3"/>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8"/>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6"/>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7"/>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7"/>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5"/>
    <w:qFormat/>
    <w:uiPriority w:val="0"/>
    <w:pPr>
      <w:tabs>
        <w:tab w:val="left" w:pos="840"/>
      </w:tabs>
      <w:adjustRightInd/>
      <w:ind w:left="840" w:hanging="420"/>
    </w:pPr>
  </w:style>
  <w:style w:type="paragraph" w:customStyle="1" w:styleId="625">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9"/>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7"/>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1"/>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qFormat/>
    <w:uiPriority w:val="0"/>
    <w:pPr>
      <w:tabs>
        <w:tab w:val="left" w:pos="1080"/>
      </w:tabs>
      <w:ind w:left="1080" w:hanging="1080"/>
    </w:pPr>
  </w:style>
  <w:style w:type="paragraph" w:customStyle="1" w:styleId="896">
    <w:name w:val="数字标题1"/>
    <w:basedOn w:val="5"/>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40"/>
    <w:qFormat/>
    <w:uiPriority w:val="0"/>
    <w:rPr>
      <w:kern w:val="2"/>
      <w:sz w:val="21"/>
      <w:szCs w:val="24"/>
      <w:lang w:val="zh-CN"/>
    </w:rPr>
  </w:style>
  <w:style w:type="character" w:customStyle="1" w:styleId="932">
    <w:name w:val="无间隔 字符"/>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未处理的提及2"/>
    <w:basedOn w:val="69"/>
    <w:semiHidden/>
    <w:unhideWhenUsed/>
    <w:uiPriority w:val="99"/>
    <w:rPr>
      <w:color w:val="605E5C"/>
      <w:shd w:val="clear" w:color="auto" w:fill="E1DFDD"/>
    </w:rPr>
  </w:style>
  <w:style w:type="paragraph" w:customStyle="1" w:styleId="965">
    <w:name w:val="样式 标题 1 + 四号 加粗"/>
    <w:basedOn w:val="5"/>
    <w:qFormat/>
    <w:uiPriority w:val="0"/>
    <w:pPr>
      <w:tabs>
        <w:tab w:val="clear" w:pos="432"/>
      </w:tabs>
      <w:adjustRightInd/>
      <w:ind w:left="0" w:firstLine="0"/>
    </w:pPr>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CAA66-CAB7-478F-A9A2-724D7B7DBAE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81</Pages>
  <Words>7434</Words>
  <Characters>42379</Characters>
  <Lines>353</Lines>
  <Paragraphs>99</Paragraphs>
  <TotalTime>52</TotalTime>
  <ScaleCrop>false</ScaleCrop>
  <LinksUpToDate>false</LinksUpToDate>
  <CharactersWithSpaces>49714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2024-03-07T06:19:00Z</dcterms:created>
  <dc:creator>玥</dc:creator>
  <cp:lastModifiedBy>邵一成</cp:lastModifiedBy>
  <cp:lastPrinted>2023-09-13T07:39:00Z</cp:lastPrinted>
  <dcterms:modified xsi:type="dcterms:W3CDTF">2024-04-15T06:23:56Z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EF24308B86C449279DA12414DDA3BA5C_13</vt:lpwstr>
  </property>
</Properties>
</file>