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0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关于杭州市西湖区2023年财政预算执行情况和2024年财政预算草案的报告</w:t>
      </w:r>
    </w:p>
    <w:p>
      <w:pPr>
        <w:pStyle w:val="2"/>
        <w:spacing w:before="0" w:after="0" w:line="560" w:lineRule="exact"/>
        <w:jc w:val="center"/>
        <w:rPr>
          <w:rFonts w:eastAsia="楷体"/>
          <w:b w:val="0"/>
          <w:bCs w:val="0"/>
          <w:color w:val="FF0000"/>
          <w:sz w:val="32"/>
          <w:szCs w:val="32"/>
        </w:rPr>
      </w:pPr>
    </w:p>
    <w:p>
      <w:pPr>
        <w:pStyle w:val="2"/>
        <w:spacing w:before="0" w:after="0" w:line="560" w:lineRule="exact"/>
        <w:jc w:val="center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（2024年2月</w:t>
      </w:r>
      <w:r>
        <w:rPr>
          <w:rFonts w:hint="eastAsia" w:eastAsia="楷体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eastAsia="楷体_GB2312"/>
          <w:b w:val="0"/>
          <w:bCs w:val="0"/>
          <w:sz w:val="32"/>
          <w:szCs w:val="32"/>
        </w:rPr>
        <w:t>日在杭州市西湖区</w:t>
      </w:r>
    </w:p>
    <w:p>
      <w:pPr>
        <w:pStyle w:val="2"/>
        <w:spacing w:before="0" w:after="0" w:line="560" w:lineRule="exact"/>
        <w:jc w:val="center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第</w:t>
      </w:r>
      <w:r>
        <w:rPr>
          <w:rFonts w:hint="eastAsia" w:eastAsia="楷体_GB2312"/>
          <w:b w:val="0"/>
          <w:bCs w:val="0"/>
          <w:sz w:val="32"/>
          <w:szCs w:val="32"/>
        </w:rPr>
        <w:t>十六</w:t>
      </w:r>
      <w:r>
        <w:rPr>
          <w:rFonts w:eastAsia="楷体_GB2312"/>
          <w:b w:val="0"/>
          <w:bCs w:val="0"/>
          <w:sz w:val="32"/>
          <w:szCs w:val="32"/>
        </w:rPr>
        <w:t>届人民代表大会第</w:t>
      </w:r>
      <w:r>
        <w:rPr>
          <w:rFonts w:hint="eastAsia" w:eastAsia="楷体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eastAsia="楷体_GB2312"/>
          <w:b w:val="0"/>
          <w:bCs w:val="0"/>
          <w:sz w:val="32"/>
          <w:szCs w:val="32"/>
        </w:rPr>
        <w:t>次会议上）</w:t>
      </w:r>
    </w:p>
    <w:p>
      <w:pPr>
        <w:pStyle w:val="2"/>
        <w:spacing w:before="0" w:after="0" w:line="560" w:lineRule="exact"/>
        <w:jc w:val="center"/>
        <w:rPr>
          <w:rFonts w:eastAsia="楷体"/>
          <w:sz w:val="32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ascii="楷体_GB2312" w:eastAsia="楷体_GB2312"/>
          <w:kern w:val="44"/>
          <w:sz w:val="32"/>
          <w:szCs w:val="32"/>
        </w:rPr>
      </w:pPr>
      <w:r>
        <w:rPr>
          <w:rFonts w:hint="eastAsia" w:ascii="楷体_GB2312" w:eastAsia="楷体_GB2312"/>
          <w:kern w:val="44"/>
          <w:sz w:val="32"/>
          <w:szCs w:val="32"/>
        </w:rPr>
        <w:t>杭州市西湖区财政局</w:t>
      </w:r>
    </w:p>
    <w:p>
      <w:pPr>
        <w:pStyle w:val="2"/>
        <w:spacing w:before="0" w:after="0" w:line="560" w:lineRule="exact"/>
        <w:jc w:val="center"/>
        <w:rPr>
          <w:sz w:val="32"/>
          <w:szCs w:val="32"/>
        </w:rPr>
      </w:pPr>
    </w:p>
    <w:p>
      <w:pPr>
        <w:spacing w:after="0" w:line="57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各位代表</w:t>
      </w:r>
      <w:r>
        <w:rPr>
          <w:sz w:val="32"/>
          <w:szCs w:val="32"/>
        </w:rPr>
        <w:t>：</w:t>
      </w:r>
    </w:p>
    <w:p>
      <w:pPr>
        <w:autoSpaceDN w:val="0"/>
        <w:spacing w:after="0" w:line="570" w:lineRule="exact"/>
        <w:rPr>
          <w:sz w:val="32"/>
          <w:szCs w:val="32"/>
        </w:rPr>
      </w:pPr>
      <w:r>
        <w:rPr>
          <w:sz w:val="32"/>
          <w:szCs w:val="32"/>
        </w:rPr>
        <w:t xml:space="preserve">    受区人民政府委托，</w:t>
      </w:r>
      <w:r>
        <w:rPr>
          <w:rFonts w:hint="eastAsia"/>
          <w:sz w:val="32"/>
          <w:szCs w:val="32"/>
        </w:rPr>
        <w:t>向大会书面报告2023年财政预算执行情况和202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年财政预算草案，提请各位代表审议，并请区政协各位委员和其他列席会议的同志提出意见</w:t>
      </w:r>
      <w:r>
        <w:rPr>
          <w:sz w:val="32"/>
          <w:szCs w:val="32"/>
        </w:rPr>
        <w:t>。</w:t>
      </w:r>
    </w:p>
    <w:p>
      <w:pPr>
        <w:autoSpaceDN w:val="0"/>
        <w:spacing w:after="0" w:line="570" w:lineRule="exact"/>
        <w:ind w:firstLine="630"/>
        <w:jc w:val="left"/>
        <w:rPr>
          <w:sz w:val="32"/>
          <w:szCs w:val="32"/>
        </w:rPr>
      </w:pPr>
      <w:r>
        <w:rPr>
          <w:rFonts w:eastAsia="黑体"/>
          <w:sz w:val="32"/>
          <w:szCs w:val="32"/>
        </w:rPr>
        <w:t>一、2023年预算执行情况</w:t>
      </w:r>
    </w:p>
    <w:p>
      <w:pPr>
        <w:autoSpaceDN w:val="0"/>
        <w:spacing w:after="0" w:line="570" w:lineRule="exact"/>
        <w:ind w:firstLine="627" w:firstLineChars="196"/>
        <w:contextualSpacing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（一）</w:t>
      </w:r>
      <w:bookmarkStart w:id="0" w:name="_Hlk13156643"/>
      <w:r>
        <w:rPr>
          <w:rStyle w:val="11"/>
          <w:rFonts w:eastAsia="楷体_GB2312"/>
          <w:b w:val="0"/>
          <w:bCs/>
          <w:sz w:val="32"/>
          <w:szCs w:val="32"/>
        </w:rPr>
        <w:t>一般公共预算收支执行情况</w:t>
      </w:r>
    </w:p>
    <w:p>
      <w:pPr>
        <w:autoSpaceDN w:val="0"/>
        <w:spacing w:after="0" w:line="570" w:lineRule="exact"/>
        <w:ind w:firstLine="630" w:firstLineChars="196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1.一般公共预算收入</w:t>
      </w:r>
    </w:p>
    <w:p>
      <w:pPr>
        <w:autoSpaceDN w:val="0"/>
        <w:spacing w:after="0" w:line="57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完成财政总收入449.63亿元；一般公共预算收入233.78亿元，同比增长0.13%，剔除政策性因素后同比增长18.68%，为年初预期的112.3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%，</w:t>
      </w:r>
      <w:r>
        <w:rPr>
          <w:rFonts w:hint="eastAsia"/>
          <w:sz w:val="32"/>
          <w:szCs w:val="32"/>
        </w:rPr>
        <w:t>顺利</w:t>
      </w:r>
      <w:r>
        <w:rPr>
          <w:sz w:val="32"/>
          <w:szCs w:val="32"/>
        </w:rPr>
        <w:t>实现全年收支平稳运行，充分展现勇挑大梁、多作贡献的西湖担当。</w:t>
      </w:r>
    </w:p>
    <w:p>
      <w:pPr>
        <w:pStyle w:val="6"/>
        <w:jc w:val="center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125095</wp:posOffset>
            </wp:positionV>
            <wp:extent cx="4344670" cy="2804160"/>
            <wp:effectExtent l="19050" t="19050" r="17780" b="15240"/>
            <wp:wrapTight wrapText="bothSides">
              <wp:wrapPolygon>
                <wp:start x="-95" y="-147"/>
                <wp:lineTo x="-95" y="21571"/>
                <wp:lineTo x="21594" y="21571"/>
                <wp:lineTo x="21594" y="-147"/>
                <wp:lineTo x="-95" y="-147"/>
              </wp:wrapPolygon>
            </wp:wrapTight>
            <wp:docPr id="8" name="图片 8" descr="170530544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053054486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8041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  <a:alpha val="82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4"/>
        <w:jc w:val="center"/>
      </w:pPr>
    </w:p>
    <w:p>
      <w:pPr>
        <w:spacing w:after="0" w:line="530" w:lineRule="exact"/>
        <w:ind w:firstLine="630" w:firstLineChars="196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2.一般公共预算可用财力</w:t>
      </w:r>
    </w:p>
    <w:p>
      <w:pPr>
        <w:autoSpaceDN w:val="0"/>
        <w:spacing w:after="0" w:line="53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按现行财政体制测算，全区累计可用财力为220.65亿元。按来源分：当年可用财力116.40亿元，动用预算稳定调节基金23.17亿元（助企发展支出调整增支5亿元），上年镇街（平台）结余12.30亿元，争取省市转移支付收入（含上年结转）59.75亿元，新增一般债券收入9亿元，调入资金0.03亿元（主要是国有资本经营预算结余调入）。按级次分：区本级累计可用财力178.38亿元（包括本年和上年结转的省市转移支付收入58.54亿元）；镇累计可用财力5.84亿元；街道累计可用财力32.81亿元（包括本年省市转移支付收入0.21亿元）；平台累计可用财力3.62亿元（包括本年省市转移支付收入1亿元）。</w:t>
      </w:r>
    </w:p>
    <w:p>
      <w:pPr>
        <w:autoSpaceDN w:val="0"/>
        <w:spacing w:after="0" w:line="530" w:lineRule="exact"/>
        <w:ind w:firstLine="630" w:firstLineChars="196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3.一般公共预算支出</w:t>
      </w:r>
    </w:p>
    <w:p>
      <w:pPr>
        <w:autoSpaceDN w:val="0"/>
        <w:spacing w:after="0" w:line="530" w:lineRule="exact"/>
        <w:ind w:firstLine="627" w:firstLineChars="196"/>
        <w:contextualSpacing/>
        <w:rPr>
          <w:sz w:val="32"/>
          <w:szCs w:val="32"/>
        </w:rPr>
      </w:pPr>
      <w:r>
        <w:rPr>
          <w:sz w:val="32"/>
          <w:szCs w:val="32"/>
        </w:rPr>
        <w:t>全区一般公共预算支出169.29亿元，其中：区本级支出96.47亿元，同比增长20.00%，为调整预算的99.61%；新增一般债务支出9亿元；省市转移支付支出39.74亿元；镇支出4.79亿元，同比增长9.25%，为预算的95.10%；街道支出16.79亿元（不含省市转移支付支出0.21亿元），同比增长9.65%，为预算的96.50%；平台支出2.50亿元（不含省市转移支付支出1亿元），同比增长50.78%，为预算的98.01%。另有转移支付东西部协作资金0.74亿元。</w:t>
      </w:r>
    </w:p>
    <w:p>
      <w:pPr>
        <w:autoSpaceDN w:val="0"/>
        <w:spacing w:after="0" w:line="530" w:lineRule="exact"/>
        <w:ind w:firstLine="627" w:firstLineChars="196"/>
        <w:contextualSpacing/>
        <w:rPr>
          <w:sz w:val="32"/>
          <w:szCs w:val="32"/>
        </w:rPr>
      </w:pPr>
      <w:r>
        <w:rPr>
          <w:sz w:val="32"/>
          <w:szCs w:val="32"/>
        </w:rPr>
        <w:t>区本级一般公共预算支出96.47亿元，主要科目情况为：公共安全支出7.75亿元，同比增长5.04%，为预算的103.03%；教育支出27.56亿元，同比增长19.41%，为预算的98.14%；科技支出11.29亿元，同比增长64.05%，为调整预算的94.80%，主要是加大科技创新投入；文化旅游体育与传媒支出2.10亿元，同比增长101.37%，为预算的159.56%，主要是重大赛事保障；社会保障和就业支出14.57亿元，同比增长9.50%，为调整预算的100.39%；卫生健康支出5.99亿元，同比增长1.84%，为预算的91.32%；城乡社区支出12.08亿元，同比增长13.80%，为调整预算的98.75%；农林水支出2.19亿元，同比增长32.13%</w:t>
      </w:r>
      <w:r>
        <w:rPr>
          <w:rFonts w:hint="eastAsia"/>
          <w:sz w:val="32"/>
          <w:szCs w:val="32"/>
        </w:rPr>
        <w:t>，</w:t>
      </w:r>
    </w:p>
    <w:p>
      <w:pPr>
        <w:autoSpaceDN w:val="0"/>
        <w:spacing w:after="0" w:line="530" w:lineRule="exact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为预算的123.62%。</w:t>
      </w:r>
    </w:p>
    <w:p>
      <w:pPr>
        <w:autoSpaceDN w:val="0"/>
        <w:spacing w:line="570" w:lineRule="exact"/>
        <w:ind w:firstLine="411" w:firstLineChars="196"/>
        <w:contextualSpacing/>
        <w:rPr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68580</wp:posOffset>
            </wp:positionV>
            <wp:extent cx="4722495" cy="3200400"/>
            <wp:effectExtent l="0" t="0" r="1905" b="0"/>
            <wp:wrapTopAndBottom/>
            <wp:docPr id="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>
      <w:pPr>
        <w:autoSpaceDN w:val="0"/>
        <w:spacing w:line="570" w:lineRule="exact"/>
        <w:ind w:firstLine="627" w:firstLineChars="196"/>
        <w:contextualSpacing/>
        <w:rPr>
          <w:sz w:val="32"/>
          <w:szCs w:val="32"/>
        </w:rPr>
      </w:pPr>
      <w:r>
        <w:rPr>
          <w:sz w:val="32"/>
          <w:szCs w:val="32"/>
        </w:rPr>
        <w:t>街道一般公共预算支出主要科目情况为：公共安全支出1.87亿元，同比增长11.69%，为预算的97.07%；教育支出0.60亿元，同比增长14.76%，为预算的106.17%；科技支出1.61亿元，同比增长53.05%，为预算的104.15%；文化旅游体育与传媒支出0.16亿元，同比增长42.85%，为预算的89.52%；社会保障和就业支出0.97亿元，同比增长12.68%，为预算的95.34%；卫生健康支出1.15亿元，同比下降2.47%，为预算的94.20%； 城乡社区支出7.01亿元，同比增长12.93%，为预算的98.74%；农林水支出0.05亿元，同比增长6.14%，为预算的104.43%。</w:t>
      </w:r>
    </w:p>
    <w:p>
      <w:pPr>
        <w:spacing w:line="600" w:lineRule="exact"/>
        <w:contextualSpacing/>
        <w:rPr>
          <w:b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53340</wp:posOffset>
            </wp:positionV>
            <wp:extent cx="4881880" cy="3255010"/>
            <wp:effectExtent l="0" t="0" r="13970" b="2540"/>
            <wp:wrapTopAndBottom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4.一般公共预算财力结余</w:t>
      </w:r>
    </w:p>
    <w:bookmarkEnd w:id="0"/>
    <w:p>
      <w:pPr>
        <w:autoSpaceDN w:val="0"/>
        <w:spacing w:after="0" w:line="600" w:lineRule="exact"/>
        <w:ind w:firstLine="640" w:firstLineChars="200"/>
        <w:contextualSpacing/>
        <w:rPr>
          <w:sz w:val="32"/>
          <w:szCs w:val="32"/>
        </w:rPr>
      </w:pPr>
      <w:r>
        <w:rPr>
          <w:sz w:val="32"/>
          <w:szCs w:val="32"/>
        </w:rPr>
        <w:t>收支相抵，2023年末全区一般公共预算滚存结余50.62亿元，其中区本级滚存结余23.60亿元（含部分项目结转结余），省市转移支付支出结转下年10.03亿元，镇滚存结余1.05亿元，街道滚存结余15.81亿元，平台滚存结余0.13亿元。根据预算法规定，区本级结余资金全部用于补充预算稳定调节基金，加上年初预稳基金结余1.63亿元，预计年末区本级预算稳定调节基金总额为25.23亿元，将统筹安排用于2024年及以后年度预算支出。由于市区财政体制仍在核对中，上述财力数据以决算后为准。</w:t>
      </w:r>
    </w:p>
    <w:p>
      <w:pPr>
        <w:autoSpaceDN w:val="0"/>
        <w:spacing w:after="0" w:line="560" w:lineRule="exact"/>
        <w:contextualSpacing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 xml:space="preserve">    （二）政府性基金预算收支执行情况</w:t>
      </w:r>
    </w:p>
    <w:p>
      <w:pPr>
        <w:autoSpaceDN w:val="0"/>
        <w:spacing w:after="0" w:line="560" w:lineRule="exact"/>
        <w:ind w:firstLine="691" w:firstLineChars="216"/>
        <w:contextualSpacing/>
        <w:rPr>
          <w:sz w:val="32"/>
          <w:szCs w:val="32"/>
        </w:rPr>
      </w:pPr>
      <w:r>
        <w:rPr>
          <w:sz w:val="32"/>
          <w:szCs w:val="32"/>
        </w:rPr>
        <w:t>完成政府性基金收入合计99.39亿元。其中：本级政府性基金收入3.34亿元，包括体彩公益金收入0.12亿元，调入资金3.22亿元；专项债券收入2.555亿元；省市转移支付收入93.49亿元，主要是土地出让金核返收入。</w:t>
      </w:r>
    </w:p>
    <w:p>
      <w:pPr>
        <w:autoSpaceDN w:val="0"/>
        <w:spacing w:after="0" w:line="560" w:lineRule="exact"/>
        <w:ind w:firstLine="691" w:firstLineChars="216"/>
        <w:contextualSpacing/>
        <w:rPr>
          <w:sz w:val="32"/>
          <w:szCs w:val="32"/>
        </w:rPr>
      </w:pPr>
      <w:r>
        <w:rPr>
          <w:sz w:val="32"/>
          <w:szCs w:val="32"/>
        </w:rPr>
        <w:t>政府性基金支出98.83亿元，同比增长53.74%。其中：本级政府性基金支出3.46亿元，同比增长1.78%，主要是债券付息和发行费支出3.29亿元；专项债券支出2.555亿元；省市转移支付支出92.82亿元，主要是土地出让金上级补助支出75.63亿元，其他省市各类转移支付支出17.19亿元，主要用于区属教育等部门基础设施建设支出，以及PPP项目、留祥路西延等重点项目支出。</w:t>
      </w:r>
    </w:p>
    <w:p>
      <w:pPr>
        <w:autoSpaceDN w:val="0"/>
        <w:spacing w:after="0" w:line="560" w:lineRule="exact"/>
        <w:ind w:firstLine="691" w:firstLineChars="216"/>
        <w:contextualSpacing/>
        <w:rPr>
          <w:rStyle w:val="11"/>
          <w:rFonts w:eastAsia="楷体_GB2312"/>
          <w:sz w:val="32"/>
          <w:szCs w:val="32"/>
        </w:rPr>
      </w:pPr>
      <w:r>
        <w:rPr>
          <w:sz w:val="32"/>
          <w:szCs w:val="32"/>
        </w:rPr>
        <w:t>收支相抵，当年结余0.56亿元，加上年结余5.56亿元，政府性基金累计结余6.12亿元。</w:t>
      </w:r>
    </w:p>
    <w:p>
      <w:pPr>
        <w:autoSpaceDN w:val="0"/>
        <w:spacing w:after="0" w:line="560" w:lineRule="exact"/>
        <w:ind w:firstLine="691" w:firstLineChars="216"/>
        <w:contextualSpacing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（三）国有资本经营预算收支执行情况</w:t>
      </w:r>
    </w:p>
    <w:p>
      <w:pPr>
        <w:autoSpaceDN w:val="0"/>
        <w:spacing w:after="0"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完成国有资本经营预算收入840万元，同比增长5%，为预期的100%。</w:t>
      </w:r>
    </w:p>
    <w:p>
      <w:pPr>
        <w:autoSpaceDN w:val="0"/>
        <w:spacing w:after="0"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国有资本经营预算支出228.78万元，同比增长15.11%，为预算的95.33%。主要是</w:t>
      </w:r>
      <w:r>
        <w:rPr>
          <w:rFonts w:hint="eastAsia"/>
          <w:sz w:val="32"/>
          <w:szCs w:val="32"/>
        </w:rPr>
        <w:t>相关</w:t>
      </w:r>
      <w:r>
        <w:rPr>
          <w:sz w:val="32"/>
          <w:szCs w:val="32"/>
        </w:rPr>
        <w:t>公司精减职工生活补贴</w:t>
      </w:r>
      <w:r>
        <w:rPr>
          <w:rFonts w:hint="eastAsia"/>
          <w:sz w:val="32"/>
          <w:szCs w:val="32"/>
        </w:rPr>
        <w:t>因素影响</w:t>
      </w:r>
      <w:r>
        <w:rPr>
          <w:sz w:val="32"/>
          <w:szCs w:val="32"/>
        </w:rPr>
        <w:t>。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sz w:val="32"/>
          <w:szCs w:val="32"/>
        </w:rPr>
        <w:t>收支相抵，当年结余611.22万元，加上年结余1587.63万元，结余合计2198.85万元。按照社保风险准备金计提要求，结余调入一般公共预算252万元，国有资本经营预算年末累计结余1946.85万元。</w:t>
      </w:r>
    </w:p>
    <w:p>
      <w:pPr>
        <w:spacing w:after="0" w:line="560" w:lineRule="exact"/>
        <w:ind w:firstLine="627" w:firstLineChars="196"/>
        <w:contextualSpacing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（四）社会保险基金预算收支执行情况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sz w:val="32"/>
          <w:szCs w:val="32"/>
        </w:rPr>
        <w:t>完成社会保险基金收入5.86亿元，同比增长64.08%，为预期的136.51%，主要是机关事业单位基本养老保险费收入3.95亿元、财政补贴收入1.89亿元等。收入增幅较大主要是当年收到市社保资金财政补助1.15亿元。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sz w:val="32"/>
          <w:szCs w:val="32"/>
        </w:rPr>
        <w:t>社会保险基金支出4.91亿元，同比增长6.88%，为预算的99.69%，全部用于机关事业单位基本养老保险基金支出。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sz w:val="32"/>
          <w:szCs w:val="32"/>
        </w:rPr>
        <w:t>收支相抵，当年结余0.95亿元，加上年结余0.70亿元，社会保险基金年末滚存结余1.65亿元。</w:t>
      </w:r>
    </w:p>
    <w:p>
      <w:pPr>
        <w:spacing w:after="0" w:line="560" w:lineRule="exact"/>
        <w:ind w:firstLine="627" w:firstLineChars="196"/>
        <w:contextualSpacing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</w:t>
      </w:r>
      <w:r>
        <w:rPr>
          <w:rStyle w:val="11"/>
          <w:rFonts w:hint="eastAsia" w:eastAsia="楷体_GB2312"/>
          <w:b w:val="0"/>
          <w:bCs/>
          <w:sz w:val="32"/>
          <w:szCs w:val="32"/>
        </w:rPr>
        <w:t>五</w:t>
      </w:r>
      <w:r>
        <w:rPr>
          <w:rStyle w:val="11"/>
          <w:rFonts w:eastAsia="楷体_GB2312"/>
          <w:b w:val="0"/>
          <w:bCs/>
          <w:sz w:val="32"/>
          <w:szCs w:val="32"/>
        </w:rPr>
        <w:t>）</w:t>
      </w:r>
      <w:r>
        <w:rPr>
          <w:rStyle w:val="11"/>
          <w:rFonts w:hint="eastAsia" w:eastAsia="楷体_GB2312"/>
          <w:b w:val="0"/>
          <w:bCs/>
          <w:sz w:val="32"/>
          <w:szCs w:val="32"/>
        </w:rPr>
        <w:t>政府债务情况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截至2023年，全区地方政府债务限额为142.98亿元，其中：一般债务43亿元，占30.74%；专项债务99.98亿元，占69.26%。全区地方政府债务余额为142.97亿元。其中：一般债务43亿元，占30.08%；专项债务99.97亿元，占69.92%。</w:t>
      </w:r>
    </w:p>
    <w:p>
      <w:pPr>
        <w:autoSpaceDN w:val="0"/>
        <w:spacing w:after="0" w:line="560" w:lineRule="exact"/>
        <w:ind w:firstLine="641"/>
        <w:rPr>
          <w:sz w:val="32"/>
          <w:szCs w:val="32"/>
        </w:rPr>
      </w:pPr>
      <w:r>
        <w:rPr>
          <w:rFonts w:hint="eastAsia"/>
          <w:sz w:val="32"/>
          <w:szCs w:val="32"/>
        </w:rPr>
        <w:t>2023年通过省政府代为发行地方政府债券合计22.955亿元，其中：新增债务11.555亿元（一般债务9亿元，专项债务2.555亿元），转贷收入11.4亿元（均为专项债务还本）。全区还本支出11.4亿元，均为专项债务还本。</w:t>
      </w:r>
    </w:p>
    <w:p>
      <w:pPr>
        <w:spacing w:after="0" w:line="560" w:lineRule="exact"/>
        <w:ind w:firstLine="691" w:firstLineChars="216"/>
        <w:contextualSpacing/>
        <w:rPr>
          <w:sz w:val="32"/>
          <w:szCs w:val="32"/>
        </w:rPr>
      </w:pPr>
      <w:r>
        <w:rPr>
          <w:rFonts w:eastAsia="黑体"/>
          <w:sz w:val="32"/>
          <w:szCs w:val="32"/>
        </w:rPr>
        <w:t>二、2023年落实区人大预算决议及财政主要工作</w:t>
      </w:r>
    </w:p>
    <w:p>
      <w:pPr>
        <w:autoSpaceDN w:val="0"/>
        <w:spacing w:after="0" w:line="600" w:lineRule="exact"/>
        <w:ind w:firstLine="641"/>
        <w:rPr>
          <w:sz w:val="32"/>
          <w:szCs w:val="32"/>
        </w:rPr>
      </w:pPr>
      <w:r>
        <w:rPr>
          <w:sz w:val="32"/>
          <w:szCs w:val="32"/>
        </w:rPr>
        <w:t>2023年，财政部门严格执行《中华人民共和国预算法》《中华人民共和国预算法实施条例》《浙江省预算审查监督条例》和区委、区政府部署要求，坚持围绕忠实践行“</w:t>
      </w:r>
      <w:r>
        <w:rPr>
          <w:b/>
          <w:bCs/>
          <w:sz w:val="32"/>
          <w:szCs w:val="32"/>
        </w:rPr>
        <w:t>八八战略</w:t>
      </w:r>
      <w:r>
        <w:rPr>
          <w:sz w:val="32"/>
          <w:szCs w:val="32"/>
        </w:rPr>
        <w:t>”、奋力实施“</w:t>
      </w:r>
      <w:r>
        <w:rPr>
          <w:b/>
          <w:bCs/>
          <w:sz w:val="32"/>
          <w:szCs w:val="32"/>
        </w:rPr>
        <w:t>六六行动</w:t>
      </w:r>
      <w:r>
        <w:rPr>
          <w:sz w:val="32"/>
          <w:szCs w:val="32"/>
        </w:rPr>
        <w:t>”，</w:t>
      </w:r>
      <w:r>
        <w:rPr>
          <w:rFonts w:hint="eastAsia"/>
          <w:sz w:val="32"/>
          <w:szCs w:val="32"/>
        </w:rPr>
        <w:t>坚持</w:t>
      </w:r>
      <w:r>
        <w:rPr>
          <w:rFonts w:hint="eastAsia"/>
          <w:b/>
          <w:bCs/>
          <w:sz w:val="32"/>
          <w:szCs w:val="32"/>
        </w:rPr>
        <w:t>科学生财、创新聚财、精明理财、高效用财、勤廉管财</w:t>
      </w:r>
      <w:r>
        <w:rPr>
          <w:b/>
          <w:bCs/>
          <w:sz w:val="32"/>
          <w:szCs w:val="32"/>
        </w:rPr>
        <w:t>，</w:t>
      </w:r>
      <w:r>
        <w:rPr>
          <w:sz w:val="32"/>
          <w:szCs w:val="32"/>
        </w:rPr>
        <w:t>注重积极有为、强化实效，坚持艰苦奋斗、勤俭节约，全力以赴</w:t>
      </w:r>
      <w:r>
        <w:rPr>
          <w:b/>
          <w:bCs/>
          <w:sz w:val="32"/>
          <w:szCs w:val="32"/>
        </w:rPr>
        <w:t>抓收入、促发展、惠民生、控风险、推改革</w:t>
      </w:r>
      <w:r>
        <w:rPr>
          <w:sz w:val="32"/>
          <w:szCs w:val="32"/>
        </w:rPr>
        <w:t>，更好统筹疫情防控和经济社会发展，更好统筹重点赛事和重大项目保障，确保财政运行总体平稳有序，财政资金使用效益不断提升，为高水平打造高质量发展首善之区提供坚实财政保障。</w:t>
      </w:r>
    </w:p>
    <w:p>
      <w:pPr>
        <w:autoSpaceDN w:val="0"/>
        <w:spacing w:after="0" w:line="600" w:lineRule="exact"/>
        <w:ind w:firstLine="641"/>
        <w:rPr>
          <w:sz w:val="32"/>
          <w:szCs w:val="32"/>
        </w:rPr>
      </w:pPr>
      <w:r>
        <w:rPr>
          <w:rStyle w:val="11"/>
          <w:rFonts w:hint="eastAsia" w:eastAsia="楷体_GB2312"/>
          <w:b w:val="0"/>
          <w:bCs/>
          <w:sz w:val="32"/>
          <w:szCs w:val="32"/>
        </w:rPr>
        <w:t>（一）确保财政运行平稳可持续。</w:t>
      </w:r>
      <w:r>
        <w:rPr>
          <w:sz w:val="32"/>
          <w:szCs w:val="32"/>
        </w:rPr>
        <w:t>以系统观念加强财政政策逆周期和跨周期调节，</w:t>
      </w:r>
      <w:r>
        <w:rPr>
          <w:rFonts w:hint="eastAsia"/>
          <w:sz w:val="32"/>
          <w:szCs w:val="32"/>
        </w:rPr>
        <w:t>克服当前财政经济运行面临的种种困难，</w:t>
      </w:r>
      <w:r>
        <w:rPr>
          <w:sz w:val="32"/>
          <w:szCs w:val="32"/>
        </w:rPr>
        <w:t>推动收入运行在合理区间，充分发挥经济大省首善之区勇挑大梁作用。2023年收入</w:t>
      </w:r>
      <w:r>
        <w:rPr>
          <w:rFonts w:hint="eastAsia"/>
          <w:sz w:val="32"/>
          <w:szCs w:val="32"/>
          <w:lang w:val="en-US" w:eastAsia="zh-CN"/>
        </w:rPr>
        <w:t>总量</w:t>
      </w:r>
      <w:r>
        <w:rPr>
          <w:sz w:val="32"/>
          <w:szCs w:val="32"/>
        </w:rPr>
        <w:t>保持稳</w:t>
      </w:r>
      <w:r>
        <w:rPr>
          <w:rFonts w:hint="eastAsia"/>
          <w:sz w:val="32"/>
          <w:szCs w:val="32"/>
        </w:rPr>
        <w:t>中有进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较年初预期目标增加25.78</w:t>
      </w:r>
      <w:bookmarkStart w:id="1" w:name="_GoBack"/>
      <w:bookmarkEnd w:id="1"/>
      <w:r>
        <w:rPr>
          <w:rFonts w:hint="eastAsia"/>
          <w:sz w:val="32"/>
          <w:szCs w:val="32"/>
          <w:lang w:val="en-US" w:eastAsia="zh-CN"/>
        </w:rPr>
        <w:t>亿元，</w:t>
      </w:r>
      <w:r>
        <w:rPr>
          <w:sz w:val="32"/>
          <w:szCs w:val="32"/>
        </w:rPr>
        <w:t>贡献占比较全市平均高出2.27个百分点；税占比三年平均93.94%，较全市平均高出3.32个百分点。争取到体制结算补助、市区结算政策及债券资金75.55亿元，占全区当年可用财力的</w:t>
      </w:r>
      <w:r>
        <w:rPr>
          <w:rFonts w:hint="eastAsia"/>
          <w:sz w:val="32"/>
          <w:szCs w:val="32"/>
        </w:rPr>
        <w:t>22.73%</w:t>
      </w:r>
      <w:r>
        <w:rPr>
          <w:sz w:val="32"/>
          <w:szCs w:val="32"/>
        </w:rPr>
        <w:t>。之江全域出让金核返政策的争取工作已取得实质性突破，为夯实西湖可持续发展打下坚实</w:t>
      </w:r>
      <w:r>
        <w:rPr>
          <w:rFonts w:hint="eastAsia"/>
          <w:sz w:val="32"/>
          <w:szCs w:val="32"/>
        </w:rPr>
        <w:t>长远</w:t>
      </w:r>
      <w:r>
        <w:rPr>
          <w:sz w:val="32"/>
          <w:szCs w:val="32"/>
        </w:rPr>
        <w:t>基础。</w:t>
      </w:r>
    </w:p>
    <w:p>
      <w:pPr>
        <w:autoSpaceDN w:val="0"/>
        <w:spacing w:after="0" w:line="600" w:lineRule="exact"/>
        <w:rPr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 xml:space="preserve">    </w:t>
      </w:r>
      <w:r>
        <w:rPr>
          <w:rStyle w:val="11"/>
          <w:rFonts w:hint="eastAsia" w:eastAsia="楷体_GB2312"/>
          <w:b w:val="0"/>
          <w:bCs/>
          <w:sz w:val="32"/>
          <w:szCs w:val="32"/>
        </w:rPr>
        <w:t>（二）助力高质量发展稳步推进。</w:t>
      </w:r>
      <w:r>
        <w:rPr>
          <w:sz w:val="32"/>
          <w:szCs w:val="32"/>
        </w:rPr>
        <w:t>坚持强激励、促发展，保基本、补短板。出台《重大项目招引体制激励政策的实施意见》，安排专项激励资金3000万元，激发属地镇街（平台）在经济工作中的主体作用。安排1000万元专项进一步完善镇街（平台）财政收支平衡预警机制。出台《关于西湖区优化南北片区财力分享的方案》，优化区域财力分享政策，建立协同高效的基层治理体系，全力支持南北两大平台发展建设。推动出台营商环境“20条”、开门红“28条”和五轮促消费购车补贴等一揽子助企纾困政策。坚持“见文即兑”“即审即兑”，累计兑现惠企政策资金40.33亿元，其中上级补助资金19.66亿元、区级资金20.67亿元，同比增幅39.02%。</w:t>
      </w:r>
    </w:p>
    <w:p>
      <w:pPr>
        <w:spacing w:after="0" w:line="600" w:lineRule="exact"/>
        <w:rPr>
          <w:sz w:val="32"/>
          <w:szCs w:val="32"/>
        </w:rPr>
      </w:pPr>
      <w:r>
        <w:rPr>
          <w:rStyle w:val="11"/>
          <w:rFonts w:hint="eastAsia" w:eastAsia="楷体_GB2312"/>
          <w:b w:val="0"/>
          <w:bCs/>
          <w:sz w:val="32"/>
          <w:szCs w:val="32"/>
        </w:rPr>
        <w:t xml:space="preserve">    （三）推动高效能改革落地见效。</w:t>
      </w:r>
      <w:r>
        <w:rPr>
          <w:sz w:val="32"/>
          <w:szCs w:val="32"/>
        </w:rPr>
        <w:t>高标准推动变革型财政组织建设，首创党建引领高质量发展“红领赋能”模式，探索为企服务系统性、集成化变革，荣获全省清廉财政建设成效突出单位。“红领赋能”模式助力营商环境优化的典型做法获评“全省财政系统变革型财政组织创建最佳实践案例（全市唯一）”，也作为全市系统唯一入选“2023半年度市营商环境优化提升最佳实践案例”。深化国资国企改革，通过“调、并、增、转”，优化国有经济布局结构，形成“1+6+N”的国资国企新架构，引导区属国企以市场化运作完成功能性任务，为“三创融合”提供产业支撑，为全省区县国资国企改革提供“西湖样本”。新一轮改革释放红利显现，实现区属国企AAA评级历史性突破。</w:t>
      </w:r>
    </w:p>
    <w:p>
      <w:pPr>
        <w:spacing w:after="0" w:line="600" w:lineRule="exact"/>
        <w:ind w:firstLine="640"/>
        <w:rPr>
          <w:sz w:val="32"/>
          <w:szCs w:val="32"/>
        </w:rPr>
      </w:pPr>
      <w:r>
        <w:rPr>
          <w:rStyle w:val="11"/>
          <w:rFonts w:hint="eastAsia" w:eastAsia="楷体_GB2312"/>
          <w:b w:val="0"/>
          <w:bCs/>
          <w:sz w:val="32"/>
          <w:szCs w:val="32"/>
        </w:rPr>
        <w:t>（四）兜底民生保障更有温度。</w:t>
      </w:r>
      <w:r>
        <w:rPr>
          <w:rFonts w:hint="eastAsia"/>
          <w:sz w:val="32"/>
          <w:szCs w:val="32"/>
        </w:rPr>
        <w:t>坚持将新增财力向民生倾斜，将基本民生摆在“三保”首位，持续加大民生领域投入，全力保障民生政策落实落细，不断增进民生福祉。落实7.48亿元，持续提升全区医疗和基本公共卫生服务水平，打赢疫情防控攻坚战。落实37.30亿元，全力保障教育事业发展，稳步提高各阶段生均经费标准。落实15.82亿元，支持高质量充分就业，做好高层次人才生活补贴和大学生租房补贴资金保障工作。落实8.12亿元，支持办好杭州亚运会、亚残运会，制定赛时运行保障机制，推进亚运场馆赛后利用。</w:t>
      </w:r>
      <w:r>
        <w:rPr>
          <w:sz w:val="32"/>
          <w:szCs w:val="32"/>
        </w:rPr>
        <w:t>2023年全区</w:t>
      </w:r>
      <w:r>
        <w:rPr>
          <w:rFonts w:hint="eastAsia"/>
          <w:sz w:val="32"/>
          <w:szCs w:val="32"/>
        </w:rPr>
        <w:t>民生类支出146.18亿元，占比86.35%，确保财力三分之二以上用于民生。</w:t>
      </w:r>
    </w:p>
    <w:p>
      <w:pPr>
        <w:spacing w:after="0"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三、2024年财政预算草案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 w:firstLineChars="200"/>
        <w:jc w:val="both"/>
        <w:rPr>
          <w:spacing w:val="-6"/>
          <w:sz w:val="32"/>
          <w:szCs w:val="32"/>
        </w:rPr>
      </w:pPr>
      <w:r>
        <w:rPr>
          <w:sz w:val="32"/>
          <w:szCs w:val="32"/>
        </w:rPr>
        <w:t>2024年是中华人民共和国成立75周年，是实施“十四五”规划的关键一年，也是“六六行动”的</w:t>
      </w:r>
      <w:r>
        <w:rPr>
          <w:rFonts w:hint="eastAsia"/>
          <w:sz w:val="32"/>
          <w:szCs w:val="32"/>
        </w:rPr>
        <w:t>纵深推进</w:t>
      </w:r>
      <w:r>
        <w:rPr>
          <w:sz w:val="32"/>
          <w:szCs w:val="32"/>
        </w:rPr>
        <w:t>之年，做好财政工作意义重大。总体要求是：</w:t>
      </w:r>
      <w:r>
        <w:rPr>
          <w:spacing w:val="-6"/>
          <w:sz w:val="32"/>
          <w:szCs w:val="32"/>
        </w:rPr>
        <w:t>以区委</w:t>
      </w:r>
      <w:r>
        <w:rPr>
          <w:rFonts w:eastAsia="黑体"/>
          <w:spacing w:val="-6"/>
          <w:sz w:val="32"/>
          <w:szCs w:val="32"/>
        </w:rPr>
        <w:t>“六六行动”</w:t>
      </w:r>
      <w:r>
        <w:rPr>
          <w:bCs/>
          <w:spacing w:val="-6"/>
          <w:sz w:val="32"/>
          <w:szCs w:val="32"/>
        </w:rPr>
        <w:t>工作要求</w:t>
      </w:r>
      <w:r>
        <w:rPr>
          <w:spacing w:val="-6"/>
          <w:sz w:val="32"/>
          <w:szCs w:val="32"/>
        </w:rPr>
        <w:t>为根本遵循，</w:t>
      </w:r>
      <w:r>
        <w:rPr>
          <w:sz w:val="32"/>
          <w:szCs w:val="32"/>
        </w:rPr>
        <w:t>坚持</w:t>
      </w:r>
      <w:r>
        <w:rPr>
          <w:rFonts w:eastAsia="黑体"/>
          <w:spacing w:val="-6"/>
          <w:sz w:val="32"/>
          <w:szCs w:val="32"/>
        </w:rPr>
        <w:t>“财为政服务”</w:t>
      </w:r>
      <w:r>
        <w:rPr>
          <w:sz w:val="32"/>
          <w:szCs w:val="32"/>
        </w:rPr>
        <w:t>，</w:t>
      </w:r>
      <w:r>
        <w:rPr>
          <w:spacing w:val="-6"/>
          <w:sz w:val="32"/>
          <w:szCs w:val="32"/>
        </w:rPr>
        <w:t>以</w:t>
      </w:r>
      <w:r>
        <w:rPr>
          <w:rFonts w:eastAsia="黑体"/>
          <w:spacing w:val="-6"/>
          <w:sz w:val="32"/>
          <w:szCs w:val="32"/>
        </w:rPr>
        <w:t>“发展、改革、稳定”</w:t>
      </w:r>
      <w:r>
        <w:rPr>
          <w:spacing w:val="-6"/>
          <w:sz w:val="32"/>
          <w:szCs w:val="32"/>
        </w:rPr>
        <w:t>为主赛道</w:t>
      </w:r>
      <w:r>
        <w:rPr>
          <w:bCs/>
          <w:spacing w:val="-6"/>
          <w:sz w:val="32"/>
          <w:szCs w:val="32"/>
        </w:rPr>
        <w:t>，</w:t>
      </w:r>
      <w:r>
        <w:rPr>
          <w:spacing w:val="-6"/>
          <w:sz w:val="32"/>
          <w:szCs w:val="32"/>
        </w:rPr>
        <w:t>以</w:t>
      </w:r>
      <w:r>
        <w:rPr>
          <w:rFonts w:eastAsia="黑体"/>
          <w:spacing w:val="-6"/>
          <w:sz w:val="32"/>
          <w:szCs w:val="32"/>
        </w:rPr>
        <w:t>处理好“发展和创新”“发展和民生”“发展和安全”3对关系</w:t>
      </w:r>
      <w:r>
        <w:rPr>
          <w:spacing w:val="-6"/>
          <w:sz w:val="32"/>
          <w:szCs w:val="32"/>
        </w:rPr>
        <w:t>为重要抓手，努力实现</w:t>
      </w:r>
      <w:r>
        <w:rPr>
          <w:rFonts w:eastAsia="黑体"/>
          <w:spacing w:val="-6"/>
          <w:sz w:val="32"/>
          <w:szCs w:val="32"/>
        </w:rPr>
        <w:t>“两确保”</w:t>
      </w:r>
      <w:r>
        <w:rPr>
          <w:spacing w:val="-6"/>
          <w:sz w:val="32"/>
          <w:szCs w:val="32"/>
        </w:rPr>
        <w:t>目标，即确保财政收入与经济增长保持基本同步，确保实现财政收支平衡，风险整体可控、及时化解。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 w:firstLineChars="200"/>
        <w:jc w:val="both"/>
      </w:pPr>
      <w:r>
        <w:rPr>
          <w:sz w:val="32"/>
          <w:szCs w:val="32"/>
        </w:rPr>
        <w:t>根据上述指导思想及预算法要求，结合全区经济社会发展预期，2024年预算草案安排如下：</w:t>
      </w:r>
    </w:p>
    <w:p>
      <w:pPr>
        <w:pStyle w:val="6"/>
        <w:numPr>
          <w:ilvl w:val="0"/>
          <w:numId w:val="1"/>
        </w:numPr>
        <w:pBdr>
          <w:bottom w:val="single" w:color="FFFFFF" w:sz="4" w:space="31"/>
        </w:pBdr>
        <w:spacing w:after="0" w:line="600" w:lineRule="exact"/>
        <w:ind w:firstLine="640" w:firstLineChars="200"/>
        <w:jc w:val="both"/>
        <w:rPr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一般公共预算</w:t>
      </w:r>
    </w:p>
    <w:p>
      <w:pPr>
        <w:pStyle w:val="6"/>
        <w:numPr>
          <w:ilvl w:val="0"/>
          <w:numId w:val="2"/>
        </w:numPr>
        <w:pBdr>
          <w:bottom w:val="single" w:color="FFFFFF" w:sz="4" w:space="31"/>
        </w:pBdr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rStyle w:val="11"/>
          <w:rFonts w:eastAsia="楷体_GB2312"/>
          <w:sz w:val="32"/>
          <w:szCs w:val="32"/>
        </w:rPr>
        <w:t>收入预期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全区一般公共预算收入246.6亿元，同比增长5.5%。主要科目收入情况：</w:t>
      </w: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  <w:r>
        <w:rPr>
          <w:rStyle w:val="11"/>
          <w:rFonts w:eastAsia="楷体_GB2312"/>
          <w:sz w:val="32"/>
          <w:szCs w:val="32"/>
        </w:rPr>
        <w:t xml:space="preserve">     </w:t>
      </w: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  <w:r>
        <w:rPr>
          <w:rStyle w:val="11"/>
          <w:rFonts w:eastAsia="楷体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243840</wp:posOffset>
            </wp:positionV>
            <wp:extent cx="4185920" cy="3049905"/>
            <wp:effectExtent l="19050" t="19050" r="24130" b="17145"/>
            <wp:wrapTight wrapText="bothSides">
              <wp:wrapPolygon>
                <wp:start x="-98" y="-135"/>
                <wp:lineTo x="-98" y="21587"/>
                <wp:lineTo x="21626" y="21587"/>
                <wp:lineTo x="21626" y="-135"/>
                <wp:lineTo x="-98" y="-135"/>
              </wp:wrapPolygon>
            </wp:wrapTight>
            <wp:docPr id="9" name="图片 9" descr="170530549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7053054941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30499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  <a:alpha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560" w:lineRule="exact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600" w:lineRule="exact"/>
        <w:ind w:firstLine="643" w:firstLineChars="200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600" w:lineRule="exact"/>
        <w:ind w:firstLine="643" w:firstLineChars="200"/>
        <w:jc w:val="both"/>
        <w:rPr>
          <w:rStyle w:val="11"/>
          <w:rFonts w:eastAsia="楷体_GB2312"/>
          <w:sz w:val="32"/>
          <w:szCs w:val="32"/>
        </w:rPr>
      </w:pPr>
    </w:p>
    <w:p>
      <w:pPr>
        <w:pStyle w:val="6"/>
        <w:pBdr>
          <w:bottom w:val="single" w:color="FFFFFF" w:sz="4" w:space="31"/>
        </w:pBdr>
        <w:spacing w:after="0" w:line="600" w:lineRule="exact"/>
        <w:ind w:firstLine="643" w:firstLineChars="200"/>
        <w:jc w:val="both"/>
        <w:rPr>
          <w:sz w:val="32"/>
          <w:szCs w:val="32"/>
        </w:rPr>
      </w:pPr>
      <w:r>
        <w:rPr>
          <w:rStyle w:val="11"/>
          <w:rFonts w:eastAsia="楷体_GB2312"/>
          <w:sz w:val="32"/>
          <w:szCs w:val="32"/>
        </w:rPr>
        <w:t>2.支出预算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按现行财政体制测算，全区累计可用财力合计194.31亿元。按来源分：当年可用财力122.07亿元，动用预算稳定调节基金15.22亿元，上年镇街（平台）结余16.99亿元，省市转移支付收入40亿元（含上年结转10.03亿元），调入资金0.03亿元（主要是国有资本经营预算结余调入）。按级次分：区本级累计可用财力148.66亿元（包括本年和上年结转的省市转移支付收入40亿元）；镇累计可用财力5.67亿元；街道累计可用财力36.50亿元；平台累计可用财力3.48亿元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安排全区一般公共预算支出173.78亿元。其中区本级106.82亿元，同比增长10.73%；省市转移支付支出40亿元；镇支出5.59亿元，同比增长16.70%；街道支出18.22亿元，同比增长8.51%；平台支出3.15亿元，同比增长26.00%。安排转移支付东西部协作资金0.74亿元，预备费支出1.10亿元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3184525</wp:posOffset>
            </wp:positionV>
            <wp:extent cx="4977130" cy="3340100"/>
            <wp:effectExtent l="0" t="0" r="13970" b="12700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区本级一般公共预算支出（不含新增一般债务支出和省市转移支付支出）主要科目情况为：公共安全支出7.99亿元，同比增长3.14%；教育支出29.95亿元，同比增长8.66%；科技支出13.61亿元，同比增长20.52%；文化旅游体育与传媒支出2.11亿元，同比增长0.69%；社会保障和就业支出</w:t>
      </w:r>
      <w:r>
        <w:rPr>
          <w:rFonts w:hint="eastAsia"/>
          <w:sz w:val="32"/>
          <w:szCs w:val="32"/>
        </w:rPr>
        <w:t>15.85</w:t>
      </w:r>
      <w:r>
        <w:rPr>
          <w:sz w:val="32"/>
          <w:szCs w:val="32"/>
        </w:rPr>
        <w:t>亿元，同比增长</w:t>
      </w:r>
      <w:r>
        <w:rPr>
          <w:rFonts w:hint="eastAsia"/>
          <w:sz w:val="32"/>
          <w:szCs w:val="32"/>
        </w:rPr>
        <w:t>8.78</w:t>
      </w:r>
      <w:r>
        <w:rPr>
          <w:sz w:val="32"/>
          <w:szCs w:val="32"/>
        </w:rPr>
        <w:t>%；卫生健康支出6.91亿元，同比增长15.33%；城乡社区支出13.94亿元，同比增长15.41%；农林水支出2.35亿元，同比增长7.23%。</w:t>
      </w:r>
    </w:p>
    <w:p>
      <w:pPr>
        <w:pStyle w:val="6"/>
        <w:pBdr>
          <w:bottom w:val="single" w:color="FFFFFF" w:sz="4" w:space="31"/>
        </w:pBdr>
        <w:autoSpaceDN w:val="0"/>
        <w:spacing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街道一般公共预算支出主要科目情况为：公共安全支出1.97亿元，同比增长5.35%；教育支出0.56亿元，同比下降6.83%；</w:t>
      </w:r>
      <w:r>
        <w:rPr>
          <w:rFonts w:hint="eastAsia"/>
          <w:sz w:val="32"/>
          <w:szCs w:val="32"/>
        </w:rPr>
        <w:t>科技支出1.72亿元，同比增长7.13%</w:t>
      </w:r>
      <w:r>
        <w:rPr>
          <w:sz w:val="32"/>
          <w:szCs w:val="32"/>
        </w:rPr>
        <w:t>；文化旅游体育与传媒支出0.22亿元，同比增长31.91%；社会保障和就业支出1.13亿元，同比增长16.14%；卫生健康支出0.82亿元，同比下降28.39%；城乡社区支出7.61亿元，同比增长8.61%；农林水支出0.04亿元，同比下降29.09%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10795</wp:posOffset>
            </wp:positionV>
            <wp:extent cx="5257800" cy="3606165"/>
            <wp:effectExtent l="0" t="0" r="0" b="133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收支相抵，预计2024年全区一般公共预算滚存结余18.69亿元，其中镇滚存结余0.08亿元，街道滚存结余18.28亿元，平台滚存结余0.33亿元。预算稳定调节基金结余10.01亿元。</w:t>
      </w:r>
    </w:p>
    <w:p>
      <w:pPr>
        <w:pStyle w:val="6"/>
        <w:pBdr>
          <w:bottom w:val="single" w:color="FFFFFF" w:sz="4" w:space="31"/>
        </w:pBdr>
        <w:spacing w:after="0" w:line="600" w:lineRule="exact"/>
        <w:jc w:val="both"/>
        <w:rPr>
          <w:rStyle w:val="11"/>
          <w:rFonts w:eastAsia="楷体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Style w:val="11"/>
          <w:rFonts w:eastAsia="楷体_GB2312"/>
          <w:b w:val="0"/>
          <w:bCs/>
          <w:sz w:val="32"/>
          <w:szCs w:val="32"/>
        </w:rPr>
        <w:t>（二）政府性基金预算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政府性基金收入预期合计49.88亿元。其中：本级政府性基金收入3.68亿元，同比增长10.16%，主要是本级收入0.16亿元，为彩票公益金收入；调入资金3.52亿元，为收回政府债券利息；省市转移支付收入46.20亿元，主要是土地出让金核返收入45亿元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政府性基金预算支出合计56.00亿元。其中：本级政府性基金支出9.80亿元，同比增长183.44%，主要是PPP项目付费支出、债券付息和发行费支出及彩票公益金支出；省市转移支付支出46.20亿元，主要是土地出让金上级补助支出45亿元，其他省市各类转移支付支出1.20亿元，主要用于区属教育等部门基础设施建设支出，以及留祥路西延等重点项目支出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收支相抵，加上年结余6.12亿元，结余合计为0亿元。</w:t>
      </w:r>
    </w:p>
    <w:p>
      <w:pPr>
        <w:pStyle w:val="6"/>
        <w:pBdr>
          <w:bottom w:val="single" w:color="FFFFFF" w:sz="4" w:space="31"/>
        </w:pBdr>
        <w:spacing w:after="0" w:line="600" w:lineRule="exact"/>
        <w:jc w:val="both"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 xml:space="preserve">   （三）国有资本经营预算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国有资本经营预算收入预期850万元，同比增长1.19%。  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1"/>
        <w:jc w:val="both"/>
        <w:rPr>
          <w:sz w:val="32"/>
          <w:szCs w:val="32"/>
        </w:rPr>
      </w:pPr>
      <w:r>
        <w:rPr>
          <w:sz w:val="32"/>
          <w:szCs w:val="32"/>
        </w:rPr>
        <w:t>国有资本经营预算支出200万元，同比下降12.58%。主要用于改制企业人员经费60万元，全区国有企业财务审计费等支出70万元，上缴省社保基金收益70万元。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>收支相抵，当年结余650万元，加上年结余1946.85万元，结余合计2596.85万元。按照社保风险准备金计提要求，拟调入一般公共预算255万元，国有资本经营预算年末累计结余2341.85万元。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jc w:val="both"/>
        <w:rPr>
          <w:rStyle w:val="11"/>
          <w:rFonts w:eastAsia="楷体_GB2312"/>
          <w:b w:val="0"/>
          <w:bCs/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 xml:space="preserve">   （四）社会保险基金预算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>社会保险基金收入预期5.26亿元，同比下降10.17%，主要包括机关事业单位基本养老保险费收入3.90亿元、财政补贴收入1.35亿元等。收入下降主要是当年尚未收到市社保资金财政补助。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>社会保险基金预算支出5.26亿元，同比增长7.30%，全部用于机关事业单位基本养老保险基金支出。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ind w:firstLine="640"/>
        <w:jc w:val="both"/>
        <w:rPr>
          <w:sz w:val="32"/>
          <w:szCs w:val="32"/>
        </w:rPr>
      </w:pPr>
      <w:r>
        <w:rPr>
          <w:sz w:val="32"/>
          <w:szCs w:val="32"/>
        </w:rPr>
        <w:t>当年收支平衡，社会保险基金年末滚存结余1.65亿元。后续如有收支缺口将动用部分上年基金滚存结余予以全额保障。</w:t>
      </w:r>
    </w:p>
    <w:p>
      <w:pPr>
        <w:pStyle w:val="6"/>
        <w:pBdr>
          <w:bottom w:val="single" w:color="FFFFFF" w:sz="4" w:space="31"/>
        </w:pBdr>
        <w:spacing w:after="0" w:line="600" w:lineRule="exact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四、2024年重点财政收支政策和主要工作</w:t>
      </w:r>
    </w:p>
    <w:p>
      <w:pPr>
        <w:pBdr>
          <w:bottom w:val="single" w:color="FFFFFF" w:sz="4" w:space="31"/>
        </w:pBdr>
        <w:snapToGrid w:val="0"/>
        <w:spacing w:after="0" w:line="600" w:lineRule="exact"/>
        <w:ind w:firstLine="640" w:firstLineChars="200"/>
        <w:rPr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（一）聚焦高能级发展，千方百计稳定收支运行。</w:t>
      </w:r>
      <w:r>
        <w:rPr>
          <w:sz w:val="32"/>
          <w:szCs w:val="32"/>
        </w:rPr>
        <w:t>一是全力稳住收入盘子。强化研判收入运行态势，加强上下协同、财税联动，把握各月收入进度，确保收入平稳、可持续，增速、质量继续努力保持领先，为全省全市大局多作贡献。二是坚决落实“过紧日子”要求。加快推进预算支出标准体系建设和应用，拟出台西湖区行政事业单位“过紧日子”负面清单。继续压减“三公”经费和一般性支出，腾出更多的可用财力用于保障创新、促进产业发展。三是高度关注财源建设。牢固树立“做地出地”“有效投资”理念，积极助推新制造业、现代服务业、云计算、大数据、生物医药等重点产业赛道保障；加大“三创”经济支持力度，全力保障招引重大项目。紧盯数字经济、平台经济发展态势，高度关注未来产业群的发展趋势，培育、挖掘新经济带来的新财源。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 w:firstLineChars="200"/>
        <w:jc w:val="both"/>
        <w:rPr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（二）聚焦底线化思维，积极稳妥防控地区风险。</w:t>
      </w:r>
      <w:r>
        <w:rPr>
          <w:sz w:val="32"/>
          <w:szCs w:val="32"/>
        </w:rPr>
        <w:t>一是防控债务风险。密切关注国家政策动向，优化存量债务结构，降低债务成本；分类指导债务主体更加合理且实事求是做好风险防控，稳妥推进政府项目建设。二是防控“三保”风险。完善“三保”管理机制，扩大基层“三保”审核范围，健全应急处置预案，发挥预算管理财会监督机制的约束作用，从源头防范和降低财政运行风险。三是防控政策失效风险。强化政策协同，提高政策含金量，确保部门同频共振、同向发力。对企业获得感不强的碎片化政策，及时调整或退出，</w:t>
      </w:r>
      <w:r>
        <w:rPr>
          <w:sz w:val="32"/>
          <w:szCs w:val="32"/>
          <w:lang w:val="zh-CN"/>
        </w:rPr>
        <w:t>使政策更精准更聚焦更解渴，</w:t>
      </w:r>
      <w:r>
        <w:rPr>
          <w:sz w:val="32"/>
          <w:szCs w:val="32"/>
        </w:rPr>
        <w:t>切实把资金用在保障经济高质量发展的刀刃上</w:t>
      </w:r>
      <w:r>
        <w:rPr>
          <w:sz w:val="32"/>
          <w:szCs w:val="32"/>
          <w:lang w:val="zh-CN"/>
        </w:rPr>
        <w:t>。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 w:firstLineChars="200"/>
        <w:jc w:val="both"/>
        <w:rPr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（三）聚焦突破性创新，持之以恒推进改革攻坚。</w:t>
      </w:r>
      <w:r>
        <w:rPr>
          <w:sz w:val="32"/>
          <w:szCs w:val="32"/>
        </w:rPr>
        <w:t>一是深化预算绩效管理改革。加强预算绩效管理刚性约束。加快构建分行业、分领域、分层次的核心绩效指标和标准体系，实现科学合理、细化量化、可比可测、动态调整、共建共享。二是深化国资国企改革。指导推动国企信用等级全面跃升，有效降低企业融资成本，拓宽融资渠道。研究策划国企管理人员综合素质提升轮训机制，培养激发新时代国企的企业家精神，加快提升国企经营管理水平。三是深化“党建+”赋能行业全面发展。持续巩固行业主题教育成果，深化“红领赋能”模式，持续以高质量党建引领行业高质量发展。以党群服务中心为主阵地，深化一系列党群服务，不断创新服务载体，探索组建互动式、功能型行业链党组织，有效推动行业党组织互联互通。</w:t>
      </w:r>
    </w:p>
    <w:p>
      <w:pPr>
        <w:pStyle w:val="6"/>
        <w:pBdr>
          <w:bottom w:val="single" w:color="FFFFFF" w:sz="4" w:space="31"/>
        </w:pBdr>
        <w:spacing w:after="0" w:line="600" w:lineRule="exact"/>
        <w:ind w:firstLine="640" w:firstLineChars="200"/>
        <w:jc w:val="both"/>
        <w:rPr>
          <w:sz w:val="32"/>
          <w:szCs w:val="32"/>
        </w:rPr>
      </w:pPr>
      <w:r>
        <w:rPr>
          <w:rStyle w:val="11"/>
          <w:rFonts w:eastAsia="楷体_GB2312"/>
          <w:b w:val="0"/>
          <w:bCs/>
          <w:sz w:val="32"/>
          <w:szCs w:val="32"/>
        </w:rPr>
        <w:t>（四）聚焦多元化锤炼，勤廉并重锻造铁军团队。</w:t>
      </w:r>
      <w:r>
        <w:rPr>
          <w:sz w:val="32"/>
          <w:szCs w:val="32"/>
        </w:rPr>
        <w:t>一是加强政治建设。始终把“学思想”作为首要任务和贯穿始终的主线。把政治建设放在首位，引导全局党员干部坚定“干事且干净、干净加干事、干事能成事”的勤廉追求落实到实际工作中。二是提升干部能力。加强干部队伍建设，全面提升财政干部塑造变革能力。进一步加强年轻干部培养塑造，优化干部队伍结构和布局，为财政事业发展提供人才支撑。三是打造标志性成果。牢固树立“没有领先就是落后、没有特色就是问题、没有用心就是懒政”理念，以特色工作为引领打造标志性成果，努力确保各项工作继续走在全区前列、财政系统前列。</w:t>
      </w:r>
    </w:p>
    <w:p>
      <w:pPr>
        <w:pStyle w:val="6"/>
        <w:pBdr>
          <w:bottom w:val="single" w:color="FFFFFF" w:sz="4" w:space="31"/>
        </w:pBdr>
        <w:autoSpaceDN w:val="0"/>
        <w:spacing w:after="0" w:line="600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2024年，我们将更加紧密地团结在以习近平同志为核心的党中央周围，在区委、区政府的坚强领导下，以高度的使命感、责任感，奋力拼搏、开拓进取，高质量完成各项工作目标，为我区奋力打造科教文创高地活力品质城区作出新的更大贡献！</w:t>
      </w:r>
    </w:p>
    <w:sectPr>
      <w:footerReference r:id="rId5" w:type="default"/>
      <w:footerReference r:id="rId6" w:type="even"/>
      <w:pgSz w:w="11906" w:h="16838"/>
      <w:pgMar w:top="1440" w:right="1701" w:bottom="1440" w:left="1701" w:header="851" w:footer="850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517377"/>
    </w:sdtPr>
    <w:sdtEndPr>
      <w:rPr>
        <w:sz w:val="24"/>
      </w:rPr>
    </w:sdtEndPr>
    <w:sdtContent>
      <w:p>
        <w:pPr>
          <w:pStyle w:val="4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"/>
    </w:sdtPr>
    <w:sdtEndPr>
      <w:rPr>
        <w:sz w:val="24"/>
      </w:rPr>
    </w:sdtEndPr>
    <w:sdtContent>
      <w:p>
        <w:pPr>
          <w:pStyle w:val="4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F44A2"/>
    <w:multiLevelType w:val="singleLevel"/>
    <w:tmpl w:val="659F44A2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eastAsia="楷体_GB2312"/>
      </w:rPr>
    </w:lvl>
  </w:abstractNum>
  <w:abstractNum w:abstractNumId="1">
    <w:nsid w:val="659F450E"/>
    <w:multiLevelType w:val="singleLevel"/>
    <w:tmpl w:val="659F450E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楷体_GB2312" w:cs="Times New Roman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2I5NDlmMGU3MWEzMmFjZDQ1YTViMzAxNzAzMzYifQ=="/>
    <w:docVar w:name="KSO_WPS_MARK_KEY" w:val="43534876-207b-45f9-87a3-52f383f0c77f"/>
  </w:docVars>
  <w:rsids>
    <w:rsidRoot w:val="45051088"/>
    <w:rsid w:val="0000037D"/>
    <w:rsid w:val="000031CF"/>
    <w:rsid w:val="00003A41"/>
    <w:rsid w:val="00004321"/>
    <w:rsid w:val="00014227"/>
    <w:rsid w:val="0001499E"/>
    <w:rsid w:val="000160A4"/>
    <w:rsid w:val="00025917"/>
    <w:rsid w:val="00027E4E"/>
    <w:rsid w:val="00037030"/>
    <w:rsid w:val="0003726A"/>
    <w:rsid w:val="000440D5"/>
    <w:rsid w:val="00044953"/>
    <w:rsid w:val="000458B3"/>
    <w:rsid w:val="000471D6"/>
    <w:rsid w:val="0004748E"/>
    <w:rsid w:val="00051DFE"/>
    <w:rsid w:val="000536A8"/>
    <w:rsid w:val="00053AF3"/>
    <w:rsid w:val="00056BB9"/>
    <w:rsid w:val="00056C1A"/>
    <w:rsid w:val="000617A3"/>
    <w:rsid w:val="00062003"/>
    <w:rsid w:val="00063CE6"/>
    <w:rsid w:val="0006410A"/>
    <w:rsid w:val="00066EDB"/>
    <w:rsid w:val="00073310"/>
    <w:rsid w:val="000740C7"/>
    <w:rsid w:val="00074CD4"/>
    <w:rsid w:val="00075620"/>
    <w:rsid w:val="0007576C"/>
    <w:rsid w:val="00076D03"/>
    <w:rsid w:val="00081500"/>
    <w:rsid w:val="00081707"/>
    <w:rsid w:val="00081E5E"/>
    <w:rsid w:val="00081EF8"/>
    <w:rsid w:val="00084B3E"/>
    <w:rsid w:val="00090462"/>
    <w:rsid w:val="00090F82"/>
    <w:rsid w:val="0009516A"/>
    <w:rsid w:val="000951C6"/>
    <w:rsid w:val="00095D70"/>
    <w:rsid w:val="00097506"/>
    <w:rsid w:val="000A0C6B"/>
    <w:rsid w:val="000A135C"/>
    <w:rsid w:val="000A202C"/>
    <w:rsid w:val="000A39CD"/>
    <w:rsid w:val="000A44C9"/>
    <w:rsid w:val="000A48E4"/>
    <w:rsid w:val="000A49D5"/>
    <w:rsid w:val="000A7182"/>
    <w:rsid w:val="000B1D7B"/>
    <w:rsid w:val="000B3E64"/>
    <w:rsid w:val="000B5ED8"/>
    <w:rsid w:val="000B61B5"/>
    <w:rsid w:val="000B7294"/>
    <w:rsid w:val="000B7D1A"/>
    <w:rsid w:val="000C0F99"/>
    <w:rsid w:val="000C2789"/>
    <w:rsid w:val="000C466F"/>
    <w:rsid w:val="000C6106"/>
    <w:rsid w:val="000C6814"/>
    <w:rsid w:val="000D097B"/>
    <w:rsid w:val="000D0E6A"/>
    <w:rsid w:val="000D2038"/>
    <w:rsid w:val="000D3BA6"/>
    <w:rsid w:val="000D7042"/>
    <w:rsid w:val="000E3D31"/>
    <w:rsid w:val="000E4D58"/>
    <w:rsid w:val="000E5812"/>
    <w:rsid w:val="000E5C9A"/>
    <w:rsid w:val="000E66CA"/>
    <w:rsid w:val="000E743D"/>
    <w:rsid w:val="000F0E05"/>
    <w:rsid w:val="000F2A91"/>
    <w:rsid w:val="000F3444"/>
    <w:rsid w:val="000F4664"/>
    <w:rsid w:val="000F5BAB"/>
    <w:rsid w:val="000F62F3"/>
    <w:rsid w:val="0010077D"/>
    <w:rsid w:val="001066A4"/>
    <w:rsid w:val="00106DF5"/>
    <w:rsid w:val="00111506"/>
    <w:rsid w:val="00113D40"/>
    <w:rsid w:val="00114132"/>
    <w:rsid w:val="00114503"/>
    <w:rsid w:val="001265CE"/>
    <w:rsid w:val="00127358"/>
    <w:rsid w:val="0013074C"/>
    <w:rsid w:val="00131B90"/>
    <w:rsid w:val="00131E78"/>
    <w:rsid w:val="0013284B"/>
    <w:rsid w:val="00133F98"/>
    <w:rsid w:val="001344F0"/>
    <w:rsid w:val="00136242"/>
    <w:rsid w:val="00136DD9"/>
    <w:rsid w:val="0014354A"/>
    <w:rsid w:val="00143556"/>
    <w:rsid w:val="00146DB0"/>
    <w:rsid w:val="00151D6B"/>
    <w:rsid w:val="00152F5E"/>
    <w:rsid w:val="00153117"/>
    <w:rsid w:val="00153400"/>
    <w:rsid w:val="001535E1"/>
    <w:rsid w:val="00153CCC"/>
    <w:rsid w:val="00155A73"/>
    <w:rsid w:val="001569B9"/>
    <w:rsid w:val="001578EC"/>
    <w:rsid w:val="00160298"/>
    <w:rsid w:val="001625FC"/>
    <w:rsid w:val="00162F5D"/>
    <w:rsid w:val="00164CCE"/>
    <w:rsid w:val="001667CA"/>
    <w:rsid w:val="001716E0"/>
    <w:rsid w:val="00172501"/>
    <w:rsid w:val="00173F2A"/>
    <w:rsid w:val="0017683D"/>
    <w:rsid w:val="0017706C"/>
    <w:rsid w:val="001776AA"/>
    <w:rsid w:val="00184B3E"/>
    <w:rsid w:val="00186DD9"/>
    <w:rsid w:val="00191833"/>
    <w:rsid w:val="00191C0D"/>
    <w:rsid w:val="00192D8D"/>
    <w:rsid w:val="00193C3A"/>
    <w:rsid w:val="001A07E7"/>
    <w:rsid w:val="001A232C"/>
    <w:rsid w:val="001A4E7F"/>
    <w:rsid w:val="001B0441"/>
    <w:rsid w:val="001B0B1B"/>
    <w:rsid w:val="001B1AA6"/>
    <w:rsid w:val="001B6086"/>
    <w:rsid w:val="001B63D9"/>
    <w:rsid w:val="001C0069"/>
    <w:rsid w:val="001C052D"/>
    <w:rsid w:val="001C1EAC"/>
    <w:rsid w:val="001C2E0B"/>
    <w:rsid w:val="001C451B"/>
    <w:rsid w:val="001C45AD"/>
    <w:rsid w:val="001C63C5"/>
    <w:rsid w:val="001D1629"/>
    <w:rsid w:val="001D235F"/>
    <w:rsid w:val="001D6995"/>
    <w:rsid w:val="001E1E7B"/>
    <w:rsid w:val="001E1F40"/>
    <w:rsid w:val="001E6873"/>
    <w:rsid w:val="001E6B0A"/>
    <w:rsid w:val="001E6F3B"/>
    <w:rsid w:val="001F3255"/>
    <w:rsid w:val="001F3D47"/>
    <w:rsid w:val="001F4C7B"/>
    <w:rsid w:val="001F6A02"/>
    <w:rsid w:val="001F7986"/>
    <w:rsid w:val="00201088"/>
    <w:rsid w:val="00202047"/>
    <w:rsid w:val="00206486"/>
    <w:rsid w:val="00207B12"/>
    <w:rsid w:val="00210949"/>
    <w:rsid w:val="00210B8E"/>
    <w:rsid w:val="00215B44"/>
    <w:rsid w:val="00216284"/>
    <w:rsid w:val="00220C43"/>
    <w:rsid w:val="00222A98"/>
    <w:rsid w:val="00225346"/>
    <w:rsid w:val="002274CE"/>
    <w:rsid w:val="002279FF"/>
    <w:rsid w:val="00230352"/>
    <w:rsid w:val="002333B2"/>
    <w:rsid w:val="00233883"/>
    <w:rsid w:val="00234DA2"/>
    <w:rsid w:val="00236563"/>
    <w:rsid w:val="002405F8"/>
    <w:rsid w:val="002408E9"/>
    <w:rsid w:val="00244035"/>
    <w:rsid w:val="00245CD3"/>
    <w:rsid w:val="002505E3"/>
    <w:rsid w:val="00251E40"/>
    <w:rsid w:val="00253187"/>
    <w:rsid w:val="00254859"/>
    <w:rsid w:val="00255BBC"/>
    <w:rsid w:val="002561F9"/>
    <w:rsid w:val="0025636B"/>
    <w:rsid w:val="0025687B"/>
    <w:rsid w:val="0026010D"/>
    <w:rsid w:val="00262B6F"/>
    <w:rsid w:val="0026509D"/>
    <w:rsid w:val="00267556"/>
    <w:rsid w:val="00270A90"/>
    <w:rsid w:val="00270CEB"/>
    <w:rsid w:val="00271C44"/>
    <w:rsid w:val="00277599"/>
    <w:rsid w:val="0028320A"/>
    <w:rsid w:val="00283989"/>
    <w:rsid w:val="00285780"/>
    <w:rsid w:val="00291DCF"/>
    <w:rsid w:val="00294915"/>
    <w:rsid w:val="002960C6"/>
    <w:rsid w:val="002977DC"/>
    <w:rsid w:val="00297E08"/>
    <w:rsid w:val="002A3A98"/>
    <w:rsid w:val="002A7548"/>
    <w:rsid w:val="002B2847"/>
    <w:rsid w:val="002B2DC8"/>
    <w:rsid w:val="002B4011"/>
    <w:rsid w:val="002B4782"/>
    <w:rsid w:val="002B4AAB"/>
    <w:rsid w:val="002B4E76"/>
    <w:rsid w:val="002B55B1"/>
    <w:rsid w:val="002B6A1D"/>
    <w:rsid w:val="002B7AB1"/>
    <w:rsid w:val="002C0DC1"/>
    <w:rsid w:val="002C146A"/>
    <w:rsid w:val="002C2828"/>
    <w:rsid w:val="002D3B21"/>
    <w:rsid w:val="002E00AD"/>
    <w:rsid w:val="002E17E0"/>
    <w:rsid w:val="002E1DA5"/>
    <w:rsid w:val="002E41A3"/>
    <w:rsid w:val="002E600C"/>
    <w:rsid w:val="002E6BE9"/>
    <w:rsid w:val="002E6EB2"/>
    <w:rsid w:val="002F0147"/>
    <w:rsid w:val="002F1277"/>
    <w:rsid w:val="002F34E3"/>
    <w:rsid w:val="002F5A66"/>
    <w:rsid w:val="002F7520"/>
    <w:rsid w:val="00304BFB"/>
    <w:rsid w:val="00305899"/>
    <w:rsid w:val="00305B58"/>
    <w:rsid w:val="00305F90"/>
    <w:rsid w:val="003062D0"/>
    <w:rsid w:val="003065F9"/>
    <w:rsid w:val="003108C0"/>
    <w:rsid w:val="00320C34"/>
    <w:rsid w:val="00324165"/>
    <w:rsid w:val="003259EB"/>
    <w:rsid w:val="00326009"/>
    <w:rsid w:val="00327B6B"/>
    <w:rsid w:val="003341C4"/>
    <w:rsid w:val="00335102"/>
    <w:rsid w:val="0033567F"/>
    <w:rsid w:val="00336FAC"/>
    <w:rsid w:val="00340F93"/>
    <w:rsid w:val="00341F67"/>
    <w:rsid w:val="00342E07"/>
    <w:rsid w:val="00346CFB"/>
    <w:rsid w:val="003543CF"/>
    <w:rsid w:val="0035457C"/>
    <w:rsid w:val="0035684E"/>
    <w:rsid w:val="003578CD"/>
    <w:rsid w:val="00360500"/>
    <w:rsid w:val="00361122"/>
    <w:rsid w:val="003644B0"/>
    <w:rsid w:val="00364EF1"/>
    <w:rsid w:val="00365260"/>
    <w:rsid w:val="0036689D"/>
    <w:rsid w:val="003669F8"/>
    <w:rsid w:val="00370041"/>
    <w:rsid w:val="0037048A"/>
    <w:rsid w:val="00371D77"/>
    <w:rsid w:val="003721E4"/>
    <w:rsid w:val="00375008"/>
    <w:rsid w:val="00384963"/>
    <w:rsid w:val="00385094"/>
    <w:rsid w:val="00394D09"/>
    <w:rsid w:val="003979AB"/>
    <w:rsid w:val="003A2CEC"/>
    <w:rsid w:val="003A5C3F"/>
    <w:rsid w:val="003A6F30"/>
    <w:rsid w:val="003A7009"/>
    <w:rsid w:val="003A7D73"/>
    <w:rsid w:val="003B1086"/>
    <w:rsid w:val="003B2901"/>
    <w:rsid w:val="003B48CA"/>
    <w:rsid w:val="003B66EC"/>
    <w:rsid w:val="003C255A"/>
    <w:rsid w:val="003C2A28"/>
    <w:rsid w:val="003C5DED"/>
    <w:rsid w:val="003C7B6E"/>
    <w:rsid w:val="003C7E09"/>
    <w:rsid w:val="003D245F"/>
    <w:rsid w:val="003D2BFB"/>
    <w:rsid w:val="003D39B5"/>
    <w:rsid w:val="003D4C08"/>
    <w:rsid w:val="003D747A"/>
    <w:rsid w:val="003E00CD"/>
    <w:rsid w:val="003E1B88"/>
    <w:rsid w:val="003E4812"/>
    <w:rsid w:val="003E5131"/>
    <w:rsid w:val="003E66B6"/>
    <w:rsid w:val="003F0385"/>
    <w:rsid w:val="003F09A2"/>
    <w:rsid w:val="003F1B61"/>
    <w:rsid w:val="003F3F69"/>
    <w:rsid w:val="00401E8E"/>
    <w:rsid w:val="00403DC7"/>
    <w:rsid w:val="00406AE8"/>
    <w:rsid w:val="00406DFA"/>
    <w:rsid w:val="00410901"/>
    <w:rsid w:val="00410C96"/>
    <w:rsid w:val="00411701"/>
    <w:rsid w:val="00411B5F"/>
    <w:rsid w:val="00412C06"/>
    <w:rsid w:val="00413627"/>
    <w:rsid w:val="00413B7B"/>
    <w:rsid w:val="00413F27"/>
    <w:rsid w:val="004163E5"/>
    <w:rsid w:val="00417A4F"/>
    <w:rsid w:val="00425D64"/>
    <w:rsid w:val="00430CB3"/>
    <w:rsid w:val="00435007"/>
    <w:rsid w:val="00435528"/>
    <w:rsid w:val="0044048D"/>
    <w:rsid w:val="004438A4"/>
    <w:rsid w:val="00446040"/>
    <w:rsid w:val="0045015F"/>
    <w:rsid w:val="00453A92"/>
    <w:rsid w:val="0045482F"/>
    <w:rsid w:val="0045499C"/>
    <w:rsid w:val="0046026D"/>
    <w:rsid w:val="00461535"/>
    <w:rsid w:val="00464452"/>
    <w:rsid w:val="004648EE"/>
    <w:rsid w:val="00464F5B"/>
    <w:rsid w:val="00465CDC"/>
    <w:rsid w:val="004707E1"/>
    <w:rsid w:val="00471C2D"/>
    <w:rsid w:val="00472404"/>
    <w:rsid w:val="004765C0"/>
    <w:rsid w:val="00476613"/>
    <w:rsid w:val="00476692"/>
    <w:rsid w:val="00477101"/>
    <w:rsid w:val="0048329F"/>
    <w:rsid w:val="00484598"/>
    <w:rsid w:val="00492355"/>
    <w:rsid w:val="004923EF"/>
    <w:rsid w:val="00493BC4"/>
    <w:rsid w:val="00495001"/>
    <w:rsid w:val="0049538D"/>
    <w:rsid w:val="00496394"/>
    <w:rsid w:val="004A13C4"/>
    <w:rsid w:val="004A2114"/>
    <w:rsid w:val="004A3144"/>
    <w:rsid w:val="004A36A5"/>
    <w:rsid w:val="004A36D5"/>
    <w:rsid w:val="004A5BC5"/>
    <w:rsid w:val="004A5C0F"/>
    <w:rsid w:val="004A6803"/>
    <w:rsid w:val="004B0047"/>
    <w:rsid w:val="004B4FC1"/>
    <w:rsid w:val="004B5C7D"/>
    <w:rsid w:val="004B6D24"/>
    <w:rsid w:val="004C157D"/>
    <w:rsid w:val="004C1625"/>
    <w:rsid w:val="004C6CA0"/>
    <w:rsid w:val="004C75C6"/>
    <w:rsid w:val="004D1F13"/>
    <w:rsid w:val="004D3011"/>
    <w:rsid w:val="004D3A72"/>
    <w:rsid w:val="004D466C"/>
    <w:rsid w:val="004D6A5A"/>
    <w:rsid w:val="004D7D21"/>
    <w:rsid w:val="004E00DC"/>
    <w:rsid w:val="004E0747"/>
    <w:rsid w:val="004E18E6"/>
    <w:rsid w:val="004E2E0D"/>
    <w:rsid w:val="004E380C"/>
    <w:rsid w:val="004E55AB"/>
    <w:rsid w:val="004E5B22"/>
    <w:rsid w:val="004F0F2F"/>
    <w:rsid w:val="004F3F1C"/>
    <w:rsid w:val="004F4F81"/>
    <w:rsid w:val="004F550A"/>
    <w:rsid w:val="004F5C70"/>
    <w:rsid w:val="004F60B6"/>
    <w:rsid w:val="004F744B"/>
    <w:rsid w:val="0050024D"/>
    <w:rsid w:val="0050161C"/>
    <w:rsid w:val="00502E98"/>
    <w:rsid w:val="005033B2"/>
    <w:rsid w:val="00504BAE"/>
    <w:rsid w:val="005102DB"/>
    <w:rsid w:val="00512074"/>
    <w:rsid w:val="00512470"/>
    <w:rsid w:val="0051305C"/>
    <w:rsid w:val="0052109D"/>
    <w:rsid w:val="00523CD0"/>
    <w:rsid w:val="005261D1"/>
    <w:rsid w:val="00526782"/>
    <w:rsid w:val="005354E9"/>
    <w:rsid w:val="00543E65"/>
    <w:rsid w:val="005458A8"/>
    <w:rsid w:val="00552864"/>
    <w:rsid w:val="00555ABF"/>
    <w:rsid w:val="0055632A"/>
    <w:rsid w:val="00564B17"/>
    <w:rsid w:val="00564CAC"/>
    <w:rsid w:val="00564DBF"/>
    <w:rsid w:val="0056653D"/>
    <w:rsid w:val="00567692"/>
    <w:rsid w:val="00571D8E"/>
    <w:rsid w:val="00573A79"/>
    <w:rsid w:val="00576AC9"/>
    <w:rsid w:val="00576F02"/>
    <w:rsid w:val="00580F63"/>
    <w:rsid w:val="005812E7"/>
    <w:rsid w:val="00583FBC"/>
    <w:rsid w:val="00584FB6"/>
    <w:rsid w:val="005869EE"/>
    <w:rsid w:val="00591451"/>
    <w:rsid w:val="005920EA"/>
    <w:rsid w:val="005923E4"/>
    <w:rsid w:val="00594AAA"/>
    <w:rsid w:val="005951BD"/>
    <w:rsid w:val="005972C0"/>
    <w:rsid w:val="005A0B9B"/>
    <w:rsid w:val="005A1DAF"/>
    <w:rsid w:val="005A2434"/>
    <w:rsid w:val="005A3FB0"/>
    <w:rsid w:val="005A457F"/>
    <w:rsid w:val="005A65D9"/>
    <w:rsid w:val="005A7003"/>
    <w:rsid w:val="005A7502"/>
    <w:rsid w:val="005A7ECA"/>
    <w:rsid w:val="005B1B11"/>
    <w:rsid w:val="005B43EA"/>
    <w:rsid w:val="005C14BD"/>
    <w:rsid w:val="005C20CA"/>
    <w:rsid w:val="005C39FC"/>
    <w:rsid w:val="005C44C2"/>
    <w:rsid w:val="005C46CF"/>
    <w:rsid w:val="005C60E6"/>
    <w:rsid w:val="005C7453"/>
    <w:rsid w:val="005D13CA"/>
    <w:rsid w:val="005D27C0"/>
    <w:rsid w:val="005D30AC"/>
    <w:rsid w:val="005D5107"/>
    <w:rsid w:val="005D7429"/>
    <w:rsid w:val="005E0440"/>
    <w:rsid w:val="005E19F8"/>
    <w:rsid w:val="005E2950"/>
    <w:rsid w:val="005E2FB0"/>
    <w:rsid w:val="005F0595"/>
    <w:rsid w:val="005F0CEC"/>
    <w:rsid w:val="005F2502"/>
    <w:rsid w:val="005F39B4"/>
    <w:rsid w:val="005F6240"/>
    <w:rsid w:val="005F6490"/>
    <w:rsid w:val="005F6694"/>
    <w:rsid w:val="005F67B8"/>
    <w:rsid w:val="0060161D"/>
    <w:rsid w:val="006038EB"/>
    <w:rsid w:val="00603917"/>
    <w:rsid w:val="0060464D"/>
    <w:rsid w:val="00605794"/>
    <w:rsid w:val="00606514"/>
    <w:rsid w:val="00606DF0"/>
    <w:rsid w:val="00606F98"/>
    <w:rsid w:val="00611CD6"/>
    <w:rsid w:val="0061333B"/>
    <w:rsid w:val="00615570"/>
    <w:rsid w:val="0061719C"/>
    <w:rsid w:val="006218BD"/>
    <w:rsid w:val="00623619"/>
    <w:rsid w:val="0062537A"/>
    <w:rsid w:val="006267A8"/>
    <w:rsid w:val="00630647"/>
    <w:rsid w:val="006312CB"/>
    <w:rsid w:val="00633FEA"/>
    <w:rsid w:val="0063513F"/>
    <w:rsid w:val="006366DE"/>
    <w:rsid w:val="00637108"/>
    <w:rsid w:val="006371FA"/>
    <w:rsid w:val="006418F3"/>
    <w:rsid w:val="006466C7"/>
    <w:rsid w:val="00646FA7"/>
    <w:rsid w:val="006534A4"/>
    <w:rsid w:val="006546DF"/>
    <w:rsid w:val="00654A7D"/>
    <w:rsid w:val="00657AD3"/>
    <w:rsid w:val="00657D26"/>
    <w:rsid w:val="00662C6D"/>
    <w:rsid w:val="00663EC6"/>
    <w:rsid w:val="00670217"/>
    <w:rsid w:val="00672A8C"/>
    <w:rsid w:val="00673F81"/>
    <w:rsid w:val="0067660F"/>
    <w:rsid w:val="00681075"/>
    <w:rsid w:val="00681862"/>
    <w:rsid w:val="006823A5"/>
    <w:rsid w:val="006833A7"/>
    <w:rsid w:val="00685583"/>
    <w:rsid w:val="006904C3"/>
    <w:rsid w:val="00692FF1"/>
    <w:rsid w:val="006963B0"/>
    <w:rsid w:val="00696AF1"/>
    <w:rsid w:val="00696B9D"/>
    <w:rsid w:val="00696EBA"/>
    <w:rsid w:val="00697212"/>
    <w:rsid w:val="006A057E"/>
    <w:rsid w:val="006A0AFD"/>
    <w:rsid w:val="006A509E"/>
    <w:rsid w:val="006A76B1"/>
    <w:rsid w:val="006B3DE1"/>
    <w:rsid w:val="006B5509"/>
    <w:rsid w:val="006B6A25"/>
    <w:rsid w:val="006B730B"/>
    <w:rsid w:val="006C33D8"/>
    <w:rsid w:val="006C6159"/>
    <w:rsid w:val="006C7692"/>
    <w:rsid w:val="006C79A2"/>
    <w:rsid w:val="006D0A20"/>
    <w:rsid w:val="006D1DAD"/>
    <w:rsid w:val="006D2F30"/>
    <w:rsid w:val="006D3D2F"/>
    <w:rsid w:val="006D63FF"/>
    <w:rsid w:val="006E0E29"/>
    <w:rsid w:val="006E4752"/>
    <w:rsid w:val="006E57E3"/>
    <w:rsid w:val="006E5DCA"/>
    <w:rsid w:val="006E7033"/>
    <w:rsid w:val="006F6018"/>
    <w:rsid w:val="00701408"/>
    <w:rsid w:val="00701430"/>
    <w:rsid w:val="00704B03"/>
    <w:rsid w:val="00715E32"/>
    <w:rsid w:val="0071756D"/>
    <w:rsid w:val="00721960"/>
    <w:rsid w:val="00722935"/>
    <w:rsid w:val="00723363"/>
    <w:rsid w:val="007238CD"/>
    <w:rsid w:val="00725DAE"/>
    <w:rsid w:val="007276AA"/>
    <w:rsid w:val="00735E8F"/>
    <w:rsid w:val="00736602"/>
    <w:rsid w:val="00737BA1"/>
    <w:rsid w:val="00740B52"/>
    <w:rsid w:val="00740BD5"/>
    <w:rsid w:val="00740E7C"/>
    <w:rsid w:val="00752A9F"/>
    <w:rsid w:val="00753B23"/>
    <w:rsid w:val="007545F4"/>
    <w:rsid w:val="00754C08"/>
    <w:rsid w:val="00756D63"/>
    <w:rsid w:val="007626EC"/>
    <w:rsid w:val="0076376B"/>
    <w:rsid w:val="00763810"/>
    <w:rsid w:val="00764079"/>
    <w:rsid w:val="007668F9"/>
    <w:rsid w:val="00767C93"/>
    <w:rsid w:val="0077071A"/>
    <w:rsid w:val="0077086E"/>
    <w:rsid w:val="00773E93"/>
    <w:rsid w:val="00775759"/>
    <w:rsid w:val="00777448"/>
    <w:rsid w:val="00777E96"/>
    <w:rsid w:val="00782E42"/>
    <w:rsid w:val="007861B3"/>
    <w:rsid w:val="007911E2"/>
    <w:rsid w:val="00791251"/>
    <w:rsid w:val="007922A8"/>
    <w:rsid w:val="00794D09"/>
    <w:rsid w:val="007964C2"/>
    <w:rsid w:val="00796F90"/>
    <w:rsid w:val="007A0A4E"/>
    <w:rsid w:val="007A39B7"/>
    <w:rsid w:val="007A5CB6"/>
    <w:rsid w:val="007A7CB2"/>
    <w:rsid w:val="007B00EB"/>
    <w:rsid w:val="007B0180"/>
    <w:rsid w:val="007B19E7"/>
    <w:rsid w:val="007B411F"/>
    <w:rsid w:val="007B4DF1"/>
    <w:rsid w:val="007B71D8"/>
    <w:rsid w:val="007C10F9"/>
    <w:rsid w:val="007C3772"/>
    <w:rsid w:val="007C3824"/>
    <w:rsid w:val="007C6025"/>
    <w:rsid w:val="007D1FAC"/>
    <w:rsid w:val="007D342C"/>
    <w:rsid w:val="007D3CC7"/>
    <w:rsid w:val="007D5A70"/>
    <w:rsid w:val="007D73C1"/>
    <w:rsid w:val="007D798F"/>
    <w:rsid w:val="007E656D"/>
    <w:rsid w:val="007F103E"/>
    <w:rsid w:val="007F3553"/>
    <w:rsid w:val="007F51D9"/>
    <w:rsid w:val="007F68BD"/>
    <w:rsid w:val="007F7796"/>
    <w:rsid w:val="008001BA"/>
    <w:rsid w:val="0080066C"/>
    <w:rsid w:val="00806CE5"/>
    <w:rsid w:val="00807748"/>
    <w:rsid w:val="00815CC7"/>
    <w:rsid w:val="00817D26"/>
    <w:rsid w:val="00820831"/>
    <w:rsid w:val="00826807"/>
    <w:rsid w:val="00830B63"/>
    <w:rsid w:val="008335F1"/>
    <w:rsid w:val="0083504F"/>
    <w:rsid w:val="00836263"/>
    <w:rsid w:val="00837328"/>
    <w:rsid w:val="0085042D"/>
    <w:rsid w:val="00853EB9"/>
    <w:rsid w:val="00854F21"/>
    <w:rsid w:val="00854FC0"/>
    <w:rsid w:val="00860B00"/>
    <w:rsid w:val="00865102"/>
    <w:rsid w:val="00865644"/>
    <w:rsid w:val="00866324"/>
    <w:rsid w:val="00866401"/>
    <w:rsid w:val="00866863"/>
    <w:rsid w:val="008716C1"/>
    <w:rsid w:val="008717F8"/>
    <w:rsid w:val="00871CB2"/>
    <w:rsid w:val="008731FD"/>
    <w:rsid w:val="00882931"/>
    <w:rsid w:val="008878A1"/>
    <w:rsid w:val="00891E0F"/>
    <w:rsid w:val="00891F3F"/>
    <w:rsid w:val="00892475"/>
    <w:rsid w:val="008929EF"/>
    <w:rsid w:val="0089732D"/>
    <w:rsid w:val="00897514"/>
    <w:rsid w:val="008A013C"/>
    <w:rsid w:val="008A5606"/>
    <w:rsid w:val="008A6823"/>
    <w:rsid w:val="008B0483"/>
    <w:rsid w:val="008B0FB0"/>
    <w:rsid w:val="008B176C"/>
    <w:rsid w:val="008B3AA0"/>
    <w:rsid w:val="008B70B8"/>
    <w:rsid w:val="008B7798"/>
    <w:rsid w:val="008B7C1B"/>
    <w:rsid w:val="008C120C"/>
    <w:rsid w:val="008C1F1B"/>
    <w:rsid w:val="008C410D"/>
    <w:rsid w:val="008C5CED"/>
    <w:rsid w:val="008D4518"/>
    <w:rsid w:val="008D705B"/>
    <w:rsid w:val="008E595F"/>
    <w:rsid w:val="008E5FAF"/>
    <w:rsid w:val="008E6204"/>
    <w:rsid w:val="008E67E4"/>
    <w:rsid w:val="008E791F"/>
    <w:rsid w:val="008E7FD4"/>
    <w:rsid w:val="008F0ED0"/>
    <w:rsid w:val="008F329A"/>
    <w:rsid w:val="008F3A99"/>
    <w:rsid w:val="008F5B12"/>
    <w:rsid w:val="00900505"/>
    <w:rsid w:val="009016C4"/>
    <w:rsid w:val="00901AB9"/>
    <w:rsid w:val="00902D86"/>
    <w:rsid w:val="00903E9C"/>
    <w:rsid w:val="00904070"/>
    <w:rsid w:val="00904B3B"/>
    <w:rsid w:val="009053B6"/>
    <w:rsid w:val="00905EB1"/>
    <w:rsid w:val="009060FC"/>
    <w:rsid w:val="00907E6A"/>
    <w:rsid w:val="00914EF8"/>
    <w:rsid w:val="00916255"/>
    <w:rsid w:val="00917FAF"/>
    <w:rsid w:val="00920F9E"/>
    <w:rsid w:val="00922265"/>
    <w:rsid w:val="00930DC7"/>
    <w:rsid w:val="00931FF3"/>
    <w:rsid w:val="00937EF7"/>
    <w:rsid w:val="009403EC"/>
    <w:rsid w:val="0094239D"/>
    <w:rsid w:val="00942D6E"/>
    <w:rsid w:val="00944F2C"/>
    <w:rsid w:val="0094587C"/>
    <w:rsid w:val="00945975"/>
    <w:rsid w:val="00951C9E"/>
    <w:rsid w:val="00953119"/>
    <w:rsid w:val="00953A56"/>
    <w:rsid w:val="00954468"/>
    <w:rsid w:val="009570A1"/>
    <w:rsid w:val="0096042D"/>
    <w:rsid w:val="00962D1B"/>
    <w:rsid w:val="0096764E"/>
    <w:rsid w:val="00974DEB"/>
    <w:rsid w:val="00976077"/>
    <w:rsid w:val="00976EB3"/>
    <w:rsid w:val="009773B0"/>
    <w:rsid w:val="00977DF8"/>
    <w:rsid w:val="00980F05"/>
    <w:rsid w:val="00981119"/>
    <w:rsid w:val="00982D68"/>
    <w:rsid w:val="00983D6C"/>
    <w:rsid w:val="009856CD"/>
    <w:rsid w:val="00985AC0"/>
    <w:rsid w:val="009869B4"/>
    <w:rsid w:val="00986DF5"/>
    <w:rsid w:val="0099317F"/>
    <w:rsid w:val="0099486C"/>
    <w:rsid w:val="009A0F11"/>
    <w:rsid w:val="009A3334"/>
    <w:rsid w:val="009A3E7E"/>
    <w:rsid w:val="009A5AE2"/>
    <w:rsid w:val="009B1C1F"/>
    <w:rsid w:val="009B4311"/>
    <w:rsid w:val="009B676E"/>
    <w:rsid w:val="009B7696"/>
    <w:rsid w:val="009C0B03"/>
    <w:rsid w:val="009C4213"/>
    <w:rsid w:val="009D072E"/>
    <w:rsid w:val="009D1977"/>
    <w:rsid w:val="009D314D"/>
    <w:rsid w:val="009D4105"/>
    <w:rsid w:val="009D4561"/>
    <w:rsid w:val="009D68AC"/>
    <w:rsid w:val="009E2638"/>
    <w:rsid w:val="009E5CCF"/>
    <w:rsid w:val="009E7A28"/>
    <w:rsid w:val="009F01EC"/>
    <w:rsid w:val="009F0ECE"/>
    <w:rsid w:val="009F37DA"/>
    <w:rsid w:val="009F40A4"/>
    <w:rsid w:val="009F4C93"/>
    <w:rsid w:val="009F6381"/>
    <w:rsid w:val="009F771D"/>
    <w:rsid w:val="00A00A82"/>
    <w:rsid w:val="00A018DB"/>
    <w:rsid w:val="00A04D50"/>
    <w:rsid w:val="00A05DD1"/>
    <w:rsid w:val="00A078C0"/>
    <w:rsid w:val="00A07B13"/>
    <w:rsid w:val="00A10D72"/>
    <w:rsid w:val="00A1115F"/>
    <w:rsid w:val="00A1165F"/>
    <w:rsid w:val="00A12747"/>
    <w:rsid w:val="00A12D74"/>
    <w:rsid w:val="00A130FE"/>
    <w:rsid w:val="00A169EF"/>
    <w:rsid w:val="00A17E25"/>
    <w:rsid w:val="00A20F8A"/>
    <w:rsid w:val="00A219A0"/>
    <w:rsid w:val="00A21EB1"/>
    <w:rsid w:val="00A24619"/>
    <w:rsid w:val="00A2529E"/>
    <w:rsid w:val="00A26845"/>
    <w:rsid w:val="00A31EB0"/>
    <w:rsid w:val="00A33E6E"/>
    <w:rsid w:val="00A3400D"/>
    <w:rsid w:val="00A35BD7"/>
    <w:rsid w:val="00A36A06"/>
    <w:rsid w:val="00A37ED1"/>
    <w:rsid w:val="00A40590"/>
    <w:rsid w:val="00A40A70"/>
    <w:rsid w:val="00A4208D"/>
    <w:rsid w:val="00A430E2"/>
    <w:rsid w:val="00A55E6B"/>
    <w:rsid w:val="00A56238"/>
    <w:rsid w:val="00A56448"/>
    <w:rsid w:val="00A56CD6"/>
    <w:rsid w:val="00A57A01"/>
    <w:rsid w:val="00A71AB6"/>
    <w:rsid w:val="00A71AF5"/>
    <w:rsid w:val="00A72DB3"/>
    <w:rsid w:val="00A759BF"/>
    <w:rsid w:val="00A7705E"/>
    <w:rsid w:val="00A80908"/>
    <w:rsid w:val="00A82FF5"/>
    <w:rsid w:val="00A83FFD"/>
    <w:rsid w:val="00A917AC"/>
    <w:rsid w:val="00A9228D"/>
    <w:rsid w:val="00A92CF4"/>
    <w:rsid w:val="00A93143"/>
    <w:rsid w:val="00A9378D"/>
    <w:rsid w:val="00A953A7"/>
    <w:rsid w:val="00A97A2E"/>
    <w:rsid w:val="00AA2A00"/>
    <w:rsid w:val="00AA3BA9"/>
    <w:rsid w:val="00AA533C"/>
    <w:rsid w:val="00AA613D"/>
    <w:rsid w:val="00AA6FF3"/>
    <w:rsid w:val="00AA7138"/>
    <w:rsid w:val="00AB03F2"/>
    <w:rsid w:val="00AB34D4"/>
    <w:rsid w:val="00AC02E7"/>
    <w:rsid w:val="00AC0EF0"/>
    <w:rsid w:val="00AC2B8C"/>
    <w:rsid w:val="00AC358D"/>
    <w:rsid w:val="00AC5071"/>
    <w:rsid w:val="00AC5BBF"/>
    <w:rsid w:val="00AC752B"/>
    <w:rsid w:val="00AC7A1D"/>
    <w:rsid w:val="00AD0A11"/>
    <w:rsid w:val="00AD3427"/>
    <w:rsid w:val="00AD3BBC"/>
    <w:rsid w:val="00AD4CD2"/>
    <w:rsid w:val="00AD5528"/>
    <w:rsid w:val="00AD663F"/>
    <w:rsid w:val="00AE07EB"/>
    <w:rsid w:val="00AE0D1C"/>
    <w:rsid w:val="00AE7D4F"/>
    <w:rsid w:val="00AF0724"/>
    <w:rsid w:val="00AF3BA4"/>
    <w:rsid w:val="00AF635D"/>
    <w:rsid w:val="00B00514"/>
    <w:rsid w:val="00B02102"/>
    <w:rsid w:val="00B02A1D"/>
    <w:rsid w:val="00B03FFD"/>
    <w:rsid w:val="00B06AAB"/>
    <w:rsid w:val="00B06B45"/>
    <w:rsid w:val="00B06F24"/>
    <w:rsid w:val="00B10E0D"/>
    <w:rsid w:val="00B116B5"/>
    <w:rsid w:val="00B12BCB"/>
    <w:rsid w:val="00B13360"/>
    <w:rsid w:val="00B1353C"/>
    <w:rsid w:val="00B15EB2"/>
    <w:rsid w:val="00B167D8"/>
    <w:rsid w:val="00B22701"/>
    <w:rsid w:val="00B250FE"/>
    <w:rsid w:val="00B266F3"/>
    <w:rsid w:val="00B26DF3"/>
    <w:rsid w:val="00B30F92"/>
    <w:rsid w:val="00B34E97"/>
    <w:rsid w:val="00B355BA"/>
    <w:rsid w:val="00B372EA"/>
    <w:rsid w:val="00B440A1"/>
    <w:rsid w:val="00B44207"/>
    <w:rsid w:val="00B44574"/>
    <w:rsid w:val="00B52B91"/>
    <w:rsid w:val="00B55803"/>
    <w:rsid w:val="00B618DA"/>
    <w:rsid w:val="00B63F8C"/>
    <w:rsid w:val="00B65238"/>
    <w:rsid w:val="00B666D7"/>
    <w:rsid w:val="00B66B17"/>
    <w:rsid w:val="00B70014"/>
    <w:rsid w:val="00B72E86"/>
    <w:rsid w:val="00B738F0"/>
    <w:rsid w:val="00B73D21"/>
    <w:rsid w:val="00B7671F"/>
    <w:rsid w:val="00B773A2"/>
    <w:rsid w:val="00B81C96"/>
    <w:rsid w:val="00B81DC5"/>
    <w:rsid w:val="00B81FFA"/>
    <w:rsid w:val="00B82B42"/>
    <w:rsid w:val="00B8783D"/>
    <w:rsid w:val="00B87DCC"/>
    <w:rsid w:val="00B91CB2"/>
    <w:rsid w:val="00B927AF"/>
    <w:rsid w:val="00B943D6"/>
    <w:rsid w:val="00B961C1"/>
    <w:rsid w:val="00BA0AD8"/>
    <w:rsid w:val="00BA1FB0"/>
    <w:rsid w:val="00BA263B"/>
    <w:rsid w:val="00BA3C7A"/>
    <w:rsid w:val="00BA679F"/>
    <w:rsid w:val="00BB0B8E"/>
    <w:rsid w:val="00BB372E"/>
    <w:rsid w:val="00BC08A6"/>
    <w:rsid w:val="00BC1351"/>
    <w:rsid w:val="00BC26C8"/>
    <w:rsid w:val="00BC29CB"/>
    <w:rsid w:val="00BC30C5"/>
    <w:rsid w:val="00BC630B"/>
    <w:rsid w:val="00BD13F3"/>
    <w:rsid w:val="00BD53BF"/>
    <w:rsid w:val="00BD76A0"/>
    <w:rsid w:val="00BD7A79"/>
    <w:rsid w:val="00BE08FD"/>
    <w:rsid w:val="00BE0A4F"/>
    <w:rsid w:val="00BE1ABC"/>
    <w:rsid w:val="00BE293F"/>
    <w:rsid w:val="00BE787A"/>
    <w:rsid w:val="00BE78BF"/>
    <w:rsid w:val="00BF0107"/>
    <w:rsid w:val="00BF0A4F"/>
    <w:rsid w:val="00C000BA"/>
    <w:rsid w:val="00C00F44"/>
    <w:rsid w:val="00C02A13"/>
    <w:rsid w:val="00C030E0"/>
    <w:rsid w:val="00C07B68"/>
    <w:rsid w:val="00C10142"/>
    <w:rsid w:val="00C12B88"/>
    <w:rsid w:val="00C1582C"/>
    <w:rsid w:val="00C16D14"/>
    <w:rsid w:val="00C217AA"/>
    <w:rsid w:val="00C21B90"/>
    <w:rsid w:val="00C25200"/>
    <w:rsid w:val="00C32075"/>
    <w:rsid w:val="00C32362"/>
    <w:rsid w:val="00C34BCA"/>
    <w:rsid w:val="00C35CB5"/>
    <w:rsid w:val="00C3759C"/>
    <w:rsid w:val="00C405E9"/>
    <w:rsid w:val="00C43FB0"/>
    <w:rsid w:val="00C508AD"/>
    <w:rsid w:val="00C50F28"/>
    <w:rsid w:val="00C52040"/>
    <w:rsid w:val="00C544A5"/>
    <w:rsid w:val="00C603FC"/>
    <w:rsid w:val="00C60D28"/>
    <w:rsid w:val="00C63AE5"/>
    <w:rsid w:val="00C63D85"/>
    <w:rsid w:val="00C6554A"/>
    <w:rsid w:val="00C65E2D"/>
    <w:rsid w:val="00C71073"/>
    <w:rsid w:val="00C71180"/>
    <w:rsid w:val="00C71910"/>
    <w:rsid w:val="00C81269"/>
    <w:rsid w:val="00C842B0"/>
    <w:rsid w:val="00C87A81"/>
    <w:rsid w:val="00C91147"/>
    <w:rsid w:val="00C9413E"/>
    <w:rsid w:val="00C958A8"/>
    <w:rsid w:val="00C97309"/>
    <w:rsid w:val="00CA04DE"/>
    <w:rsid w:val="00CA4AF4"/>
    <w:rsid w:val="00CA5476"/>
    <w:rsid w:val="00CA554F"/>
    <w:rsid w:val="00CA5B5A"/>
    <w:rsid w:val="00CB0794"/>
    <w:rsid w:val="00CB20A3"/>
    <w:rsid w:val="00CB3744"/>
    <w:rsid w:val="00CB4D5C"/>
    <w:rsid w:val="00CB6F04"/>
    <w:rsid w:val="00CC18E9"/>
    <w:rsid w:val="00CC1940"/>
    <w:rsid w:val="00CC36F4"/>
    <w:rsid w:val="00CD06BD"/>
    <w:rsid w:val="00CD2AE6"/>
    <w:rsid w:val="00CD3C20"/>
    <w:rsid w:val="00CE02B5"/>
    <w:rsid w:val="00CE1520"/>
    <w:rsid w:val="00CE2E52"/>
    <w:rsid w:val="00CE2EE9"/>
    <w:rsid w:val="00CE3B58"/>
    <w:rsid w:val="00CE435B"/>
    <w:rsid w:val="00CE6134"/>
    <w:rsid w:val="00CE6EC9"/>
    <w:rsid w:val="00CF093D"/>
    <w:rsid w:val="00CF1ADC"/>
    <w:rsid w:val="00CF3CF7"/>
    <w:rsid w:val="00CF41EF"/>
    <w:rsid w:val="00CF683B"/>
    <w:rsid w:val="00D03B50"/>
    <w:rsid w:val="00D075B1"/>
    <w:rsid w:val="00D075F2"/>
    <w:rsid w:val="00D138E1"/>
    <w:rsid w:val="00D16025"/>
    <w:rsid w:val="00D20AE9"/>
    <w:rsid w:val="00D234F0"/>
    <w:rsid w:val="00D3008D"/>
    <w:rsid w:val="00D31C97"/>
    <w:rsid w:val="00D4067C"/>
    <w:rsid w:val="00D417E3"/>
    <w:rsid w:val="00D4353F"/>
    <w:rsid w:val="00D4385A"/>
    <w:rsid w:val="00D4728C"/>
    <w:rsid w:val="00D47EB8"/>
    <w:rsid w:val="00D50051"/>
    <w:rsid w:val="00D5077B"/>
    <w:rsid w:val="00D53769"/>
    <w:rsid w:val="00D54159"/>
    <w:rsid w:val="00D62DB8"/>
    <w:rsid w:val="00D64B3D"/>
    <w:rsid w:val="00D6645C"/>
    <w:rsid w:val="00D67090"/>
    <w:rsid w:val="00D67B4A"/>
    <w:rsid w:val="00D74CFE"/>
    <w:rsid w:val="00D76DC3"/>
    <w:rsid w:val="00D77C25"/>
    <w:rsid w:val="00D82542"/>
    <w:rsid w:val="00D86A5F"/>
    <w:rsid w:val="00D86CE3"/>
    <w:rsid w:val="00D9292D"/>
    <w:rsid w:val="00D93041"/>
    <w:rsid w:val="00D9681F"/>
    <w:rsid w:val="00DA35B0"/>
    <w:rsid w:val="00DA5345"/>
    <w:rsid w:val="00DB12DC"/>
    <w:rsid w:val="00DB17E4"/>
    <w:rsid w:val="00DB2094"/>
    <w:rsid w:val="00DB3854"/>
    <w:rsid w:val="00DB5A73"/>
    <w:rsid w:val="00DB79AE"/>
    <w:rsid w:val="00DC10AB"/>
    <w:rsid w:val="00DC1630"/>
    <w:rsid w:val="00DC2139"/>
    <w:rsid w:val="00DC3BC4"/>
    <w:rsid w:val="00DC626C"/>
    <w:rsid w:val="00DC68F9"/>
    <w:rsid w:val="00DC76D6"/>
    <w:rsid w:val="00DC7A00"/>
    <w:rsid w:val="00DD3C09"/>
    <w:rsid w:val="00DD462C"/>
    <w:rsid w:val="00DD4793"/>
    <w:rsid w:val="00DD7D4F"/>
    <w:rsid w:val="00DD7F0A"/>
    <w:rsid w:val="00DE066B"/>
    <w:rsid w:val="00DE08D7"/>
    <w:rsid w:val="00DE16AD"/>
    <w:rsid w:val="00DF0C0C"/>
    <w:rsid w:val="00DF66CC"/>
    <w:rsid w:val="00E010F3"/>
    <w:rsid w:val="00E0175C"/>
    <w:rsid w:val="00E0257C"/>
    <w:rsid w:val="00E054B0"/>
    <w:rsid w:val="00E06E9F"/>
    <w:rsid w:val="00E11DBF"/>
    <w:rsid w:val="00E13940"/>
    <w:rsid w:val="00E167FB"/>
    <w:rsid w:val="00E171AB"/>
    <w:rsid w:val="00E2161F"/>
    <w:rsid w:val="00E22362"/>
    <w:rsid w:val="00E32698"/>
    <w:rsid w:val="00E34202"/>
    <w:rsid w:val="00E34309"/>
    <w:rsid w:val="00E35732"/>
    <w:rsid w:val="00E35B7E"/>
    <w:rsid w:val="00E36127"/>
    <w:rsid w:val="00E36723"/>
    <w:rsid w:val="00E373C7"/>
    <w:rsid w:val="00E45F18"/>
    <w:rsid w:val="00E4781E"/>
    <w:rsid w:val="00E47859"/>
    <w:rsid w:val="00E478B6"/>
    <w:rsid w:val="00E5255E"/>
    <w:rsid w:val="00E540B2"/>
    <w:rsid w:val="00E56622"/>
    <w:rsid w:val="00E577C0"/>
    <w:rsid w:val="00E57A85"/>
    <w:rsid w:val="00E6325F"/>
    <w:rsid w:val="00E635ED"/>
    <w:rsid w:val="00E63841"/>
    <w:rsid w:val="00E6409C"/>
    <w:rsid w:val="00E67448"/>
    <w:rsid w:val="00E67E02"/>
    <w:rsid w:val="00E73578"/>
    <w:rsid w:val="00E75482"/>
    <w:rsid w:val="00E76D7B"/>
    <w:rsid w:val="00E80A51"/>
    <w:rsid w:val="00E80FDE"/>
    <w:rsid w:val="00E83732"/>
    <w:rsid w:val="00E8538A"/>
    <w:rsid w:val="00E876CF"/>
    <w:rsid w:val="00E905CB"/>
    <w:rsid w:val="00E939EE"/>
    <w:rsid w:val="00E97283"/>
    <w:rsid w:val="00EA358A"/>
    <w:rsid w:val="00EA6218"/>
    <w:rsid w:val="00EA7A9E"/>
    <w:rsid w:val="00EB003C"/>
    <w:rsid w:val="00EB2967"/>
    <w:rsid w:val="00EB2FB9"/>
    <w:rsid w:val="00EB41DB"/>
    <w:rsid w:val="00EB43D2"/>
    <w:rsid w:val="00EB748C"/>
    <w:rsid w:val="00EC1D85"/>
    <w:rsid w:val="00EC2B93"/>
    <w:rsid w:val="00EC3CAB"/>
    <w:rsid w:val="00EC49C9"/>
    <w:rsid w:val="00EC7D81"/>
    <w:rsid w:val="00EC7F54"/>
    <w:rsid w:val="00ED05D0"/>
    <w:rsid w:val="00ED08B9"/>
    <w:rsid w:val="00ED15D7"/>
    <w:rsid w:val="00ED2850"/>
    <w:rsid w:val="00ED46E2"/>
    <w:rsid w:val="00ED52B9"/>
    <w:rsid w:val="00ED65AE"/>
    <w:rsid w:val="00EE123D"/>
    <w:rsid w:val="00EE3AF9"/>
    <w:rsid w:val="00EE567D"/>
    <w:rsid w:val="00EE6EF3"/>
    <w:rsid w:val="00EF1158"/>
    <w:rsid w:val="00EF1FE2"/>
    <w:rsid w:val="00EF2160"/>
    <w:rsid w:val="00EF4E9B"/>
    <w:rsid w:val="00EF5112"/>
    <w:rsid w:val="00EF53E2"/>
    <w:rsid w:val="00EF5523"/>
    <w:rsid w:val="00EF5B95"/>
    <w:rsid w:val="00EF7E85"/>
    <w:rsid w:val="00F00BBB"/>
    <w:rsid w:val="00F046A1"/>
    <w:rsid w:val="00F07E9C"/>
    <w:rsid w:val="00F13692"/>
    <w:rsid w:val="00F1384E"/>
    <w:rsid w:val="00F13A0F"/>
    <w:rsid w:val="00F15650"/>
    <w:rsid w:val="00F30280"/>
    <w:rsid w:val="00F30289"/>
    <w:rsid w:val="00F31159"/>
    <w:rsid w:val="00F32071"/>
    <w:rsid w:val="00F320CB"/>
    <w:rsid w:val="00F3464B"/>
    <w:rsid w:val="00F36297"/>
    <w:rsid w:val="00F3669A"/>
    <w:rsid w:val="00F41254"/>
    <w:rsid w:val="00F420C7"/>
    <w:rsid w:val="00F429DC"/>
    <w:rsid w:val="00F47D0D"/>
    <w:rsid w:val="00F511F9"/>
    <w:rsid w:val="00F55C9A"/>
    <w:rsid w:val="00F578DD"/>
    <w:rsid w:val="00F601A0"/>
    <w:rsid w:val="00F6460D"/>
    <w:rsid w:val="00F64839"/>
    <w:rsid w:val="00F6502E"/>
    <w:rsid w:val="00F73F4C"/>
    <w:rsid w:val="00F75D42"/>
    <w:rsid w:val="00F76774"/>
    <w:rsid w:val="00F808EE"/>
    <w:rsid w:val="00F829B0"/>
    <w:rsid w:val="00F83EF8"/>
    <w:rsid w:val="00F87CFC"/>
    <w:rsid w:val="00F96811"/>
    <w:rsid w:val="00F97E1E"/>
    <w:rsid w:val="00FA346A"/>
    <w:rsid w:val="00FB05B4"/>
    <w:rsid w:val="00FB334B"/>
    <w:rsid w:val="00FB359F"/>
    <w:rsid w:val="00FB3C44"/>
    <w:rsid w:val="00FB41E8"/>
    <w:rsid w:val="00FB4EF3"/>
    <w:rsid w:val="00FB524A"/>
    <w:rsid w:val="00FB5671"/>
    <w:rsid w:val="00FC01A3"/>
    <w:rsid w:val="00FC2044"/>
    <w:rsid w:val="00FC5231"/>
    <w:rsid w:val="00FC581A"/>
    <w:rsid w:val="00FC6C50"/>
    <w:rsid w:val="00FC79C3"/>
    <w:rsid w:val="00FD073F"/>
    <w:rsid w:val="00FD0F32"/>
    <w:rsid w:val="00FD25C2"/>
    <w:rsid w:val="00FD2DDC"/>
    <w:rsid w:val="00FD6379"/>
    <w:rsid w:val="00FE173F"/>
    <w:rsid w:val="00FE233A"/>
    <w:rsid w:val="00FE280F"/>
    <w:rsid w:val="00FE28CB"/>
    <w:rsid w:val="00FE5A33"/>
    <w:rsid w:val="00FE5FB5"/>
    <w:rsid w:val="00FE7B6A"/>
    <w:rsid w:val="00FE7FDC"/>
    <w:rsid w:val="00FF0E4A"/>
    <w:rsid w:val="00FF2527"/>
    <w:rsid w:val="00FF2A31"/>
    <w:rsid w:val="00FF5D5D"/>
    <w:rsid w:val="00FF6169"/>
    <w:rsid w:val="011F7384"/>
    <w:rsid w:val="018C4316"/>
    <w:rsid w:val="01941722"/>
    <w:rsid w:val="01E50228"/>
    <w:rsid w:val="01F3521E"/>
    <w:rsid w:val="01FC7E4D"/>
    <w:rsid w:val="02385327"/>
    <w:rsid w:val="025D74E1"/>
    <w:rsid w:val="02C6612D"/>
    <w:rsid w:val="02E845D2"/>
    <w:rsid w:val="02EE7A29"/>
    <w:rsid w:val="02FF3A54"/>
    <w:rsid w:val="035E3D65"/>
    <w:rsid w:val="03936C6A"/>
    <w:rsid w:val="03A42372"/>
    <w:rsid w:val="041C6D22"/>
    <w:rsid w:val="048765FD"/>
    <w:rsid w:val="04AD51B8"/>
    <w:rsid w:val="056D7538"/>
    <w:rsid w:val="059A1457"/>
    <w:rsid w:val="05E929C1"/>
    <w:rsid w:val="060227A0"/>
    <w:rsid w:val="061D5E01"/>
    <w:rsid w:val="067D069D"/>
    <w:rsid w:val="06B157B7"/>
    <w:rsid w:val="07327A23"/>
    <w:rsid w:val="074A1F27"/>
    <w:rsid w:val="07550E2B"/>
    <w:rsid w:val="07BC488F"/>
    <w:rsid w:val="07FC2B36"/>
    <w:rsid w:val="08256396"/>
    <w:rsid w:val="08310D6E"/>
    <w:rsid w:val="085A36BF"/>
    <w:rsid w:val="087159B0"/>
    <w:rsid w:val="088B03DF"/>
    <w:rsid w:val="09326286"/>
    <w:rsid w:val="09EE26C6"/>
    <w:rsid w:val="09F66964"/>
    <w:rsid w:val="0A21302B"/>
    <w:rsid w:val="0A6144FC"/>
    <w:rsid w:val="0A95254D"/>
    <w:rsid w:val="0A9F3342"/>
    <w:rsid w:val="0ACC1C13"/>
    <w:rsid w:val="0AED6D79"/>
    <w:rsid w:val="0B0B14A6"/>
    <w:rsid w:val="0B160E71"/>
    <w:rsid w:val="0B6920C9"/>
    <w:rsid w:val="0B7600D9"/>
    <w:rsid w:val="0BA53447"/>
    <w:rsid w:val="0BA666AA"/>
    <w:rsid w:val="0BEB1DCB"/>
    <w:rsid w:val="0C160163"/>
    <w:rsid w:val="0C9275AC"/>
    <w:rsid w:val="0EB672B2"/>
    <w:rsid w:val="0ED65510"/>
    <w:rsid w:val="0F295F6C"/>
    <w:rsid w:val="0F514F32"/>
    <w:rsid w:val="0F6453DE"/>
    <w:rsid w:val="104A4AE0"/>
    <w:rsid w:val="10700299"/>
    <w:rsid w:val="109D1472"/>
    <w:rsid w:val="1129204F"/>
    <w:rsid w:val="11442383"/>
    <w:rsid w:val="123167F6"/>
    <w:rsid w:val="12A771A7"/>
    <w:rsid w:val="1345032A"/>
    <w:rsid w:val="13BE6A91"/>
    <w:rsid w:val="13F10443"/>
    <w:rsid w:val="1431122C"/>
    <w:rsid w:val="144D095A"/>
    <w:rsid w:val="14EF6E35"/>
    <w:rsid w:val="15663828"/>
    <w:rsid w:val="15B6280D"/>
    <w:rsid w:val="1653277B"/>
    <w:rsid w:val="16766EE8"/>
    <w:rsid w:val="16793C32"/>
    <w:rsid w:val="168A1E33"/>
    <w:rsid w:val="1714006B"/>
    <w:rsid w:val="17810A22"/>
    <w:rsid w:val="17C11489"/>
    <w:rsid w:val="17FF5757"/>
    <w:rsid w:val="17FFE5EB"/>
    <w:rsid w:val="18391F44"/>
    <w:rsid w:val="189B0DEC"/>
    <w:rsid w:val="19181A3A"/>
    <w:rsid w:val="1923584D"/>
    <w:rsid w:val="196F2449"/>
    <w:rsid w:val="19BE032D"/>
    <w:rsid w:val="19E8688F"/>
    <w:rsid w:val="1A3F0460"/>
    <w:rsid w:val="1AB974C8"/>
    <w:rsid w:val="1B8920C8"/>
    <w:rsid w:val="1C610EB8"/>
    <w:rsid w:val="1C833C55"/>
    <w:rsid w:val="1CAB03AA"/>
    <w:rsid w:val="1CCD2F24"/>
    <w:rsid w:val="1D2821E4"/>
    <w:rsid w:val="1D3E0A87"/>
    <w:rsid w:val="1D576B65"/>
    <w:rsid w:val="1D9C4722"/>
    <w:rsid w:val="1DCF24AB"/>
    <w:rsid w:val="1E2D04E0"/>
    <w:rsid w:val="1E3962DD"/>
    <w:rsid w:val="1E3C7FA7"/>
    <w:rsid w:val="1E3E1D2D"/>
    <w:rsid w:val="1E6363CC"/>
    <w:rsid w:val="1ECA7392"/>
    <w:rsid w:val="1F0E12C2"/>
    <w:rsid w:val="1F5472F6"/>
    <w:rsid w:val="1F884741"/>
    <w:rsid w:val="1FBA07DA"/>
    <w:rsid w:val="201A5DBA"/>
    <w:rsid w:val="20277A33"/>
    <w:rsid w:val="204429C4"/>
    <w:rsid w:val="2072424B"/>
    <w:rsid w:val="21586366"/>
    <w:rsid w:val="217224C1"/>
    <w:rsid w:val="21846D76"/>
    <w:rsid w:val="21AC2CCE"/>
    <w:rsid w:val="21AC5354"/>
    <w:rsid w:val="21AE13AC"/>
    <w:rsid w:val="21D81756"/>
    <w:rsid w:val="222B5D2D"/>
    <w:rsid w:val="22466854"/>
    <w:rsid w:val="22796094"/>
    <w:rsid w:val="228D189D"/>
    <w:rsid w:val="22A37F7D"/>
    <w:rsid w:val="22E2053C"/>
    <w:rsid w:val="22F22FE5"/>
    <w:rsid w:val="23A45007"/>
    <w:rsid w:val="23F84A91"/>
    <w:rsid w:val="246266BF"/>
    <w:rsid w:val="247D03C6"/>
    <w:rsid w:val="249E3F9F"/>
    <w:rsid w:val="255D4632"/>
    <w:rsid w:val="25963238"/>
    <w:rsid w:val="25BF65FB"/>
    <w:rsid w:val="260B31F7"/>
    <w:rsid w:val="260C6275"/>
    <w:rsid w:val="26A10562"/>
    <w:rsid w:val="26B43D1F"/>
    <w:rsid w:val="26CD15D5"/>
    <w:rsid w:val="26CE7C65"/>
    <w:rsid w:val="270624E8"/>
    <w:rsid w:val="270F54EE"/>
    <w:rsid w:val="283E6AC0"/>
    <w:rsid w:val="2842411B"/>
    <w:rsid w:val="28673056"/>
    <w:rsid w:val="28D15ED3"/>
    <w:rsid w:val="295F68EE"/>
    <w:rsid w:val="2A011BAA"/>
    <w:rsid w:val="2A1D07DB"/>
    <w:rsid w:val="2A443413"/>
    <w:rsid w:val="2AA4513D"/>
    <w:rsid w:val="2B7319D4"/>
    <w:rsid w:val="2B7F106A"/>
    <w:rsid w:val="2BD36576"/>
    <w:rsid w:val="2BE36401"/>
    <w:rsid w:val="2C7A78B9"/>
    <w:rsid w:val="2C805477"/>
    <w:rsid w:val="2C9A5163"/>
    <w:rsid w:val="2CA60ACC"/>
    <w:rsid w:val="2D5A6100"/>
    <w:rsid w:val="2D8F684C"/>
    <w:rsid w:val="2D9A265E"/>
    <w:rsid w:val="2DF80479"/>
    <w:rsid w:val="2E0D711A"/>
    <w:rsid w:val="2E1B254C"/>
    <w:rsid w:val="2E2742E1"/>
    <w:rsid w:val="2E2F0953"/>
    <w:rsid w:val="2E9B2E46"/>
    <w:rsid w:val="2EA10826"/>
    <w:rsid w:val="2EC560F5"/>
    <w:rsid w:val="2EEC200B"/>
    <w:rsid w:val="2EF31996"/>
    <w:rsid w:val="2F711127"/>
    <w:rsid w:val="2F77416E"/>
    <w:rsid w:val="2FCD12F9"/>
    <w:rsid w:val="30027533"/>
    <w:rsid w:val="30047F35"/>
    <w:rsid w:val="302E5E9B"/>
    <w:rsid w:val="303C252D"/>
    <w:rsid w:val="30937DBD"/>
    <w:rsid w:val="30CC1FAB"/>
    <w:rsid w:val="31200CA6"/>
    <w:rsid w:val="31DE2100"/>
    <w:rsid w:val="32963D0B"/>
    <w:rsid w:val="32BF4ECF"/>
    <w:rsid w:val="331F7BA7"/>
    <w:rsid w:val="334272A0"/>
    <w:rsid w:val="339B5B37"/>
    <w:rsid w:val="33A05842"/>
    <w:rsid w:val="33DA5242"/>
    <w:rsid w:val="34615900"/>
    <w:rsid w:val="34711379"/>
    <w:rsid w:val="348103B3"/>
    <w:rsid w:val="34A15065"/>
    <w:rsid w:val="34A36369"/>
    <w:rsid w:val="34B23F6B"/>
    <w:rsid w:val="354A1FFA"/>
    <w:rsid w:val="354F1D05"/>
    <w:rsid w:val="35565E0D"/>
    <w:rsid w:val="35670B3A"/>
    <w:rsid w:val="35A54C93"/>
    <w:rsid w:val="35B20725"/>
    <w:rsid w:val="35E037F3"/>
    <w:rsid w:val="3613357A"/>
    <w:rsid w:val="36393E81"/>
    <w:rsid w:val="36915B95"/>
    <w:rsid w:val="372F4799"/>
    <w:rsid w:val="376A0211"/>
    <w:rsid w:val="376F41E4"/>
    <w:rsid w:val="37CE0224"/>
    <w:rsid w:val="381A6292"/>
    <w:rsid w:val="385676D9"/>
    <w:rsid w:val="386E1BE4"/>
    <w:rsid w:val="38A15575"/>
    <w:rsid w:val="3948288A"/>
    <w:rsid w:val="3959524D"/>
    <w:rsid w:val="399F5E65"/>
    <w:rsid w:val="3A02620A"/>
    <w:rsid w:val="3A101561"/>
    <w:rsid w:val="3A104852"/>
    <w:rsid w:val="3A307305"/>
    <w:rsid w:val="3AD91D1C"/>
    <w:rsid w:val="3AEF3EC0"/>
    <w:rsid w:val="3B4535CA"/>
    <w:rsid w:val="3B576D67"/>
    <w:rsid w:val="3B6F264F"/>
    <w:rsid w:val="3BBA514F"/>
    <w:rsid w:val="3BEF1864"/>
    <w:rsid w:val="3C07199C"/>
    <w:rsid w:val="3C202033"/>
    <w:rsid w:val="3C5F7F34"/>
    <w:rsid w:val="3C88075E"/>
    <w:rsid w:val="3D06102C"/>
    <w:rsid w:val="3DB06E03"/>
    <w:rsid w:val="3DBB540F"/>
    <w:rsid w:val="3DCE3D11"/>
    <w:rsid w:val="3E6C767A"/>
    <w:rsid w:val="3E764706"/>
    <w:rsid w:val="3EF61D27"/>
    <w:rsid w:val="3F006868"/>
    <w:rsid w:val="3F0B4ADA"/>
    <w:rsid w:val="3F9767C2"/>
    <w:rsid w:val="3F9F8089"/>
    <w:rsid w:val="3FF55E7C"/>
    <w:rsid w:val="402070C4"/>
    <w:rsid w:val="408C62AE"/>
    <w:rsid w:val="40EA548F"/>
    <w:rsid w:val="40F2256A"/>
    <w:rsid w:val="411F7777"/>
    <w:rsid w:val="4177521C"/>
    <w:rsid w:val="41C53CDE"/>
    <w:rsid w:val="4224068F"/>
    <w:rsid w:val="4259696B"/>
    <w:rsid w:val="429F59A0"/>
    <w:rsid w:val="42DB752A"/>
    <w:rsid w:val="43392504"/>
    <w:rsid w:val="433A3A5A"/>
    <w:rsid w:val="435D7917"/>
    <w:rsid w:val="437B68B2"/>
    <w:rsid w:val="43DC3263"/>
    <w:rsid w:val="43ED34FE"/>
    <w:rsid w:val="43FE121A"/>
    <w:rsid w:val="4413593C"/>
    <w:rsid w:val="441E5F7C"/>
    <w:rsid w:val="44AC422A"/>
    <w:rsid w:val="44DD7A56"/>
    <w:rsid w:val="44F51484"/>
    <w:rsid w:val="45051088"/>
    <w:rsid w:val="45392BD9"/>
    <w:rsid w:val="45AC5A5D"/>
    <w:rsid w:val="45CA500D"/>
    <w:rsid w:val="45FB325E"/>
    <w:rsid w:val="45FD6761"/>
    <w:rsid w:val="465D3A12"/>
    <w:rsid w:val="469D1E6F"/>
    <w:rsid w:val="46B11A88"/>
    <w:rsid w:val="46B96383"/>
    <w:rsid w:val="46DD79DD"/>
    <w:rsid w:val="46E71F62"/>
    <w:rsid w:val="47411377"/>
    <w:rsid w:val="4770062D"/>
    <w:rsid w:val="47DF53C6"/>
    <w:rsid w:val="48023B29"/>
    <w:rsid w:val="48357685"/>
    <w:rsid w:val="485A4042"/>
    <w:rsid w:val="486523D3"/>
    <w:rsid w:val="4930063B"/>
    <w:rsid w:val="4A1D4FA7"/>
    <w:rsid w:val="4A380252"/>
    <w:rsid w:val="4A476380"/>
    <w:rsid w:val="4B2A1C61"/>
    <w:rsid w:val="4B4C4394"/>
    <w:rsid w:val="4B835B73"/>
    <w:rsid w:val="4B997D17"/>
    <w:rsid w:val="4BF700B0"/>
    <w:rsid w:val="4C426EAB"/>
    <w:rsid w:val="4C53596E"/>
    <w:rsid w:val="4C6402B1"/>
    <w:rsid w:val="4C7D380D"/>
    <w:rsid w:val="4CE12DE5"/>
    <w:rsid w:val="4D045025"/>
    <w:rsid w:val="4D1433C6"/>
    <w:rsid w:val="4DBC634A"/>
    <w:rsid w:val="4DD51F06"/>
    <w:rsid w:val="4E03108A"/>
    <w:rsid w:val="4E0B6496"/>
    <w:rsid w:val="4E193502"/>
    <w:rsid w:val="4E6820F7"/>
    <w:rsid w:val="4E730444"/>
    <w:rsid w:val="4EAE4DA6"/>
    <w:rsid w:val="4F4B26DE"/>
    <w:rsid w:val="4FA32D35"/>
    <w:rsid w:val="4FF86042"/>
    <w:rsid w:val="5004072F"/>
    <w:rsid w:val="503B1FAE"/>
    <w:rsid w:val="50715BC5"/>
    <w:rsid w:val="509D3A52"/>
    <w:rsid w:val="509F13D4"/>
    <w:rsid w:val="50C00E37"/>
    <w:rsid w:val="50E61ABC"/>
    <w:rsid w:val="50F970E8"/>
    <w:rsid w:val="511B2921"/>
    <w:rsid w:val="51846ACD"/>
    <w:rsid w:val="52263C7E"/>
    <w:rsid w:val="528817F3"/>
    <w:rsid w:val="529F63D2"/>
    <w:rsid w:val="52B648C1"/>
    <w:rsid w:val="52F53DB3"/>
    <w:rsid w:val="53273C7B"/>
    <w:rsid w:val="53307722"/>
    <w:rsid w:val="533B3FDD"/>
    <w:rsid w:val="53AB0651"/>
    <w:rsid w:val="53AF7057"/>
    <w:rsid w:val="53B931EA"/>
    <w:rsid w:val="53D7279A"/>
    <w:rsid w:val="541B4188"/>
    <w:rsid w:val="541F2B8E"/>
    <w:rsid w:val="5492094F"/>
    <w:rsid w:val="550756E4"/>
    <w:rsid w:val="554516E8"/>
    <w:rsid w:val="555F60DE"/>
    <w:rsid w:val="55AF412E"/>
    <w:rsid w:val="55B058A3"/>
    <w:rsid w:val="562035D8"/>
    <w:rsid w:val="566553FE"/>
    <w:rsid w:val="567C5B67"/>
    <w:rsid w:val="56812378"/>
    <w:rsid w:val="56822FDE"/>
    <w:rsid w:val="571A625A"/>
    <w:rsid w:val="57684BF4"/>
    <w:rsid w:val="57A65002"/>
    <w:rsid w:val="57DE5EB8"/>
    <w:rsid w:val="58053284"/>
    <w:rsid w:val="58152103"/>
    <w:rsid w:val="587A3211"/>
    <w:rsid w:val="588B4577"/>
    <w:rsid w:val="58A40262"/>
    <w:rsid w:val="58B96B20"/>
    <w:rsid w:val="58C37DE3"/>
    <w:rsid w:val="58DD1185"/>
    <w:rsid w:val="595057B3"/>
    <w:rsid w:val="59537C18"/>
    <w:rsid w:val="5A436627"/>
    <w:rsid w:val="5A711F7E"/>
    <w:rsid w:val="5A731374"/>
    <w:rsid w:val="5AC6337D"/>
    <w:rsid w:val="5AEA0183"/>
    <w:rsid w:val="5AF04E8F"/>
    <w:rsid w:val="5B117F79"/>
    <w:rsid w:val="5B1D0508"/>
    <w:rsid w:val="5B5309E2"/>
    <w:rsid w:val="5B6A0607"/>
    <w:rsid w:val="5B844A35"/>
    <w:rsid w:val="5BA65608"/>
    <w:rsid w:val="5BB70453"/>
    <w:rsid w:val="5BE34A4E"/>
    <w:rsid w:val="5C4F6C42"/>
    <w:rsid w:val="5CCC024F"/>
    <w:rsid w:val="5CE42072"/>
    <w:rsid w:val="5CF9478C"/>
    <w:rsid w:val="5D0403A9"/>
    <w:rsid w:val="5D0C3A8D"/>
    <w:rsid w:val="5D402B28"/>
    <w:rsid w:val="5D450E12"/>
    <w:rsid w:val="5DBDD9FE"/>
    <w:rsid w:val="5DD9443E"/>
    <w:rsid w:val="5E3E74AE"/>
    <w:rsid w:val="5E7C0E8F"/>
    <w:rsid w:val="5E7D14C6"/>
    <w:rsid w:val="5ED559E7"/>
    <w:rsid w:val="5F7F688C"/>
    <w:rsid w:val="5F833BB2"/>
    <w:rsid w:val="5F8E6339"/>
    <w:rsid w:val="5FE41727"/>
    <w:rsid w:val="5FFA3FE0"/>
    <w:rsid w:val="60A01862"/>
    <w:rsid w:val="60DC0F7E"/>
    <w:rsid w:val="6167492D"/>
    <w:rsid w:val="61AC7DCD"/>
    <w:rsid w:val="61B81E65"/>
    <w:rsid w:val="62067F72"/>
    <w:rsid w:val="62CE2EFF"/>
    <w:rsid w:val="634B0772"/>
    <w:rsid w:val="6372283A"/>
    <w:rsid w:val="6392476A"/>
    <w:rsid w:val="63DD5DCB"/>
    <w:rsid w:val="642828BB"/>
    <w:rsid w:val="64482C14"/>
    <w:rsid w:val="646F50D4"/>
    <w:rsid w:val="64994BEA"/>
    <w:rsid w:val="64AA19B4"/>
    <w:rsid w:val="64C14E5C"/>
    <w:rsid w:val="65077AE2"/>
    <w:rsid w:val="651F2C77"/>
    <w:rsid w:val="656B0071"/>
    <w:rsid w:val="658461E9"/>
    <w:rsid w:val="65AC02DD"/>
    <w:rsid w:val="65B221E6"/>
    <w:rsid w:val="65C37F02"/>
    <w:rsid w:val="660460F1"/>
    <w:rsid w:val="66082BF5"/>
    <w:rsid w:val="661F281A"/>
    <w:rsid w:val="66387B94"/>
    <w:rsid w:val="66BA313E"/>
    <w:rsid w:val="6723432B"/>
    <w:rsid w:val="676F1F24"/>
    <w:rsid w:val="67BE3702"/>
    <w:rsid w:val="68355788"/>
    <w:rsid w:val="683F6098"/>
    <w:rsid w:val="68637551"/>
    <w:rsid w:val="69740693"/>
    <w:rsid w:val="69F908EC"/>
    <w:rsid w:val="69FA636D"/>
    <w:rsid w:val="6A174619"/>
    <w:rsid w:val="6A177E9C"/>
    <w:rsid w:val="6A5049AD"/>
    <w:rsid w:val="6A584189"/>
    <w:rsid w:val="6A630C58"/>
    <w:rsid w:val="6AA516D2"/>
    <w:rsid w:val="6AB02619"/>
    <w:rsid w:val="6AB25B1C"/>
    <w:rsid w:val="6B085226"/>
    <w:rsid w:val="6B613878"/>
    <w:rsid w:val="6B7632DB"/>
    <w:rsid w:val="6BCA6EFB"/>
    <w:rsid w:val="6BEE7AA2"/>
    <w:rsid w:val="6BF825B0"/>
    <w:rsid w:val="6C974A38"/>
    <w:rsid w:val="6D164F86"/>
    <w:rsid w:val="6DA2674C"/>
    <w:rsid w:val="6E21673D"/>
    <w:rsid w:val="6E8D386E"/>
    <w:rsid w:val="6EBBFF63"/>
    <w:rsid w:val="6EC8494C"/>
    <w:rsid w:val="6F837B90"/>
    <w:rsid w:val="6F8E3F7C"/>
    <w:rsid w:val="6F997223"/>
    <w:rsid w:val="6FEB723A"/>
    <w:rsid w:val="6FFB469D"/>
    <w:rsid w:val="6FFF4C32"/>
    <w:rsid w:val="707E7C65"/>
    <w:rsid w:val="70B8767B"/>
    <w:rsid w:val="71321543"/>
    <w:rsid w:val="71A834A2"/>
    <w:rsid w:val="71AB61D8"/>
    <w:rsid w:val="71C965BE"/>
    <w:rsid w:val="71DA4FA8"/>
    <w:rsid w:val="72A26F6F"/>
    <w:rsid w:val="730040BD"/>
    <w:rsid w:val="7323092D"/>
    <w:rsid w:val="733E031E"/>
    <w:rsid w:val="737D3686"/>
    <w:rsid w:val="73D17C39"/>
    <w:rsid w:val="74534AF2"/>
    <w:rsid w:val="7492574D"/>
    <w:rsid w:val="74A21F38"/>
    <w:rsid w:val="75F3408F"/>
    <w:rsid w:val="76301CC2"/>
    <w:rsid w:val="76303EF4"/>
    <w:rsid w:val="765B1A6B"/>
    <w:rsid w:val="76A5789C"/>
    <w:rsid w:val="76CE7275"/>
    <w:rsid w:val="775E23E1"/>
    <w:rsid w:val="77AD7FA8"/>
    <w:rsid w:val="77FC1EE6"/>
    <w:rsid w:val="78376848"/>
    <w:rsid w:val="789214E0"/>
    <w:rsid w:val="79092423"/>
    <w:rsid w:val="79193FD2"/>
    <w:rsid w:val="79D164E7"/>
    <w:rsid w:val="79DD5C7F"/>
    <w:rsid w:val="79DF040F"/>
    <w:rsid w:val="7A1F989C"/>
    <w:rsid w:val="7A4C3D34"/>
    <w:rsid w:val="7A5B3972"/>
    <w:rsid w:val="7A65786F"/>
    <w:rsid w:val="7B6DD021"/>
    <w:rsid w:val="7B6EBA39"/>
    <w:rsid w:val="7B856E40"/>
    <w:rsid w:val="7B9D48A5"/>
    <w:rsid w:val="7BC1478C"/>
    <w:rsid w:val="7BC31336"/>
    <w:rsid w:val="7C3149B5"/>
    <w:rsid w:val="7C4A7F77"/>
    <w:rsid w:val="7CA429C3"/>
    <w:rsid w:val="7D3A1533"/>
    <w:rsid w:val="7D542D2C"/>
    <w:rsid w:val="7D9733D0"/>
    <w:rsid w:val="7E345C27"/>
    <w:rsid w:val="7E6802F1"/>
    <w:rsid w:val="7EF746DD"/>
    <w:rsid w:val="7EFF4379"/>
    <w:rsid w:val="7EFF7E0E"/>
    <w:rsid w:val="7F311F38"/>
    <w:rsid w:val="7F3F1A23"/>
    <w:rsid w:val="7F6D54A2"/>
    <w:rsid w:val="7FE921F0"/>
    <w:rsid w:val="83F441C1"/>
    <w:rsid w:val="ABECD05D"/>
    <w:rsid w:val="AD7BE09B"/>
    <w:rsid w:val="AFFFB621"/>
    <w:rsid w:val="B67FA161"/>
    <w:rsid w:val="B73389DB"/>
    <w:rsid w:val="D6FF5228"/>
    <w:rsid w:val="D7F343CF"/>
    <w:rsid w:val="DADFCA43"/>
    <w:rsid w:val="DFCD0037"/>
    <w:rsid w:val="EADFD97F"/>
    <w:rsid w:val="EB7EBE0A"/>
    <w:rsid w:val="EC35E7DF"/>
    <w:rsid w:val="ECFB906F"/>
    <w:rsid w:val="ED7F9922"/>
    <w:rsid w:val="F4AB34B7"/>
    <w:rsid w:val="F70D2803"/>
    <w:rsid w:val="FBBE4C37"/>
    <w:rsid w:val="FFDEF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页脚 字符"/>
    <w:basedOn w:val="10"/>
    <w:link w:val="4"/>
    <w:qFormat/>
    <w:uiPriority w:val="99"/>
    <w:rPr>
      <w:rFonts w:eastAsia="仿宋_GB2312"/>
      <w:kern w:val="2"/>
      <w:sz w:val="18"/>
      <w:szCs w:val="24"/>
    </w:rPr>
  </w:style>
  <w:style w:type="character" w:customStyle="1" w:styleId="14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批注框文本 字符"/>
    <w:basedOn w:val="10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页眉 字符"/>
    <w:basedOn w:val="10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NormalCharacter"/>
    <w:qFormat/>
    <w:uiPriority w:val="0"/>
  </w:style>
  <w:style w:type="paragraph" w:customStyle="1" w:styleId="2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Char"/>
    <w:basedOn w:val="1"/>
    <w:qFormat/>
    <w:uiPriority w:val="0"/>
    <w:pPr>
      <w:jc w:val="left"/>
    </w:pPr>
    <w:rPr>
      <w:rFonts w:ascii="仿宋_GB2312" w:hAnsi="Calibri"/>
      <w:b/>
      <w:sz w:val="32"/>
      <w:szCs w:val="32"/>
    </w:rPr>
  </w:style>
  <w:style w:type="paragraph" w:customStyle="1" w:styleId="24">
    <w:name w:val="UserStyle_0"/>
    <w:qFormat/>
    <w:uiPriority w:val="0"/>
    <w:pPr>
      <w:spacing w:after="160" w:line="278" w:lineRule="auto"/>
      <w:textAlignment w:val="baseline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xhcz</Company>
  <Pages>16</Pages>
  <Words>1142</Words>
  <Characters>6513</Characters>
  <Lines>54</Lines>
  <Paragraphs>15</Paragraphs>
  <TotalTime>61</TotalTime>
  <ScaleCrop>false</ScaleCrop>
  <LinksUpToDate>false</LinksUpToDate>
  <CharactersWithSpaces>7640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2022-12-31T03:05:00Z</dcterms:created>
  <dc:creator>xhcz</dc:creator>
  <cp:lastModifiedBy>MRQR</cp:lastModifiedBy>
  <cp:lastPrinted>2024-01-16T18:44:00Z</cp:lastPrinted>
  <dcterms:modified xsi:type="dcterms:W3CDTF">2024-01-26T06:17:53Z</dcterms:modified>
  <dc:title>关于2022年财政预算收支执行及2023年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FEEE93885C0D496A9BAA0C7CAD407645_13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