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p>
    <w:p>
      <w:pPr>
        <w:adjustRightInd/>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b/>
          <w:sz w:val="44"/>
          <w:szCs w:val="44"/>
          <w:highlight w:val="none"/>
        </w:rPr>
      </w:pPr>
    </w:p>
    <w:p>
      <w:pPr>
        <w:adjustRightInd/>
        <w:spacing w:line="360" w:lineRule="auto"/>
        <w:jc w:val="center"/>
        <w:rPr>
          <w:rFonts w:cs="宋体" w:asciiTheme="minorEastAsia" w:hAnsiTheme="minorEastAsia" w:eastAsiaTheme="minorEastAsia"/>
          <w:b/>
          <w:sz w:val="48"/>
          <w:szCs w:val="48"/>
          <w:highlight w:val="none"/>
        </w:rPr>
      </w:pPr>
    </w:p>
    <w:p>
      <w:pPr>
        <w:adjustRightInd/>
        <w:spacing w:line="360" w:lineRule="auto"/>
        <w:jc w:val="center"/>
        <w:rPr>
          <w:rFonts w:hint="eastAsia" w:cs="宋体" w:asciiTheme="minorEastAsia" w:hAnsiTheme="minorEastAsia" w:eastAsiaTheme="minorEastAsia"/>
          <w:b/>
          <w:bCs/>
          <w:sz w:val="48"/>
          <w:szCs w:val="48"/>
          <w:highlight w:val="none"/>
          <w:lang w:eastAsia="zh-CN"/>
        </w:rPr>
      </w:pPr>
      <w:r>
        <w:rPr>
          <w:rFonts w:hint="eastAsia" w:cs="宋体" w:asciiTheme="minorEastAsia" w:hAnsiTheme="minorEastAsia" w:eastAsiaTheme="minorEastAsia"/>
          <w:b/>
          <w:bCs/>
          <w:sz w:val="48"/>
          <w:szCs w:val="48"/>
          <w:highlight w:val="none"/>
          <w:lang w:eastAsia="zh-CN"/>
        </w:rPr>
        <w:t>杭州市西湖区应急管理局自然灾害风险普查成果深化应用系统（二期）项目</w:t>
      </w:r>
    </w:p>
    <w:p>
      <w:pPr>
        <w:pStyle w:val="2"/>
        <w:rPr>
          <w:rFonts w:hint="eastAsia"/>
          <w:highlight w:val="none"/>
          <w:lang w:eastAsia="zh-CN"/>
        </w:rPr>
      </w:pPr>
    </w:p>
    <w:p>
      <w:pPr>
        <w:adjustRightInd/>
        <w:spacing w:line="360" w:lineRule="auto"/>
        <w:jc w:val="center"/>
        <w:rPr>
          <w:rFonts w:cs="宋体" w:asciiTheme="minorEastAsia" w:hAnsiTheme="minorEastAsia" w:eastAsiaTheme="minorEastAsia"/>
          <w:sz w:val="48"/>
          <w:szCs w:val="48"/>
          <w:highlight w:val="none"/>
        </w:rPr>
      </w:pPr>
      <w:r>
        <w:rPr>
          <w:rFonts w:hint="eastAsia" w:cs="宋体" w:asciiTheme="minorEastAsia" w:hAnsiTheme="minorEastAsia" w:eastAsiaTheme="minorEastAsia"/>
          <w:sz w:val="48"/>
          <w:szCs w:val="48"/>
          <w:highlight w:val="none"/>
        </w:rPr>
        <w:t xml:space="preserve">招标文件 </w:t>
      </w:r>
    </w:p>
    <w:p>
      <w:pPr>
        <w:adjustRightInd/>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（电子招投标）</w:t>
      </w:r>
    </w:p>
    <w:p>
      <w:pPr>
        <w:snapToGrid w:val="0"/>
        <w:spacing w:line="360" w:lineRule="auto"/>
        <w:jc w:val="center"/>
        <w:rPr>
          <w:rFonts w:hint="eastAsia" w:cs="宋体" w:asciiTheme="minorEastAsia" w:hAnsiTheme="minorEastAsia" w:eastAsiaTheme="minorEastAsia"/>
          <w:sz w:val="30"/>
          <w:szCs w:val="30"/>
          <w:highlight w:val="none"/>
          <w:lang w:eastAsia="zh-CN"/>
        </w:rPr>
      </w:pPr>
      <w:r>
        <w:rPr>
          <w:rFonts w:hint="eastAsia" w:cs="宋体" w:asciiTheme="minorEastAsia" w:hAnsiTheme="minorEastAsia" w:eastAsiaTheme="minorEastAsia"/>
          <w:sz w:val="30"/>
          <w:szCs w:val="30"/>
          <w:highlight w:val="none"/>
        </w:rPr>
        <w:t>编号:</w:t>
      </w:r>
      <w:r>
        <w:rPr>
          <w:rFonts w:hint="eastAsia" w:cs="宋体" w:asciiTheme="minorEastAsia" w:hAnsiTheme="minorEastAsia" w:eastAsiaTheme="minorEastAsia"/>
          <w:sz w:val="30"/>
          <w:szCs w:val="30"/>
          <w:highlight w:val="none"/>
          <w:lang w:eastAsia="zh-CN"/>
        </w:rPr>
        <w:t>XHZFCG-2024-G-15</w:t>
      </w:r>
    </w:p>
    <w:p>
      <w:pPr>
        <w:adjustRightInd/>
        <w:spacing w:line="360" w:lineRule="auto"/>
        <w:rPr>
          <w:rFonts w:cs="宋体" w:asciiTheme="minorEastAsia" w:hAnsiTheme="minorEastAsia" w:eastAsiaTheme="minorEastAsia"/>
          <w:sz w:val="28"/>
          <w:szCs w:val="20"/>
          <w:highlight w:val="none"/>
        </w:rPr>
      </w:pPr>
    </w:p>
    <w:p>
      <w:pPr>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w:t>
      </w:r>
    </w:p>
    <w:p>
      <w:pPr>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32"/>
          <w:szCs w:val="32"/>
          <w:highlight w:val="none"/>
        </w:rPr>
      </w:pPr>
    </w:p>
    <w:p>
      <w:pPr>
        <w:snapToGrid w:val="0"/>
        <w:spacing w:line="360" w:lineRule="auto"/>
        <w:jc w:val="center"/>
        <w:rPr>
          <w:rFonts w:hint="eastAsia" w:cs="宋体" w:asciiTheme="minorEastAsia" w:hAnsiTheme="minorEastAsia" w:eastAsiaTheme="minorEastAsia"/>
          <w:sz w:val="32"/>
          <w:szCs w:val="32"/>
          <w:highlight w:val="none"/>
          <w:lang w:eastAsia="zh-CN"/>
        </w:rPr>
      </w:pPr>
      <w:r>
        <w:rPr>
          <w:rFonts w:hint="eastAsia" w:cs="宋体" w:asciiTheme="minorEastAsia" w:hAnsiTheme="minorEastAsia" w:eastAsiaTheme="minorEastAsia"/>
          <w:sz w:val="32"/>
          <w:szCs w:val="32"/>
          <w:highlight w:val="none"/>
          <w:lang w:eastAsia="zh-CN"/>
        </w:rPr>
        <w:t>杭州市西湖区应急管理局</w:t>
      </w:r>
    </w:p>
    <w:p>
      <w:pPr>
        <w:spacing w:line="360" w:lineRule="auto"/>
        <w:jc w:val="center"/>
        <w:rPr>
          <w:rFonts w:hint="eastAsia" w:cs="宋体" w:asciiTheme="minorEastAsia" w:hAnsiTheme="minorEastAsia" w:eastAsiaTheme="minorEastAsia"/>
          <w:bCs/>
          <w:sz w:val="32"/>
          <w:szCs w:val="32"/>
          <w:highlight w:val="none"/>
          <w:lang w:eastAsia="zh-CN"/>
        </w:rPr>
      </w:pPr>
      <w:r>
        <w:rPr>
          <w:rFonts w:hint="eastAsia" w:cs="宋体" w:asciiTheme="minorEastAsia" w:hAnsiTheme="minorEastAsia" w:eastAsiaTheme="minorEastAsia"/>
          <w:bCs/>
          <w:sz w:val="32"/>
          <w:szCs w:val="32"/>
          <w:highlight w:val="none"/>
          <w:lang w:eastAsia="zh-CN"/>
        </w:rPr>
        <w:t>杭州市西湖区政府采购中心</w:t>
      </w:r>
    </w:p>
    <w:p>
      <w:pPr>
        <w:snapToGrid w:val="0"/>
        <w:spacing w:line="360" w:lineRule="auto"/>
        <w:jc w:val="center"/>
        <w:rPr>
          <w:rFonts w:cs="宋体" w:asciiTheme="minorEastAsia" w:hAnsiTheme="minorEastAsia" w:eastAsiaTheme="minorEastAsia"/>
          <w:bCs/>
          <w:sz w:val="32"/>
          <w:szCs w:val="32"/>
          <w:highlight w:val="none"/>
        </w:rPr>
      </w:pPr>
      <w:r>
        <w:rPr>
          <w:rFonts w:hint="eastAsia" w:cs="宋体" w:asciiTheme="minorEastAsia" w:hAnsiTheme="minorEastAsia" w:eastAsiaTheme="minorEastAsia"/>
          <w:bCs/>
          <w:sz w:val="32"/>
          <w:szCs w:val="32"/>
          <w:highlight w:val="none"/>
        </w:rPr>
        <w:t>二〇二</w:t>
      </w:r>
      <w:r>
        <w:rPr>
          <w:rFonts w:hint="eastAsia" w:cs="宋体" w:asciiTheme="minorEastAsia" w:hAnsiTheme="minorEastAsia" w:eastAsiaTheme="minorEastAsia"/>
          <w:bCs/>
          <w:sz w:val="32"/>
          <w:szCs w:val="32"/>
          <w:highlight w:val="none"/>
          <w:lang w:eastAsia="zh-CN"/>
        </w:rPr>
        <w:t>四</w:t>
      </w:r>
      <w:r>
        <w:rPr>
          <w:rFonts w:hint="eastAsia" w:cs="宋体" w:asciiTheme="minorEastAsia" w:hAnsiTheme="minorEastAsia" w:eastAsiaTheme="minorEastAsia"/>
          <w:bCs/>
          <w:sz w:val="32"/>
          <w:szCs w:val="32"/>
          <w:highlight w:val="none"/>
        </w:rPr>
        <w:t>年</w:t>
      </w:r>
      <w:r>
        <w:rPr>
          <w:rFonts w:hint="eastAsia" w:cs="宋体" w:asciiTheme="minorEastAsia" w:hAnsiTheme="minorEastAsia" w:eastAsiaTheme="minorEastAsia"/>
          <w:bCs/>
          <w:sz w:val="32"/>
          <w:szCs w:val="32"/>
          <w:highlight w:val="none"/>
          <w:lang w:val="en-US" w:eastAsia="zh-CN"/>
        </w:rPr>
        <w:t>三</w:t>
      </w:r>
      <w:r>
        <w:rPr>
          <w:rFonts w:hint="eastAsia" w:cs="宋体" w:asciiTheme="minorEastAsia" w:hAnsiTheme="minorEastAsia" w:eastAsiaTheme="minorEastAsia"/>
          <w:bCs/>
          <w:sz w:val="32"/>
          <w:szCs w:val="32"/>
          <w:highlight w:val="none"/>
        </w:rPr>
        <w:t>月</w:t>
      </w:r>
      <w:r>
        <w:rPr>
          <w:rFonts w:hint="eastAsia" w:cs="宋体" w:asciiTheme="minorEastAsia" w:hAnsiTheme="minorEastAsia" w:eastAsiaTheme="minorEastAsia"/>
          <w:bCs/>
          <w:sz w:val="32"/>
          <w:szCs w:val="32"/>
          <w:highlight w:val="none"/>
          <w:lang w:val="en-US" w:eastAsia="zh-CN"/>
        </w:rPr>
        <w:t>二十七</w:t>
      </w:r>
      <w:r>
        <w:rPr>
          <w:rFonts w:hint="eastAsia" w:cs="宋体" w:asciiTheme="minorEastAsia" w:hAnsiTheme="minorEastAsia" w:eastAsiaTheme="minorEastAsia"/>
          <w:bCs/>
          <w:color w:val="auto"/>
          <w:sz w:val="32"/>
          <w:szCs w:val="32"/>
          <w:highlight w:val="none"/>
        </w:rPr>
        <w:t>日</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br w:type="page"/>
      </w:r>
      <w:bookmarkStart w:id="0" w:name="_Hlt67893495"/>
      <w:bookmarkEnd w:id="0"/>
    </w:p>
    <w:p>
      <w:pPr>
        <w:pStyle w:val="637"/>
        <w:rPr>
          <w:rFonts w:asciiTheme="minorEastAsia" w:hAnsiTheme="minorEastAsia" w:eastAsiaTheme="minorEastAsia"/>
          <w:highlight w:val="none"/>
        </w:rPr>
      </w:pPr>
    </w:p>
    <w:p>
      <w:pPr>
        <w:spacing w:line="360" w:lineRule="auto"/>
        <w:jc w:val="center"/>
        <w:rPr>
          <w:rFonts w:cs="宋体" w:asciiTheme="minorEastAsia" w:hAnsiTheme="minorEastAsia" w:eastAsiaTheme="minorEastAsia"/>
          <w:b/>
          <w:sz w:val="48"/>
          <w:szCs w:val="48"/>
          <w:highlight w:val="none"/>
        </w:rPr>
      </w:pPr>
      <w:r>
        <w:rPr>
          <w:rFonts w:hint="eastAsia" w:cs="宋体" w:asciiTheme="minorEastAsia" w:hAnsiTheme="minorEastAsia" w:eastAsiaTheme="minorEastAsia"/>
          <w:b/>
          <w:sz w:val="48"/>
          <w:szCs w:val="48"/>
          <w:highlight w:val="none"/>
        </w:rPr>
        <w:t>目  录</w:t>
      </w:r>
    </w:p>
    <w:p>
      <w:pPr>
        <w:spacing w:line="360" w:lineRule="auto"/>
        <w:rPr>
          <w:rFonts w:cs="宋体" w:asciiTheme="minorEastAsia" w:hAnsiTheme="minorEastAsia" w:eastAsiaTheme="minorEastAsia"/>
          <w:sz w:val="32"/>
          <w:szCs w:val="32"/>
          <w:highlight w:val="none"/>
        </w:rPr>
      </w:pPr>
    </w:p>
    <w:p>
      <w:pPr>
        <w:spacing w:line="360" w:lineRule="auto"/>
        <w:rPr>
          <w:rFonts w:cs="宋体" w:asciiTheme="minorEastAsia" w:hAnsiTheme="minorEastAsia" w:eastAsiaTheme="minorEastAsia"/>
          <w:sz w:val="32"/>
          <w:szCs w:val="32"/>
          <w:highlight w:val="none"/>
        </w:rPr>
      </w:pP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第一部分      招标公告</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第二部分      投标人须知</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第三部分      采购需求</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第四部分      评标办法</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第五部分      拟签订的合同文本</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cs="宋体" w:asciiTheme="minorEastAsia" w:hAnsiTheme="minorEastAsia" w:eastAsiaTheme="minorEastAsia"/>
          <w:b/>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杭州市西湖区应急管理局自然灾害风险普查成果深化应用系统（二期）项目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17</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XHZFCG-2024-G-15</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杭州市西湖区应急管理局自然灾害风险普查成果深化应用系统（二期）项目</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w:t>
      </w:r>
      <w:r>
        <w:rPr>
          <w:rFonts w:hint="eastAsia" w:ascii="宋体" w:hAnsi="宋体" w:cs="宋体"/>
          <w:b/>
          <w:sz w:val="24"/>
          <w:highlight w:val="none"/>
        </w:rPr>
        <w:t xml:space="preserve"> 预算金额</w:t>
      </w:r>
      <w:r>
        <w:rPr>
          <w:rFonts w:hint="eastAsia" w:ascii="宋体" w:hAnsi="宋体" w:cs="宋体"/>
          <w:b/>
          <w:sz w:val="24"/>
          <w:highlight w:val="none"/>
          <w:lang w:eastAsia="zh-CN"/>
        </w:rPr>
        <w:t>（元）</w:t>
      </w:r>
      <w:r>
        <w:rPr>
          <w:rFonts w:hint="eastAsia" w:ascii="宋体" w:hAnsi="宋体" w:cs="宋体"/>
          <w:b/>
          <w:sz w:val="24"/>
          <w:highlight w:val="none"/>
        </w:rPr>
        <w:t>：</w:t>
      </w:r>
      <w:r>
        <w:rPr>
          <w:rFonts w:hint="eastAsia" w:ascii="宋体" w:hAnsi="宋体" w:cs="宋体"/>
          <w:sz w:val="24"/>
          <w:highlight w:val="none"/>
        </w:rPr>
        <w:t xml:space="preserve">  </w:t>
      </w:r>
      <w:r>
        <w:rPr>
          <w:rFonts w:hint="eastAsia" w:ascii="宋体" w:hAnsi="宋体" w:cs="宋体"/>
          <w:sz w:val="24"/>
          <w:highlight w:val="none"/>
          <w:lang w:val="en-US" w:eastAsia="zh-CN"/>
        </w:rPr>
        <w:t>500000.00</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w:t>
      </w:r>
      <w:r>
        <w:rPr>
          <w:rFonts w:hint="eastAsia" w:ascii="宋体" w:hAnsi="宋体" w:cs="宋体"/>
          <w:b/>
          <w:sz w:val="24"/>
          <w:highlight w:val="none"/>
          <w:lang w:eastAsia="zh-CN"/>
        </w:rPr>
        <w:t>（元）</w:t>
      </w:r>
      <w:r>
        <w:rPr>
          <w:rFonts w:hint="eastAsia" w:ascii="宋体" w:hAnsi="宋体" w:cs="宋体"/>
          <w:b/>
          <w:sz w:val="24"/>
          <w:highlight w:val="none"/>
        </w:rPr>
        <w:t>：</w:t>
      </w:r>
      <w:r>
        <w:rPr>
          <w:rFonts w:hint="eastAsia" w:ascii="宋体" w:hAnsi="宋体" w:cs="宋体"/>
          <w:sz w:val="24"/>
          <w:highlight w:val="none"/>
        </w:rPr>
        <w:t xml:space="preserve">  </w:t>
      </w:r>
      <w:r>
        <w:rPr>
          <w:rFonts w:hint="eastAsia" w:ascii="宋体" w:hAnsi="宋体" w:cs="宋体"/>
          <w:sz w:val="24"/>
          <w:highlight w:val="none"/>
          <w:lang w:val="en-US" w:eastAsia="zh-CN"/>
        </w:rPr>
        <w:t>500000.00</w:t>
      </w:r>
    </w:p>
    <w:p>
      <w:pPr>
        <w:pStyle w:val="1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杭州市西湖区应急管理局自然灾害风险普查成果深化应用系统（二期）项目，</w:t>
      </w:r>
      <w:r>
        <w:rPr>
          <w:rFonts w:hint="eastAsia" w:hAnsi="宋体" w:cs="宋体"/>
          <w:bCs/>
          <w:snapToGrid/>
          <w:color w:val="auto"/>
          <w:kern w:val="2"/>
          <w:sz w:val="24"/>
          <w:szCs w:val="24"/>
          <w:highlight w:val="none"/>
        </w:rPr>
        <w:t>主要包含以下内容：</w:t>
      </w:r>
      <w:r>
        <w:rPr>
          <w:rFonts w:hint="eastAsia" w:hAnsi="宋体" w:cs="宋体"/>
          <w:bCs/>
          <w:snapToGrid/>
          <w:color w:val="auto"/>
          <w:kern w:val="2"/>
          <w:sz w:val="24"/>
          <w:szCs w:val="24"/>
          <w:highlight w:val="none"/>
          <w:lang w:eastAsia="zh-CN"/>
        </w:rPr>
        <w:t>数据资源及数据仓设计、数据统计分析、数据库修正、减灾能力分析、日志管理</w:t>
      </w:r>
      <w:r>
        <w:rPr>
          <w:rFonts w:hint="eastAsia" w:hAnsi="宋体" w:cs="宋体"/>
          <w:bCs/>
          <w:snapToGrid/>
          <w:color w:val="auto"/>
          <w:kern w:val="2"/>
          <w:sz w:val="24"/>
          <w:szCs w:val="24"/>
          <w:highlight w:val="none"/>
          <w:lang w:val="en-US" w:eastAsia="zh-CN"/>
        </w:rPr>
        <w:t>,</w:t>
      </w:r>
      <w:r>
        <w:rPr>
          <w:rFonts w:hint="eastAsia" w:hAnsi="宋体" w:cs="宋体"/>
          <w:bCs/>
          <w:snapToGrid/>
          <w:color w:val="auto"/>
          <w:kern w:val="2"/>
          <w:sz w:val="24"/>
          <w:szCs w:val="24"/>
          <w:highlight w:val="none"/>
        </w:rPr>
        <w:t>提供</w:t>
      </w:r>
      <w:r>
        <w:rPr>
          <w:rFonts w:hint="eastAsia" w:hAnsi="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rPr>
        <w:t>年</w:t>
      </w:r>
      <w:r>
        <w:rPr>
          <w:rFonts w:hint="eastAsia" w:hAnsi="宋体" w:cs="宋体"/>
          <w:bCs/>
          <w:snapToGrid/>
          <w:color w:val="auto"/>
          <w:kern w:val="2"/>
          <w:sz w:val="24"/>
          <w:szCs w:val="24"/>
          <w:highlight w:val="none"/>
          <w:lang w:eastAsia="zh-CN"/>
        </w:rPr>
        <w:t>软件</w:t>
      </w:r>
      <w:r>
        <w:rPr>
          <w:rFonts w:hint="eastAsia" w:hAnsi="宋体" w:cs="宋体"/>
          <w:bCs/>
          <w:snapToGrid/>
          <w:color w:val="auto"/>
          <w:kern w:val="2"/>
          <w:sz w:val="24"/>
          <w:szCs w:val="24"/>
          <w:highlight w:val="none"/>
        </w:rPr>
        <w:t>售后</w:t>
      </w:r>
      <w:r>
        <w:rPr>
          <w:rFonts w:hint="eastAsia" w:hAnsi="宋体" w:cs="宋体"/>
          <w:bCs/>
          <w:snapToGrid/>
          <w:color w:val="auto"/>
          <w:kern w:val="2"/>
          <w:sz w:val="24"/>
          <w:szCs w:val="24"/>
          <w:highlight w:val="none"/>
          <w:lang w:eastAsia="zh-CN"/>
        </w:rPr>
        <w:t>维护</w:t>
      </w:r>
      <w:r>
        <w:rPr>
          <w:rFonts w:hint="eastAsia" w:hAnsi="宋体" w:cs="宋体"/>
          <w:bCs/>
          <w:snapToGrid/>
          <w:color w:val="auto"/>
          <w:kern w:val="2"/>
          <w:sz w:val="24"/>
          <w:szCs w:val="24"/>
          <w:highlight w:val="none"/>
        </w:rPr>
        <w:t>服务</w:t>
      </w:r>
      <w:r>
        <w:rPr>
          <w:rFonts w:hint="eastAsia" w:hAnsi="宋体" w:cs="宋体"/>
          <w:bCs/>
          <w:snapToGrid/>
          <w:color w:val="auto"/>
          <w:kern w:val="2"/>
          <w:sz w:val="24"/>
          <w:szCs w:val="24"/>
          <w:highlight w:val="none"/>
          <w:lang w:eastAsia="zh-CN"/>
        </w:rPr>
        <w:t>。具体详见招标文件第三部分采购需求。</w:t>
      </w:r>
      <w:r>
        <w:rPr>
          <w:rFonts w:hint="eastAsia" w:hAnsi="宋体" w:cs="宋体"/>
          <w:bCs/>
          <w:snapToGrid/>
          <w:color w:val="auto"/>
          <w:kern w:val="2"/>
          <w:sz w:val="24"/>
          <w:szCs w:val="24"/>
          <w:highlight w:val="none"/>
        </w:rPr>
        <w:t>供应商可点击本公告下方“浏览采购文件”查看采购需求。</w:t>
      </w:r>
    </w:p>
    <w:p>
      <w:pPr>
        <w:pStyle w:val="131"/>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b/>
          <w:highlight w:val="none"/>
          <w:lang w:val="en-US" w:eastAsia="zh-CN"/>
        </w:rPr>
        <w:t>1年。</w:t>
      </w:r>
    </w:p>
    <w:p>
      <w:pPr>
        <w:pStyle w:val="1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w:t>
      </w:r>
      <w:r>
        <w:rPr>
          <w:rFonts w:hint="eastAsia" w:ascii="宋体" w:hAnsi="宋体" w:cs="宋体"/>
          <w:b/>
          <w:bCs/>
          <w:sz w:val="24"/>
          <w:highlight w:val="none"/>
        </w:rPr>
        <w:t>中小</w:t>
      </w:r>
      <w:r>
        <w:rPr>
          <w:rFonts w:hint="eastAsia" w:ascii="宋体" w:hAnsi="宋体" w:cs="宋体"/>
          <w:b/>
          <w:bCs/>
          <w:sz w:val="24"/>
          <w:highlight w:val="none"/>
          <w:lang w:eastAsia="zh-CN"/>
        </w:rPr>
        <w:t>微</w:t>
      </w:r>
      <w:r>
        <w:rPr>
          <w:rFonts w:hint="eastAsia" w:ascii="宋体" w:hAnsi="宋体" w:cs="宋体"/>
          <w:sz w:val="24"/>
          <w:highlight w:val="none"/>
        </w:rPr>
        <w:t>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4.本项目的特定资格要求：</w:t>
      </w:r>
    </w:p>
    <w:p>
      <w:pPr>
        <w:snapToGrid w:val="0"/>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17</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17</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17</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 xml:space="preserve">杭州市西湖区应急管理局  </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    址：</w:t>
      </w:r>
      <w:r>
        <w:rPr>
          <w:rFonts w:hint="eastAsia" w:hAnsi="宋体" w:cs="宋体"/>
          <w:bCs/>
          <w:snapToGrid/>
          <w:color w:val="000000" w:themeColor="text1"/>
          <w:kern w:val="2"/>
          <w:sz w:val="24"/>
          <w:szCs w:val="24"/>
          <w:highlight w:val="none"/>
          <w:lang w:eastAsia="zh-CN"/>
          <w14:textFill>
            <w14:solidFill>
              <w14:schemeClr w14:val="tx1"/>
            </w14:solidFill>
          </w14:textFill>
        </w:rPr>
        <w:t>西湖区外东山弄32号</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cs="宋体"/>
          <w:sz w:val="24"/>
          <w:highlight w:val="none"/>
        </w:rPr>
      </w:pPr>
      <w:r>
        <w:rPr>
          <w:rFonts w:hint="eastAsia" w:ascii="宋体" w:hAnsi="宋体" w:cs="宋体"/>
          <w:sz w:val="24"/>
          <w:highlight w:val="none"/>
        </w:rPr>
        <w:t xml:space="preserve">项目联系人（询问）： </w:t>
      </w:r>
      <w:r>
        <w:rPr>
          <w:rFonts w:hint="eastAsia" w:ascii="宋体" w:hAnsi="宋体" w:cs="宋体"/>
          <w:sz w:val="24"/>
          <w:highlight w:val="none"/>
          <w:lang w:val="en-US" w:eastAsia="zh-CN"/>
        </w:rPr>
        <w:t>王峰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项目联系方式（询问）：0571-89511828</w:t>
      </w:r>
    </w:p>
    <w:p>
      <w:pPr>
        <w:spacing w:line="360" w:lineRule="auto"/>
        <w:rPr>
          <w:rFonts w:ascii="宋体" w:hAnsi="宋体" w:cs="宋体"/>
          <w:sz w:val="24"/>
          <w:highlight w:val="none"/>
        </w:rPr>
      </w:pPr>
      <w:r>
        <w:rPr>
          <w:rFonts w:hint="eastAsia" w:ascii="宋体" w:hAnsi="宋体" w:cs="宋体"/>
          <w:sz w:val="24"/>
          <w:highlight w:val="none"/>
        </w:rPr>
        <w:t xml:space="preserve">    质疑联系人： </w:t>
      </w:r>
      <w:r>
        <w:rPr>
          <w:rFonts w:hint="eastAsia" w:ascii="宋体" w:hAnsi="宋体" w:cs="宋体"/>
          <w:sz w:val="24"/>
          <w:highlight w:val="none"/>
          <w:lang w:val="en-US" w:eastAsia="zh-CN"/>
        </w:rPr>
        <w:t>王炜</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质疑联系方式</w:t>
      </w:r>
      <w:r>
        <w:rPr>
          <w:rFonts w:hint="eastAsia" w:ascii="宋体" w:hAnsi="宋体" w:cs="宋体"/>
          <w:sz w:val="24"/>
          <w:highlight w:val="none"/>
          <w:lang w:eastAsia="zh-CN"/>
        </w:rPr>
        <w:t>：</w:t>
      </w:r>
      <w:r>
        <w:rPr>
          <w:rFonts w:hint="eastAsia" w:ascii="宋体" w:hAnsi="宋体" w:cs="宋体"/>
          <w:sz w:val="24"/>
          <w:highlight w:val="none"/>
        </w:rPr>
        <w:t xml:space="preserve"> 0571-89511829</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val="en-US" w:eastAsia="zh-CN"/>
        </w:rPr>
        <w:t>蒋晓峥</w:t>
      </w:r>
      <w:r>
        <w:rPr>
          <w:rFonts w:hint="eastAsia" w:ascii="宋体" w:hAnsi="宋体" w:cs="宋体"/>
          <w:sz w:val="24"/>
          <w:highlight w:val="none"/>
        </w:rPr>
        <w:t xml:space="preserve">         </w:t>
      </w:r>
      <w:bookmarkStart w:id="518" w:name="_GoBack"/>
      <w:bookmarkEnd w:id="518"/>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项目联系方式（询问）：</w:t>
      </w:r>
      <w:r>
        <w:rPr>
          <w:rFonts w:hint="default" w:ascii="宋体" w:hAnsi="宋体" w:cs="宋体"/>
          <w:sz w:val="24"/>
          <w:highlight w:val="none"/>
          <w:lang w:val="en-US"/>
        </w:rPr>
        <w:t>0571-8951</w:t>
      </w:r>
      <w:r>
        <w:rPr>
          <w:rFonts w:hint="eastAsia" w:ascii="宋体" w:hAnsi="宋体" w:cs="宋体"/>
          <w:sz w:val="24"/>
          <w:highlight w:val="none"/>
          <w:lang w:val="en-US" w:eastAsia="zh-CN"/>
        </w:rPr>
        <w:t>1448</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hint="eastAsia" w:asciiTheme="minorEastAsia" w:hAnsiTheme="minorEastAsia" w:eastAsiaTheme="minorEastAsia" w:cstheme="minorEastAsia"/>
          <w:sz w:val="24"/>
          <w:szCs w:val="24"/>
          <w:highlight w:val="none"/>
        </w:rPr>
      </w:pPr>
      <w:r>
        <w:rPr>
          <w:rFonts w:hint="eastAsia" w:ascii="宋体" w:hAnsi="宋体" w:cs="宋体"/>
          <w:sz w:val="24"/>
          <w:highlight w:val="none"/>
        </w:rPr>
        <w:t xml:space="preserve">    </w:t>
      </w:r>
      <w:r>
        <w:rPr>
          <w:rFonts w:hint="eastAsia" w:asciiTheme="minorEastAsia" w:hAnsiTheme="minorEastAsia" w:eastAsiaTheme="minorEastAsia" w:cstheme="minorEastAsia"/>
          <w:sz w:val="24"/>
          <w:szCs w:val="24"/>
          <w:highlight w:val="none"/>
        </w:rPr>
        <w:t>名    称：杭州市西湖区财政局、浙江省政府采购行政裁决服务中心（杭州）</w:t>
      </w:r>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    址：杭州市上城区四季青街道新业路市民之家G03办公室（快递仅限ems或顺丰）</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传    真： /</w:t>
      </w:r>
    </w:p>
    <w:p>
      <w:pPr>
        <w:spacing w:line="360" w:lineRule="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 xml:space="preserve">    联系人 ：</w:t>
      </w:r>
      <w:r>
        <w:rPr>
          <w:rFonts w:hint="eastAsia" w:asciiTheme="minorEastAsia" w:hAnsiTheme="minorEastAsia" w:eastAsiaTheme="minorEastAsia" w:cstheme="minorEastAsia"/>
          <w:sz w:val="24"/>
          <w:szCs w:val="24"/>
          <w:highlight w:val="none"/>
          <w:lang w:eastAsia="zh-CN"/>
        </w:rPr>
        <w:t>朱女士、王女士</w:t>
      </w:r>
    </w:p>
    <w:p>
      <w:pPr>
        <w:spacing w:line="360" w:lineRule="auto"/>
        <w:ind w:firstLine="480" w:firstLineChars="200"/>
        <w:rPr>
          <w:rFonts w:ascii="宋体" w:hAnsi="宋体" w:cs="宋体"/>
          <w:sz w:val="24"/>
          <w:highlight w:val="none"/>
        </w:rPr>
      </w:pPr>
      <w:r>
        <w:rPr>
          <w:rFonts w:hint="eastAsia" w:asciiTheme="minorEastAsia" w:hAnsiTheme="minorEastAsia" w:eastAsiaTheme="minorEastAsia" w:cstheme="minorEastAsia"/>
          <w:sz w:val="24"/>
          <w:szCs w:val="24"/>
          <w:highlight w:val="none"/>
        </w:rPr>
        <w:t xml:space="preserve">监督投诉电话：0571-85252453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adjustRightInd/>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第二部分</w:t>
      </w:r>
      <w:bookmarkEnd w:id="8"/>
      <w:r>
        <w:rPr>
          <w:rFonts w:hint="eastAsia" w:cs="宋体" w:asciiTheme="minorEastAsia" w:hAnsiTheme="minorEastAsia" w:eastAsiaTheme="minorEastAsia"/>
          <w:b/>
          <w:sz w:val="36"/>
          <w:szCs w:val="20"/>
          <w:highlight w:val="none"/>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杭州市西湖区应急管理局自然灾害风险普查成果深化应用系统（二期）项目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软件和信息技术服务业   </w:t>
            </w:r>
            <w:r>
              <w:rPr>
                <w:rFonts w:hint="eastAsia" w:ascii="宋体" w:hAnsi="宋体" w:cs="宋体"/>
                <w:kern w:val="0"/>
                <w:sz w:val="24"/>
                <w:highlight w:val="none"/>
              </w:rPr>
              <w:t>行业；</w:t>
            </w:r>
          </w:p>
          <w:p>
            <w:pPr>
              <w:snapToGrid w:val="0"/>
              <w:spacing w:line="360" w:lineRule="auto"/>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cs="宋体" w:eastAsiaTheme="minorEastAsia"/>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cs="宋体" w:asciiTheme="minorEastAsia" w:hAnsiTheme="minorEastAsia" w:eastAsiaTheme="minorEastAsia"/>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Mincho" w:cs="MS Mincho"/>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系统日志管理</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eastAsia="宋体" w:cs="宋体" w:asciiTheme="minorEastAsia" w:hAnsiTheme="minorEastAsia"/>
                <w:b/>
                <w:sz w:val="24"/>
                <w:highlight w:val="none"/>
                <w:lang w:eastAsia="zh-CN"/>
              </w:rPr>
            </w:pPr>
            <w:r>
              <w:rPr>
                <w:rFonts w:hint="eastAsia" w:ascii="宋体" w:hAnsi="宋体" w:cs="宋体"/>
                <w:color w:val="auto"/>
                <w:sz w:val="24"/>
                <w:highlight w:val="none"/>
              </w:rPr>
              <w:t>（7）制作、运输、安装和保管样品所发生的一切费用由投标人自理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lang w:eastAsia="zh-CN"/>
              </w:rPr>
              <w:t>功能</w:t>
            </w:r>
            <w:r>
              <w:rPr>
                <w:rFonts w:hint="eastAsia" w:cs="宋体" w:asciiTheme="minorEastAsia" w:hAnsiTheme="minorEastAsia" w:eastAsiaTheme="minorEastAsia"/>
                <w:b/>
                <w:sz w:val="24"/>
                <w:highlight w:val="none"/>
              </w:rPr>
              <w:t>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cs="宋体" w:eastAsiaTheme="minorEastAsia"/>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Mincho" w:cs="MS Mincho"/>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hint="eastAsia" w:ascii="宋体" w:hAnsi="宋体" w:cs="宋体"/>
                <w:kern w:val="0"/>
                <w:sz w:val="24"/>
                <w:highlight w:val="none"/>
              </w:rPr>
            </w:pPr>
            <w:r>
              <w:rPr>
                <w:rFonts w:hint="eastAsia" w:ascii="宋体" w:hAnsi="宋体" w:cs="宋体"/>
                <w:kern w:val="0"/>
                <w:sz w:val="24"/>
                <w:highlight w:val="none"/>
              </w:rPr>
              <w:t>注：</w:t>
            </w:r>
            <w:r>
              <w:rPr>
                <w:rFonts w:hint="default" w:ascii="宋体" w:hAnsi="宋体" w:cs="宋体"/>
                <w:kern w:val="0"/>
                <w:sz w:val="24"/>
                <w:highlight w:val="none"/>
                <w:lang w:val="en-US"/>
              </w:rPr>
              <w:t>1</w:t>
            </w:r>
            <w:r>
              <w:rPr>
                <w:rFonts w:hint="eastAsia" w:ascii="宋体" w:hAnsi="宋体" w:cs="宋体"/>
                <w:kern w:val="0"/>
                <w:sz w:val="24"/>
                <w:highlight w:val="none"/>
                <w:lang w:val="en-US" w:eastAsia="zh-CN"/>
              </w:rPr>
              <w:t>、</w:t>
            </w:r>
            <w:r>
              <w:rPr>
                <w:rFonts w:hint="eastAsia" w:ascii="宋体" w:hAnsi="宋体" w:cs="宋体"/>
                <w:kern w:val="0"/>
                <w:sz w:val="24"/>
                <w:highlight w:val="none"/>
              </w:rPr>
              <w:t>因投标人自身原因导致无法演示或者演示效果不理想的，责任自负。因平台原因导致本项目方案讲解演示环节无法顺利开展，按照《浙江省政府采购项目电子交易管理暂行办法》相关规定执行。</w:t>
            </w:r>
          </w:p>
          <w:p>
            <w:pPr>
              <w:snapToGrid w:val="0"/>
              <w:spacing w:line="360" w:lineRule="auto"/>
              <w:rPr>
                <w:rFonts w:hint="eastAsia" w:eastAsia="宋体" w:cs="宋体" w:asciiTheme="minorEastAsia" w:hAnsiTheme="minorEastAsia"/>
                <w:b/>
                <w:kern w:val="0"/>
                <w:sz w:val="24"/>
                <w:highlight w:val="none"/>
                <w:lang w:val="en-US" w:eastAsia="zh-CN"/>
              </w:rPr>
            </w:pPr>
            <w:r>
              <w:rPr>
                <w:rFonts w:hint="default" w:ascii="宋体" w:hAnsi="宋体" w:cs="宋体"/>
                <w:kern w:val="0"/>
                <w:sz w:val="24"/>
                <w:highlight w:val="none"/>
                <w:lang w:val="en-US"/>
              </w:rPr>
              <w:t>2</w:t>
            </w:r>
            <w:r>
              <w:rPr>
                <w:rFonts w:hint="eastAsia" w:ascii="宋体" w:hAnsi="宋体" w:cs="宋体"/>
                <w:kern w:val="0"/>
                <w:sz w:val="24"/>
                <w:highlight w:val="none"/>
                <w:lang w:val="en-US" w:eastAsia="zh-CN"/>
              </w:rPr>
              <w:t>、功能演示采用在线讲解演示或播放录制好的演示视频，通过图片、PPT等方式演示的不得分。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shd w:val="clear" w:color="auto" w:fill="auto"/>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shd w:val="clear" w:color="auto" w:fill="auto"/>
                  <w:lang w:val="zh-CN"/>
                </w:rPr>
              </w:sdtEndPr>
              <w:sdtContent>
                <w:r>
                  <w:rPr>
                    <w:rFonts w:hint="eastAsia" w:ascii="MS Gothic" w:hAnsi="MS Gothic" w:eastAsia="宋体" w:cs="宋体"/>
                    <w:color w:val="auto"/>
                    <w:kern w:val="0"/>
                    <w:sz w:val="24"/>
                    <w:szCs w:val="24"/>
                    <w:highlight w:val="none"/>
                    <w:shd w:val="clear" w:color="auto" w:fill="auto"/>
                    <w:lang w:val="zh-CN" w:eastAsia="zh-CN" w:bidi="ar-SA"/>
                  </w:rPr>
                  <w:t>☐</w:t>
                </w:r>
              </w:sdtContent>
            </w:sdt>
            <w:r>
              <w:rPr>
                <w:rFonts w:hint="eastAsia" w:ascii="宋体" w:hAnsi="宋体" w:cs="宋体"/>
                <w:color w:val="auto"/>
                <w:kern w:val="0"/>
                <w:sz w:val="24"/>
                <w:highlight w:val="none"/>
                <w:shd w:val="clear" w:color="auto" w:fill="auto"/>
                <w:lang w:val="zh-CN"/>
              </w:rPr>
              <w:t>依据国家确定的认证机构出具的、处于有效期之内的节能产品认证证书，对获得证书的产品实施政府优先采购或强制采购；其中，对</w:t>
            </w:r>
            <w:r>
              <w:rPr>
                <w:rFonts w:hint="default" w:ascii="宋体" w:hAnsi="宋体" w:cs="宋体"/>
                <w:color w:val="auto"/>
                <w:kern w:val="0"/>
                <w:sz w:val="24"/>
                <w:highlight w:val="none"/>
                <w:u w:val="single"/>
                <w:shd w:val="clear" w:color="auto" w:fill="auto"/>
                <w:lang w:val="en-US"/>
              </w:rPr>
              <w:t xml:space="preserve"> / </w:t>
            </w:r>
            <w:r>
              <w:rPr>
                <w:rFonts w:hint="eastAsia" w:ascii="宋体" w:hAnsi="宋体" w:cs="宋体"/>
                <w:color w:val="auto"/>
                <w:kern w:val="0"/>
                <w:sz w:val="24"/>
                <w:highlight w:val="none"/>
                <w:shd w:val="clear" w:color="auto" w:fill="auto"/>
                <w:lang w:val="zh-CN"/>
              </w:rPr>
              <w:t>实施政府优先采购，</w:t>
            </w:r>
            <w:r>
              <w:rPr>
                <w:rFonts w:hint="eastAsia" w:ascii="宋体" w:hAnsi="宋体" w:cs="宋体"/>
                <w:color w:val="auto"/>
                <w:kern w:val="0"/>
                <w:sz w:val="24"/>
                <w:highlight w:val="none"/>
                <w:shd w:val="clear" w:color="auto" w:fill="auto"/>
              </w:rPr>
              <w:t>详</w:t>
            </w:r>
            <w:r>
              <w:rPr>
                <w:rFonts w:hint="eastAsia" w:ascii="宋体" w:hAnsi="宋体" w:cs="宋体"/>
                <w:color w:val="auto"/>
                <w:kern w:val="0"/>
                <w:sz w:val="24"/>
                <w:highlight w:val="none"/>
                <w:shd w:val="clear" w:color="auto" w:fill="auto"/>
                <w:lang w:val="zh-CN"/>
              </w:rPr>
              <w:t>见</w:t>
            </w:r>
            <w:r>
              <w:rPr>
                <w:rFonts w:hint="eastAsia" w:ascii="宋体" w:hAnsi="宋体" w:cs="宋体"/>
                <w:color w:val="auto"/>
                <w:kern w:val="0"/>
                <w:sz w:val="24"/>
                <w:highlight w:val="none"/>
                <w:u w:val="single"/>
                <w:shd w:val="clear" w:color="auto" w:fill="auto"/>
                <w:lang w:val="zh-CN"/>
              </w:rPr>
              <w:t>评分标准</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w:t>
            </w:r>
            <w:r>
              <w:rPr>
                <w:rFonts w:hint="eastAsia" w:ascii="宋体" w:hAnsi="宋体" w:cs="宋体"/>
                <w:color w:val="auto"/>
                <w:kern w:val="0"/>
                <w:sz w:val="24"/>
                <w:highlight w:val="none"/>
                <w:shd w:val="clear" w:color="auto" w:fill="auto"/>
                <w:lang w:val="zh-CN"/>
              </w:rPr>
              <w:t>对</w:t>
            </w:r>
            <w:r>
              <w:rPr>
                <w:rFonts w:hint="default" w:ascii="宋体" w:hAnsi="宋体" w:cs="宋体"/>
                <w:color w:val="auto"/>
                <w:kern w:val="0"/>
                <w:sz w:val="24"/>
                <w:highlight w:val="none"/>
                <w:u w:val="single"/>
                <w:shd w:val="clear" w:color="auto" w:fill="auto"/>
                <w:lang w:val="en-US"/>
              </w:rPr>
              <w:t xml:space="preserve"> / </w:t>
            </w:r>
            <w:r>
              <w:rPr>
                <w:rFonts w:hint="eastAsia" w:ascii="宋体" w:hAnsi="宋体" w:cs="宋体"/>
                <w:color w:val="auto"/>
                <w:kern w:val="0"/>
                <w:sz w:val="24"/>
                <w:highlight w:val="none"/>
                <w:shd w:val="clear" w:color="auto" w:fill="auto"/>
                <w:lang w:val="zh-CN"/>
              </w:rPr>
              <w:t>实施政府强制采购，</w:t>
            </w:r>
            <w:r>
              <w:rPr>
                <w:rFonts w:hint="eastAsia" w:ascii="宋体" w:hAnsi="宋体" w:cs="宋体"/>
                <w:b/>
                <w:bCs/>
                <w:color w:val="auto"/>
                <w:kern w:val="0"/>
                <w:sz w:val="24"/>
                <w:highlight w:val="none"/>
                <w:shd w:val="clear" w:color="auto" w:fill="auto"/>
                <w:lang w:val="zh-CN"/>
              </w:rPr>
              <w:t>投标人</w:t>
            </w:r>
            <w:r>
              <w:rPr>
                <w:rFonts w:hint="eastAsia" w:ascii="宋体" w:hAnsi="宋体" w:cs="宋体"/>
                <w:b/>
                <w:bCs/>
                <w:color w:val="auto"/>
                <w:kern w:val="0"/>
                <w:sz w:val="24"/>
                <w:highlight w:val="none"/>
                <w:shd w:val="clear" w:color="auto" w:fill="auto"/>
              </w:rPr>
              <w:t>就</w:t>
            </w:r>
            <w:r>
              <w:rPr>
                <w:rFonts w:hint="eastAsia" w:ascii="宋体" w:hAnsi="宋体" w:cs="宋体"/>
                <w:b/>
                <w:bCs/>
                <w:color w:val="auto"/>
                <w:kern w:val="0"/>
                <w:sz w:val="24"/>
                <w:highlight w:val="none"/>
                <w:shd w:val="clear" w:color="auto" w:fill="auto"/>
                <w:lang w:val="zh-CN"/>
              </w:rPr>
              <w:t>相应的投标产品未</w:t>
            </w:r>
            <w:r>
              <w:rPr>
                <w:rFonts w:hint="eastAsia" w:ascii="宋体" w:hAnsi="宋体" w:cs="宋体"/>
                <w:b/>
                <w:bCs/>
                <w:color w:val="auto"/>
                <w:kern w:val="0"/>
                <w:sz w:val="24"/>
                <w:highlight w:val="none"/>
                <w:shd w:val="clear" w:color="auto" w:fill="auto"/>
              </w:rPr>
              <w:t>提供</w:t>
            </w:r>
            <w:r>
              <w:rPr>
                <w:rFonts w:hint="eastAsia" w:ascii="宋体" w:hAnsi="宋体" w:cs="宋体"/>
                <w:b/>
                <w:bCs/>
                <w:color w:val="auto"/>
                <w:kern w:val="0"/>
                <w:sz w:val="24"/>
                <w:highlight w:val="none"/>
                <w:shd w:val="clear" w:color="auto" w:fill="auto"/>
                <w:lang w:val="zh-CN"/>
              </w:rPr>
              <w:t>国家确定的认证机构出具的、处于有效期之内的节能产品认证证书的，投标无效</w:t>
            </w:r>
            <w:r>
              <w:rPr>
                <w:rFonts w:hint="eastAsia" w:ascii="宋体" w:hAnsi="宋体" w:cs="宋体"/>
                <w:color w:val="auto"/>
                <w:kern w:val="0"/>
                <w:sz w:val="24"/>
                <w:highlight w:val="none"/>
                <w:shd w:val="clear" w:color="auto" w:fill="auto"/>
                <w:lang w:val="zh-CN"/>
              </w:rPr>
              <w:t>。</w:t>
            </w:r>
          </w:p>
          <w:p>
            <w:pPr>
              <w:spacing w:line="360" w:lineRule="auto"/>
              <w:rPr>
                <w:rFonts w:ascii="宋体" w:hAnsi="宋体" w:cs="宋体"/>
                <w:color w:val="auto"/>
                <w:kern w:val="0"/>
                <w:sz w:val="24"/>
                <w:highlight w:val="none"/>
                <w:shd w:val="clear" w:color="auto" w:fill="auto"/>
                <w:lang w:val="zh-CN"/>
              </w:rPr>
            </w:pPr>
            <w:sdt>
              <w:sdtPr>
                <w:rPr>
                  <w:rFonts w:hint="eastAsia" w:ascii="宋体" w:hAnsi="宋体" w:cs="宋体"/>
                  <w:color w:val="auto"/>
                  <w:kern w:val="0"/>
                  <w:sz w:val="24"/>
                  <w:highlight w:val="none"/>
                  <w:shd w:val="clear" w:color="auto" w:fill="auto"/>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shd w:val="clear" w:color="auto" w:fill="auto"/>
                  <w:lang w:val="zh-CN"/>
                </w:rPr>
              </w:sdtEndPr>
              <w:sdtContent>
                <w:r>
                  <w:rPr>
                    <w:rFonts w:hint="eastAsia" w:ascii="宋体" w:hAnsi="宋体" w:cs="宋体"/>
                    <w:color w:val="auto"/>
                    <w:kern w:val="0"/>
                    <w:sz w:val="24"/>
                    <w:highlight w:val="none"/>
                    <w:shd w:val="clear" w:color="auto" w:fill="auto"/>
                    <w:lang w:val="zh-CN"/>
                  </w:rPr>
                  <w:t>☐</w:t>
                </w:r>
              </w:sdtContent>
            </w:sdt>
            <w:r>
              <w:rPr>
                <w:rFonts w:hint="eastAsia" w:ascii="宋体" w:hAnsi="宋体" w:cs="宋体"/>
                <w:color w:val="auto"/>
                <w:kern w:val="0"/>
                <w:sz w:val="24"/>
                <w:highlight w:val="none"/>
                <w:shd w:val="clear" w:color="auto" w:fill="auto"/>
                <w:lang w:val="zh-CN"/>
              </w:rPr>
              <w:t>依据国家确定的认证机构出具的、处于有效期之内的环境标志产品认证证书，对获得证书的</w:t>
            </w:r>
            <w:r>
              <w:rPr>
                <w:rFonts w:hint="default" w:ascii="宋体" w:hAnsi="宋体" w:cs="宋体"/>
                <w:color w:val="auto"/>
                <w:kern w:val="0"/>
                <w:sz w:val="24"/>
                <w:highlight w:val="none"/>
                <w:u w:val="single"/>
                <w:shd w:val="clear" w:color="auto" w:fill="auto"/>
                <w:lang w:val="en-US"/>
              </w:rPr>
              <w:t xml:space="preserve"> / </w:t>
            </w:r>
            <w:r>
              <w:rPr>
                <w:rFonts w:hint="eastAsia" w:ascii="宋体" w:hAnsi="宋体" w:cs="宋体"/>
                <w:color w:val="auto"/>
                <w:kern w:val="0"/>
                <w:sz w:val="24"/>
                <w:highlight w:val="none"/>
                <w:shd w:val="clear" w:color="auto" w:fill="auto"/>
                <w:lang w:val="zh-CN"/>
              </w:rPr>
              <w:t>实施政府优先采购，</w:t>
            </w:r>
            <w:r>
              <w:rPr>
                <w:rFonts w:hint="eastAsia" w:ascii="宋体" w:hAnsi="宋体" w:cs="宋体"/>
                <w:color w:val="auto"/>
                <w:kern w:val="0"/>
                <w:sz w:val="24"/>
                <w:highlight w:val="none"/>
                <w:shd w:val="clear" w:color="auto" w:fill="auto"/>
              </w:rPr>
              <w:t>详</w:t>
            </w:r>
            <w:r>
              <w:rPr>
                <w:rFonts w:hint="eastAsia" w:ascii="宋体" w:hAnsi="宋体" w:cs="宋体"/>
                <w:color w:val="auto"/>
                <w:kern w:val="0"/>
                <w:sz w:val="24"/>
                <w:highlight w:val="none"/>
                <w:shd w:val="clear" w:color="auto" w:fill="auto"/>
                <w:lang w:val="zh-CN"/>
              </w:rPr>
              <w:t>见</w:t>
            </w:r>
            <w:r>
              <w:rPr>
                <w:rFonts w:hint="eastAsia" w:ascii="宋体" w:hAnsi="宋体" w:cs="宋体"/>
                <w:color w:val="auto"/>
                <w:kern w:val="0"/>
                <w:sz w:val="24"/>
                <w:highlight w:val="none"/>
                <w:u w:val="single"/>
                <w:shd w:val="clear" w:color="auto" w:fill="auto"/>
                <w:lang w:val="zh-CN"/>
              </w:rPr>
              <w:t>评分标准</w:t>
            </w:r>
            <w:r>
              <w:rPr>
                <w:rFonts w:hint="eastAsia" w:ascii="宋体" w:hAnsi="宋体" w:cs="宋体"/>
                <w:color w:val="auto"/>
                <w:kern w:val="0"/>
                <w:sz w:val="24"/>
                <w:highlight w:val="none"/>
                <w:shd w:val="clear" w:color="auto" w:fill="auto"/>
                <w:lang w:val="zh-CN"/>
              </w:rPr>
              <w:t>。</w:t>
            </w:r>
          </w:p>
          <w:p>
            <w:pPr>
              <w:snapToGrid w:val="0"/>
              <w:spacing w:line="360" w:lineRule="auto"/>
              <w:rPr>
                <w:rFonts w:hint="eastAsia" w:cs="宋体" w:asciiTheme="minorEastAsia" w:hAnsiTheme="minorEastAsia" w:eastAsiaTheme="minorEastAsia"/>
                <w:highlight w:val="none"/>
                <w:lang w:eastAsia="zh-CN"/>
              </w:rPr>
            </w:pPr>
            <w:sdt>
              <w:sdtPr>
                <w:rPr>
                  <w:rFonts w:hint="eastAsia" w:ascii="宋体" w:hAnsi="宋体" w:cs="宋体"/>
                  <w:color w:val="auto"/>
                  <w:kern w:val="0"/>
                  <w:sz w:val="24"/>
                  <w:highlight w:val="none"/>
                  <w:shd w:val="clear" w:color="auto" w:fill="auto"/>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shd w:val="clear" w:color="auto" w:fill="auto"/>
                </w:rPr>
              </w:sdtEndPr>
              <w:sdtContent>
                <w:r>
                  <w:rPr>
                    <w:rFonts w:hint="eastAsia" w:ascii="宋体" w:hAnsi="宋体" w:cs="宋体"/>
                    <w:color w:val="auto"/>
                    <w:kern w:val="0"/>
                    <w:sz w:val="24"/>
                    <w:highlight w:val="none"/>
                    <w:shd w:val="clear" w:color="auto" w:fill="auto"/>
                  </w:rPr>
                  <w:sym w:font="Wingdings" w:char="F0FE"/>
                </w:r>
              </w:sdtContent>
            </w:sdt>
            <w:r>
              <w:rPr>
                <w:rFonts w:hint="eastAsia" w:ascii="宋体" w:hAnsi="宋体" w:cs="宋体"/>
                <w:color w:val="auto"/>
                <w:kern w:val="0"/>
                <w:sz w:val="24"/>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有关本项目实施所需的所有费用（含税费）均计入报价。</w:t>
            </w:r>
            <w:r>
              <w:rPr>
                <w:rFonts w:hint="eastAsia" w:cs="宋体" w:asciiTheme="minorEastAsia" w:hAnsiTheme="minorEastAsia" w:eastAsiaTheme="minorEastAsia"/>
                <w:b/>
                <w:bCs/>
                <w:kern w:val="0"/>
                <w:sz w:val="24"/>
                <w:highlight w:val="none"/>
                <w:lang w:val="zh-CN"/>
              </w:rPr>
              <w:t>投标文件</w:t>
            </w:r>
            <w:r>
              <w:rPr>
                <w:rFonts w:hint="eastAsia" w:cs="宋体" w:asciiTheme="minorEastAsia" w:hAnsiTheme="minorEastAsia" w:eastAsiaTheme="minorEastAsia"/>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报价明显低于其他通过符合性审查投标人的报价，有可能影响产品</w:t>
            </w:r>
            <w:r>
              <w:rPr>
                <w:rFonts w:hint="eastAsia" w:cs="宋体" w:asciiTheme="minorEastAsia" w:hAnsiTheme="minorEastAsia" w:eastAsiaTheme="minorEastAsia"/>
                <w:b/>
                <w:kern w:val="0"/>
                <w:sz w:val="24"/>
                <w:highlight w:val="none"/>
                <w:lang w:eastAsia="zh-CN"/>
              </w:rPr>
              <w:t>（服务）</w:t>
            </w:r>
            <w:r>
              <w:rPr>
                <w:rFonts w:hint="eastAsia" w:cs="宋体" w:asciiTheme="minorEastAsia" w:hAnsiTheme="minorEastAsia" w:eastAsiaTheme="minorEastAsia"/>
                <w:b/>
                <w:kern w:val="0"/>
                <w:sz w:val="24"/>
                <w:highlight w:val="none"/>
              </w:rPr>
              <w:t>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投标人对根据修正原则修正后的报价不确认的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备份投标文件送达地点：</w:t>
            </w:r>
            <w:r>
              <w:rPr>
                <w:rFonts w:hint="eastAsia" w:cs="宋体" w:asciiTheme="minorEastAsia" w:hAnsiTheme="minorEastAsia" w:eastAsiaTheme="minorEastAsia"/>
                <w:sz w:val="24"/>
                <w:highlight w:val="none"/>
                <w:u w:val="single"/>
              </w:rPr>
              <w:t>杭州市文一西路858号东3楼329办公室</w:t>
            </w:r>
            <w:r>
              <w:rPr>
                <w:rFonts w:hint="eastAsia" w:cs="宋体" w:asciiTheme="minorEastAsia" w:hAnsiTheme="minorEastAsia" w:eastAsiaTheme="minorEastAsia"/>
                <w:kern w:val="28"/>
                <w:sz w:val="24"/>
                <w:szCs w:val="24"/>
                <w:highlight w:val="none"/>
              </w:rPr>
              <w:t>；备份投标文件签收人员联系电话：</w:t>
            </w:r>
            <w:r>
              <w:rPr>
                <w:rFonts w:hint="eastAsia" w:cs="宋体" w:asciiTheme="minorEastAsia" w:hAnsiTheme="minorEastAsia" w:eastAsiaTheme="minorEastAsia"/>
                <w:sz w:val="24"/>
                <w:highlight w:val="none"/>
                <w:u w:val="single"/>
              </w:rPr>
              <w:t xml:space="preserve">  0571-8</w:t>
            </w:r>
            <w:r>
              <w:rPr>
                <w:rFonts w:hint="default" w:cs="宋体" w:asciiTheme="minorEastAsia" w:hAnsiTheme="minorEastAsia" w:eastAsiaTheme="minorEastAsia"/>
                <w:sz w:val="24"/>
                <w:highlight w:val="none"/>
                <w:u w:val="single"/>
                <w:lang w:val="en-US"/>
              </w:rPr>
              <w:t>9511007</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napToGrid w:val="0"/>
                <w:kern w:val="28"/>
                <w:sz w:val="24"/>
                <w:highlight w:val="none"/>
              </w:rPr>
              <w:t>联合体投标的，联合体各方均需按招标文件第四部分评标标准要求提供资信证明文件，否则视为不符合相关要求。招标文件第四部分评标标准有其他要求的，从其要求。</w:t>
            </w:r>
          </w:p>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napToGrid w:val="0"/>
                <w:kern w:val="28"/>
                <w:sz w:val="24"/>
                <w:highlight w:val="none"/>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宋体" w:hAnsi="宋体" w:cs="宋体"/>
                <w:color w:val="auto"/>
                <w:kern w:val="0"/>
                <w:sz w:val="24"/>
                <w:highlight w:val="none"/>
                <w:lang w:val="en" w:eastAsia="zh-CN"/>
              </w:rPr>
              <w:t>本项目评审报告推荐的中标候选人数量：</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lang w:val="en" w:eastAsia="zh-CN"/>
              </w:rPr>
              <w:t>。</w:t>
            </w:r>
          </w:p>
        </w:tc>
      </w:tr>
    </w:tbl>
    <w:p>
      <w:pPr>
        <w:snapToGrid w:val="0"/>
        <w:spacing w:line="360" w:lineRule="auto"/>
        <w:jc w:val="center"/>
        <w:rPr>
          <w:rFonts w:cs="宋体"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宋体" w:asciiTheme="minorEastAsia" w:hAnsiTheme="minorEastAsia" w:eastAsiaTheme="minorEastAsia"/>
          <w:b/>
          <w:sz w:val="32"/>
          <w:szCs w:val="20"/>
          <w:highlight w:val="none"/>
        </w:rPr>
      </w:pPr>
      <w:bookmarkStart w:id="11" w:name="_Toc164416483"/>
      <w:bookmarkStart w:id="12" w:name="第三部分"/>
      <w:r>
        <w:rPr>
          <w:rFonts w:hint="eastAsia" w:cs="宋体"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 适用范围</w:t>
      </w:r>
    </w:p>
    <w:p>
      <w:pPr>
        <w:snapToGrid w:val="0"/>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2.定义</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2.7 “▲” 系指实质性要求条款，“</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3.</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采购项目需要落实的政府采购政策</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sz w:val="24"/>
          <w:highlight w:val="none"/>
        </w:rPr>
        <w:t>。</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 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highlight w:val="none"/>
        </w:rPr>
        <w:t>▲采购人拟采购的产品属于政府强制采购的节能产品品目清单范围的，投标人相应的投标产品未获得国家确定的认证机构出具的、处于有效期之内的节能产品认证证书的，投标无效</w:t>
      </w:r>
      <w:r>
        <w:rPr>
          <w:rFonts w:hint="eastAsia" w:cs="宋体" w:asciiTheme="minorEastAsia" w:hAnsiTheme="minorEastAsia" w:eastAsiaTheme="minorEastAsia"/>
          <w:b/>
          <w:sz w:val="24"/>
          <w:highlight w:val="none"/>
          <w:lang w:eastAsia="zh-CN"/>
        </w:rPr>
        <w:t>（本项目不适用）</w:t>
      </w:r>
      <w:r>
        <w:rPr>
          <w:rFonts w:hint="eastAsia" w:cs="宋体" w:asciiTheme="minorEastAsia" w:hAnsiTheme="minorEastAsia" w:eastAsiaTheme="minorEastAsia"/>
          <w:b/>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highlight w:val="none"/>
        </w:rPr>
        <w:t>20</w:t>
      </w:r>
      <w:r>
        <w:rPr>
          <w:rFonts w:hint="eastAsia" w:cs="宋体"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w:t>
      </w:r>
      <w:r>
        <w:rPr>
          <w:rFonts w:hint="eastAsia" w:cs="宋体" w:asciiTheme="minorEastAsia" w:hAnsiTheme="minorEastAsia" w:eastAsiaTheme="minorEastAsia"/>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3.4.2首台套产品被纳入《首台套产品推广应用指导目录》之日起</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年内，以及产品核心技术高于国内领先水平，并具有明晰自主知识产权的“制造精品”产品，自认定之日起</w:t>
      </w:r>
      <w:r>
        <w:rPr>
          <w:rFonts w:hint="eastAsia" w:cs="宋体" w:asciiTheme="minorEastAsia" w:hAnsiTheme="minorEastAsia" w:eastAsiaTheme="minorEastAsia"/>
          <w:sz w:val="24"/>
          <w:highlight w:val="none"/>
          <w:lang w:val="en-US" w:eastAsia="zh-CN"/>
        </w:rPr>
        <w:t>2</w:t>
      </w:r>
      <w:r>
        <w:rPr>
          <w:rFonts w:hint="eastAsia" w:cs="宋体" w:asciiTheme="minorEastAsia" w:hAnsiTheme="minorEastAsia" w:eastAsiaTheme="minorEastAsia"/>
          <w:sz w:val="24"/>
          <w:highlight w:val="none"/>
        </w:rPr>
        <w:t>年内视同已具备相应销售业绩，参加政府采购活动时业绩分值为满分。</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 w:val="24"/>
          <w:highlight w:val="none"/>
        </w:rPr>
        <w:cr/>
      </w:r>
      <w:r>
        <w:rPr>
          <w:rFonts w:hint="eastAsia" w:cs="宋体" w:asciiTheme="minorEastAsia" w:hAnsiTheme="minorEastAsia" w:eastAsiaTheme="minorEastAsia"/>
          <w:b/>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4.1</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4.2</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供应商质疑</w:t>
      </w:r>
    </w:p>
    <w:p>
      <w:pPr>
        <w:pStyle w:val="35"/>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w:t>
      </w:r>
      <w:r>
        <w:rPr>
          <w:rFonts w:hint="eastAsia" w:cs="宋体" w:asciiTheme="minorEastAsia" w:hAnsiTheme="minorEastAsia" w:eastAsiaTheme="minorEastAsia"/>
          <w:sz w:val="24"/>
          <w:highlight w:val="none"/>
        </w:rPr>
        <w:t>供应商提出质疑应当提交质疑函和必要的证明材料。质疑函应当包括下列内容：</w:t>
      </w:r>
    </w:p>
    <w:p>
      <w:pPr>
        <w:pStyle w:val="35"/>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4.3.3.1供应商的姓名或者名称、地址、邮编、联系人及联系电话；</w:t>
      </w:r>
    </w:p>
    <w:p>
      <w:pPr>
        <w:pStyle w:val="35"/>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4.3.3.2质疑项目的名称、编号；</w:t>
      </w:r>
    </w:p>
    <w:p>
      <w:pPr>
        <w:pStyle w:val="35"/>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4.3.3.3具体、明确的质疑事项和与质疑事项相关的请求；</w:t>
      </w:r>
    </w:p>
    <w:p>
      <w:pPr>
        <w:pStyle w:val="35"/>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4.3.3.4事实依据；</w:t>
      </w:r>
    </w:p>
    <w:p>
      <w:pPr>
        <w:pStyle w:val="35"/>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4.3.3.5必要的法律依据；</w:t>
      </w:r>
    </w:p>
    <w:p>
      <w:pPr>
        <w:pStyle w:val="35"/>
        <w:spacing w:line="360" w:lineRule="auto"/>
        <w:ind w:firstLine="960" w:firstLineChars="4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质疑函范本及制作说明详见附件2。</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Theme="minorEastAsia" w:hAnsiTheme="minorEastAsia" w:eastAsiaTheme="minorEastAsia"/>
          <w:highlight w:val="none"/>
          <w:lang w:val="zh-CN"/>
        </w:rPr>
      </w:pPr>
      <w:r>
        <w:rPr>
          <w:rFonts w:hint="eastAsia" w:asciiTheme="minorEastAsia" w:hAnsiTheme="minorEastAsia" w:eastAsiaTheme="minorEastAsia"/>
          <w:highlight w:val="none"/>
          <w:lang w:val="zh-CN"/>
        </w:rPr>
        <w:t>4.4</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val="zh-CN"/>
        </w:rPr>
        <w:t>供应商投诉</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w:t>
      </w:r>
      <w:r>
        <w:rPr>
          <w:rFonts w:hint="eastAsia"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4.4.5根据政府采购行政裁决省市区三级联动试点工作安排，杭州市本级、拱墅区、</w:t>
      </w:r>
      <w:r>
        <w:rPr>
          <w:rFonts w:hint="eastAsia" w:asciiTheme="minorEastAsia" w:hAnsiTheme="minorEastAsia" w:eastAsiaTheme="minorEastAsia"/>
          <w:highlight w:val="none"/>
          <w:lang w:eastAsia="zh-CN"/>
        </w:rPr>
        <w:t>西湖区、</w:t>
      </w:r>
      <w:r>
        <w:rPr>
          <w:rFonts w:hint="eastAsia" w:asciiTheme="minorEastAsia" w:hAnsiTheme="minorEastAsia" w:eastAsiaTheme="minorEastAsia"/>
          <w:highlight w:val="none"/>
        </w:rPr>
        <w:t>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sz w:val="18"/>
          <w:szCs w:val="18"/>
          <w:highlight w:val="none"/>
        </w:rPr>
      </w:pPr>
      <w:r>
        <w:rPr>
          <w:rFonts w:hint="eastAsia" w:asciiTheme="minorEastAsia" w:hAnsiTheme="minorEastAsia" w:eastAsiaTheme="minorEastAsia"/>
          <w:highlight w:val="none"/>
        </w:rPr>
        <w:t>投诉书范本及制作说明详见附件3。</w:t>
      </w:r>
    </w:p>
    <w:p>
      <w:pPr>
        <w:adjustRightInd/>
        <w:spacing w:line="360" w:lineRule="auto"/>
        <w:jc w:val="center"/>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 xml:space="preserve">      二、招标文件的构成、澄清、修改</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5．招标文件的构成</w:t>
      </w:r>
    </w:p>
    <w:p>
      <w:pPr>
        <w:pStyle w:val="35"/>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 招标文件包括下列文件及附件：</w:t>
      </w:r>
    </w:p>
    <w:p>
      <w:pPr>
        <w:pStyle w:val="35"/>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5.1.1招标公告；</w:t>
      </w:r>
    </w:p>
    <w:p>
      <w:pPr>
        <w:pStyle w:val="35"/>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5.1.2投标人须知；</w:t>
      </w:r>
    </w:p>
    <w:p>
      <w:pPr>
        <w:pStyle w:val="35"/>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5.1.3采购需求；</w:t>
      </w:r>
    </w:p>
    <w:p>
      <w:pPr>
        <w:pStyle w:val="35"/>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5.1.4评标办法；</w:t>
      </w:r>
    </w:p>
    <w:p>
      <w:pPr>
        <w:pStyle w:val="35"/>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5.1.5拟签订的合同文本；</w:t>
      </w:r>
    </w:p>
    <w:p>
      <w:pPr>
        <w:pStyle w:val="35"/>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highlight w:val="none"/>
        </w:rPr>
        <w:t>5.1.6</w:t>
      </w:r>
      <w:r>
        <w:rPr>
          <w:rFonts w:hint="eastAsia" w:cs="宋体" w:asciiTheme="minorEastAsia" w:hAnsiTheme="minorEastAsia" w:eastAsiaTheme="minorEastAsia"/>
          <w:sz w:val="24"/>
          <w:szCs w:val="24"/>
          <w:highlight w:val="none"/>
        </w:rPr>
        <w:t>应提交的有关格式范例。</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5.2与本项目有关的</w:t>
      </w:r>
      <w:r>
        <w:rPr>
          <w:rFonts w:hint="eastAsia" w:cs="宋体" w:asciiTheme="minorEastAsia" w:hAnsiTheme="minorEastAsia" w:eastAsiaTheme="minorEastAsia"/>
          <w:bCs/>
          <w:sz w:val="24"/>
          <w:highlight w:val="none"/>
        </w:rPr>
        <w:t>澄清或者修改的内容为招标文件的组成部分</w:t>
      </w:r>
      <w:r>
        <w:rPr>
          <w:rFonts w:hint="eastAsia" w:cs="宋体" w:asciiTheme="minorEastAsia" w:hAnsiTheme="minorEastAsia" w:eastAsiaTheme="minorEastAsia"/>
          <w:sz w:val="24"/>
          <w:highlight w:val="none"/>
        </w:rPr>
        <w:t>。</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6. 招标文件的澄清、修改</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6.1已获取招标文件的潜在投标人，若有问题需要澄清，应于投标截止时间前，以书面形式向采购机构提出。</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cs="宋体" w:asciiTheme="minorEastAsia" w:hAnsiTheme="minorEastAsia" w:eastAsiaTheme="minorEastAsia"/>
          <w:sz w:val="18"/>
          <w:szCs w:val="18"/>
          <w:highlight w:val="none"/>
          <w:lang w:val="en-US"/>
        </w:rPr>
      </w:pPr>
      <w:r>
        <w:rPr>
          <w:rFonts w:hint="eastAsia" w:cs="宋体" w:asciiTheme="minorEastAsia" w:hAnsiTheme="minorEastAsia" w:eastAsiaTheme="minorEastAsia"/>
          <w:szCs w:val="24"/>
          <w:highlight w:val="none"/>
          <w:lang w:val="en-US"/>
        </w:rPr>
        <w:t xml:space="preserve">    </w:t>
      </w:r>
    </w:p>
    <w:p>
      <w:pPr>
        <w:adjustRightInd/>
        <w:spacing w:line="360" w:lineRule="auto"/>
        <w:jc w:val="center"/>
        <w:outlineLvl w:val="0"/>
        <w:rPr>
          <w:rFonts w:cs="宋体" w:asciiTheme="minorEastAsia" w:hAnsiTheme="minorEastAsia" w:eastAsiaTheme="minorEastAsia"/>
          <w:b/>
          <w:sz w:val="30"/>
          <w:szCs w:val="20"/>
          <w:highlight w:val="none"/>
        </w:rPr>
      </w:pPr>
      <w:r>
        <w:rPr>
          <w:rFonts w:hint="eastAsia" w:cs="宋体" w:asciiTheme="minorEastAsia" w:hAnsiTheme="minorEastAsia" w:eastAsiaTheme="minorEastAsia"/>
          <w:b/>
          <w:sz w:val="30"/>
          <w:szCs w:val="20"/>
          <w:highlight w:val="none"/>
        </w:rPr>
        <w:t>三、投标</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详见招标公告中获取招标文件的时间期限、地点、方式及招标文件售价。</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8.开标前答疑会或现场考察</w:t>
      </w:r>
    </w:p>
    <w:p>
      <w:pPr>
        <w:pStyle w:val="35"/>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cs="宋体" w:asciiTheme="minorEastAsia" w:hAnsiTheme="minorEastAsia" w:eastAsiaTheme="minorEastAsia"/>
          <w:b/>
          <w:szCs w:val="24"/>
          <w:highlight w:val="none"/>
        </w:rPr>
      </w:pPr>
      <w:r>
        <w:rPr>
          <w:rFonts w:hint="eastAsia" w:cs="宋体" w:asciiTheme="minorEastAsia" w:hAnsiTheme="minorEastAsia" w:eastAsiaTheme="minorEastAsia"/>
          <w:b/>
          <w:kern w:val="28"/>
          <w:sz w:val="24"/>
          <w:szCs w:val="24"/>
          <w:highlight w:val="none"/>
        </w:rPr>
        <w:t>9.投标保证金</w:t>
      </w:r>
    </w:p>
    <w:p>
      <w:pPr>
        <w:pStyle w:val="15"/>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投标文件及投标人与采购有关的来往通知、函件和文件均应使用中文。</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11. 投标文件的组成</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hint="eastAsia" w:cs="宋体" w:asciiTheme="minorEastAsia" w:hAnsiTheme="minorEastAsia" w:eastAsiaTheme="minorEastAsia"/>
          <w:b/>
          <w:sz w:val="24"/>
          <w:highlight w:val="none"/>
        </w:rPr>
        <w:t>资格文件</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1.1.2</w:t>
      </w:r>
      <w:r>
        <w:rPr>
          <w:rFonts w:hint="eastAsia" w:cs="宋体" w:asciiTheme="minorEastAsia" w:hAnsiTheme="minorEastAsia" w:eastAsiaTheme="minorEastAsia"/>
          <w:snapToGrid w:val="0"/>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firstLine="960" w:firstLineChars="400"/>
        <w:rPr>
          <w:rFonts w:hint="eastAsia"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11.2.1投标函；</w:t>
      </w:r>
      <w:r>
        <w:rPr>
          <w:rFonts w:hint="eastAsia" w:cs="宋体" w:asciiTheme="minorEastAsia" w:hAnsiTheme="minorEastAsia" w:eastAsiaTheme="minorEastAsia"/>
          <w:sz w:val="24"/>
          <w:highlight w:val="none"/>
          <w:lang w:val="zh-CN"/>
        </w:rPr>
        <w:t xml:space="preserve"> </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firstLine="960" w:firstLineChars="4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highlight w:val="none"/>
          <w:u w:val="single"/>
          <w:lang w:val="zh-CN"/>
        </w:rPr>
      </w:pPr>
      <w:r>
        <w:rPr>
          <w:rFonts w:hint="eastAsia" w:cs="宋体" w:asciiTheme="minorEastAsia" w:hAnsiTheme="minorEastAsia" w:eastAsiaTheme="minorEastAsia"/>
          <w:kern w:val="0"/>
          <w:sz w:val="24"/>
          <w:highlight w:val="none"/>
          <w:lang w:val="zh-CN"/>
        </w:rPr>
        <w:t>11.</w:t>
      </w:r>
      <w:r>
        <w:rPr>
          <w:rFonts w:hint="eastAsia" w:cs="宋体" w:asciiTheme="minorEastAsia" w:hAnsiTheme="minorEastAsia" w:eastAsiaTheme="minorEastAsia"/>
          <w:kern w:val="0"/>
          <w:sz w:val="24"/>
          <w:highlight w:val="none"/>
        </w:rPr>
        <w:t>3</w:t>
      </w:r>
      <w:r>
        <w:rPr>
          <w:rFonts w:hint="eastAsia" w:cs="宋体" w:asciiTheme="minorEastAsia" w:hAnsiTheme="minorEastAsia" w:eastAsiaTheme="minorEastAsia"/>
          <w:b/>
          <w:sz w:val="24"/>
          <w:highlight w:val="none"/>
        </w:rPr>
        <w:t>报价文件：</w:t>
      </w:r>
      <w:r>
        <w:rPr>
          <w:rFonts w:hint="eastAsia" w:cs="宋体" w:asciiTheme="minorEastAsia" w:hAnsiTheme="minorEastAsia" w:eastAsiaTheme="minorEastAsia"/>
          <w:sz w:val="24"/>
          <w:highlight w:val="none"/>
        </w:rPr>
        <w:t xml:space="preserve"> </w:t>
      </w:r>
    </w:p>
    <w:p>
      <w:pPr>
        <w:snapToGrid w:val="0"/>
        <w:spacing w:line="360" w:lineRule="auto"/>
        <w:ind w:firstLine="960" w:firstLineChars="4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11.3.1开标一览表（报价表）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960" w:firstLineChars="4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11.3.</w:t>
      </w:r>
      <w:r>
        <w:rPr>
          <w:rFonts w:hint="eastAsia" w:cs="宋体" w:asciiTheme="minorEastAsia" w:hAnsiTheme="minorEastAsia" w:eastAsiaTheme="minorEastAsia"/>
          <w:sz w:val="24"/>
          <w:highlight w:val="none"/>
          <w:lang w:val="en-US" w:eastAsia="zh-CN"/>
        </w:rPr>
        <w:t>2</w:t>
      </w:r>
      <w:r>
        <w:rPr>
          <w:rFonts w:hint="eastAsia" w:cs="宋体" w:asciiTheme="minorEastAsia" w:hAnsiTheme="minorEastAsia" w:eastAsiaTheme="minorEastAsia"/>
          <w:sz w:val="24"/>
          <w:highlight w:val="none"/>
          <w:lang w:eastAsia="zh-CN"/>
        </w:rPr>
        <w:t>报价情况说明（如果有）。</w:t>
      </w:r>
    </w:p>
    <w:p>
      <w:pPr>
        <w:spacing w:line="360" w:lineRule="auto"/>
        <w:ind w:firstLine="723" w:firstLineChars="3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b/>
          <w:sz w:val="24"/>
          <w:highlight w:val="none"/>
        </w:rPr>
        <w:t>投标人提供虚假材料投标的，投标无效。</w:t>
      </w:r>
    </w:p>
    <w:p>
      <w:pPr>
        <w:pStyle w:val="131"/>
        <w:snapToGrid w:val="0"/>
        <w:spacing w:before="0"/>
        <w:ind w:firstLine="0" w:firstLineChars="0"/>
        <w:outlineLvl w:val="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12</w:t>
      </w:r>
      <w:r>
        <w:rPr>
          <w:rFonts w:hint="eastAsia" w:cs="宋体" w:asciiTheme="minorEastAsia" w:hAnsiTheme="minorEastAsia" w:eastAsiaTheme="minorEastAsia"/>
          <w:b/>
          <w:kern w:val="0"/>
          <w:szCs w:val="24"/>
          <w:highlight w:val="none"/>
          <w:lang w:val="zh-CN"/>
        </w:rPr>
        <w:t xml:space="preserve">. </w:t>
      </w:r>
      <w:r>
        <w:rPr>
          <w:rFonts w:hint="eastAsia" w:cs="宋体" w:asciiTheme="minorEastAsia" w:hAnsiTheme="minorEastAsia" w:eastAsiaTheme="minorEastAsia"/>
          <w:b/>
          <w:szCs w:val="24"/>
          <w:highlight w:val="none"/>
        </w:rPr>
        <w:t>投标文件的编制</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13.投标文件的签署、盖章</w:t>
      </w:r>
    </w:p>
    <w:p>
      <w:pPr>
        <w:pStyle w:val="131"/>
        <w:snapToGrid w:val="0"/>
        <w:spacing w:before="0"/>
        <w:ind w:firstLine="480"/>
        <w:rPr>
          <w:rFonts w:cs="宋体" w:asciiTheme="minorEastAsia" w:hAnsiTheme="minorEastAsia" w:eastAsiaTheme="minorEastAsia"/>
          <w:b/>
          <w:highlight w:val="none"/>
        </w:rPr>
      </w:pPr>
      <w:r>
        <w:rPr>
          <w:rFonts w:hint="eastAsia" w:cs="宋体" w:asciiTheme="minorEastAsia" w:hAnsiTheme="minorEastAsia" w:eastAsiaTheme="minorEastAsia"/>
          <w:szCs w:val="24"/>
          <w:highlight w:val="none"/>
        </w:rPr>
        <w:t>13.1投标文件按照招标文件第六部分格式要</w:t>
      </w:r>
      <w:r>
        <w:rPr>
          <w:rFonts w:hint="eastAsia" w:cs="宋体" w:asciiTheme="minorEastAsia" w:hAnsiTheme="minorEastAsia" w:eastAsiaTheme="minorEastAsia"/>
          <w:highlight w:val="none"/>
        </w:rPr>
        <w:t>求进行签署、盖章。</w:t>
      </w:r>
      <w:r>
        <w:rPr>
          <w:rFonts w:hint="eastAsia" w:cs="宋体" w:asciiTheme="minorEastAsia" w:hAnsiTheme="minorEastAsia" w:eastAsiaTheme="minorEastAsia"/>
          <w:b/>
          <w:highlight w:val="none"/>
        </w:rPr>
        <w:t>▲投标人的投标文件未按照招标文件要求签署、盖章的，其投标无效</w:t>
      </w:r>
      <w:r>
        <w:rPr>
          <w:rFonts w:hint="eastAsia" w:cs="宋体" w:asciiTheme="minorEastAsia" w:hAnsiTheme="minorEastAsia" w:eastAsiaTheme="minorEastAsia"/>
          <w:szCs w:val="24"/>
          <w:highlight w:val="none"/>
        </w:rPr>
        <w:t>。</w:t>
      </w:r>
    </w:p>
    <w:p>
      <w:pPr>
        <w:pStyle w:val="131"/>
        <w:snapToGrid w:val="0"/>
        <w:spacing w:before="0" w:line="360" w:lineRule="auto"/>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13.3招标文件对投标文件签署、盖章的要求适用于电子签名。</w:t>
      </w:r>
    </w:p>
    <w:p>
      <w:pPr>
        <w:pStyle w:val="131"/>
        <w:spacing w:before="0" w:line="360" w:lineRule="auto"/>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14. 投标文件的提交、补充、修改、撤回</w:t>
      </w:r>
    </w:p>
    <w:p>
      <w:pPr>
        <w:pStyle w:val="131"/>
        <w:spacing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1"/>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15.备份投标文件</w:t>
      </w:r>
    </w:p>
    <w:p>
      <w:pPr>
        <w:pStyle w:val="35"/>
        <w:spacing w:line="360" w:lineRule="auto"/>
        <w:ind w:firstLine="360" w:firstLineChars="15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highlight w:val="none"/>
        </w:rPr>
        <w:t>但采购人、采购机构不强制或变相强制投标人提交备份投标文件。</w:t>
      </w:r>
    </w:p>
    <w:p>
      <w:pPr>
        <w:pStyle w:val="35"/>
        <w:spacing w:line="360" w:lineRule="auto"/>
        <w:ind w:firstLine="480" w:firstLineChars="20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15.2备份投标文件须在“政采云投标客户端”制作生成，并储存在</w:t>
      </w:r>
      <w:r>
        <w:rPr>
          <w:rFonts w:hint="eastAsia" w:cs="宋体" w:asciiTheme="minorEastAsia" w:hAnsiTheme="minorEastAsia" w:eastAsiaTheme="minorEastAsia"/>
          <w:sz w:val="24"/>
          <w:highlight w:val="none"/>
        </w:rPr>
        <w:t>DVD光盘</w:t>
      </w:r>
      <w:r>
        <w:rPr>
          <w:rFonts w:hint="eastAsia" w:cs="宋体" w:asciiTheme="minorEastAsia" w:hAnsiTheme="minorEastAsia" w:eastAsiaTheme="minorEastAsia"/>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highlight w:val="none"/>
        </w:rPr>
        <w:t>不符合上述制作、</w:t>
      </w:r>
      <w:r>
        <w:rPr>
          <w:rFonts w:hint="eastAsia" w:cs="宋体" w:asciiTheme="minorEastAsia" w:hAnsiTheme="minorEastAsia" w:eastAsiaTheme="minorEastAsia"/>
          <w:b/>
          <w:sz w:val="24"/>
          <w:szCs w:val="24"/>
          <w:highlight w:val="none"/>
        </w:rPr>
        <w:t>存储、密封规定的备份投标文件将被视为无效或者被拒绝接收。</w:t>
      </w:r>
    </w:p>
    <w:p>
      <w:pPr>
        <w:pStyle w:val="35"/>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highlight w:val="none"/>
        </w:rPr>
        <w:t>招标文件第二部分投标人须知前附表规定的备份投标文件送达地点；</w:t>
      </w:r>
      <w:r>
        <w:rPr>
          <w:rFonts w:hint="eastAsia" w:cs="宋体"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15.5投标人仅提交备份投标文件，未在电子交易平台传输递交投标文件的，投标无效。</w:t>
      </w:r>
    </w:p>
    <w:p>
      <w:pPr>
        <w:pStyle w:val="131"/>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16.投标文件的无效处理</w:t>
      </w:r>
    </w:p>
    <w:p>
      <w:pPr>
        <w:pStyle w:val="26"/>
        <w:spacing w:line="360" w:lineRule="auto"/>
        <w:ind w:firstLine="360" w:firstLineChars="15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有招标文件第四部分</w:t>
      </w:r>
      <w:r>
        <w:rPr>
          <w:rFonts w:cs="宋体" w:asciiTheme="minorEastAsia" w:hAnsiTheme="minorEastAsia" w:eastAsiaTheme="minorEastAsia"/>
          <w:szCs w:val="21"/>
          <w:highlight w:val="none"/>
        </w:rPr>
        <w:t>4.2规定</w:t>
      </w:r>
      <w:r>
        <w:rPr>
          <w:rFonts w:hint="eastAsia" w:cs="宋体" w:asciiTheme="minorEastAsia" w:hAnsiTheme="minorEastAsia" w:eastAsiaTheme="minorEastAsia"/>
          <w:szCs w:val="21"/>
          <w:highlight w:val="none"/>
        </w:rPr>
        <w:t>的情形之一的，投标无效：</w:t>
      </w:r>
    </w:p>
    <w:p>
      <w:pPr>
        <w:pStyle w:val="131"/>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17.投标有效期</w:t>
      </w:r>
    </w:p>
    <w:p>
      <w:pPr>
        <w:spacing w:line="360" w:lineRule="auto"/>
        <w:ind w:firstLine="480" w:firstLineChars="2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sz w:val="24"/>
          <w:szCs w:val="20"/>
          <w:highlight w:val="none"/>
        </w:rPr>
        <w:t>17.1投标有效期为从提交投标文件的截止之日起90天。▲</w:t>
      </w:r>
      <w:r>
        <w:rPr>
          <w:rFonts w:hint="eastAsia" w:cs="宋体" w:asciiTheme="minorEastAsia" w:hAnsiTheme="minorEastAsia" w:eastAsiaTheme="minorEastAsia"/>
          <w:b/>
          <w:sz w:val="24"/>
          <w:szCs w:val="20"/>
          <w:highlight w:val="none"/>
        </w:rPr>
        <w:t>投标人的投标文件中承</w:t>
      </w:r>
      <w:r>
        <w:rPr>
          <w:rFonts w:hint="eastAsia" w:cs="宋体" w:asciiTheme="minorEastAsia" w:hAnsiTheme="minorEastAsia" w:eastAsiaTheme="minorEastAsia"/>
          <w:b/>
          <w:sz w:val="24"/>
          <w:szCs w:val="21"/>
          <w:highlight w:val="none"/>
        </w:rPr>
        <w:t>诺的投标有效期少于招标文件中载明的投标有效期的，投标无效。</w:t>
      </w:r>
    </w:p>
    <w:p>
      <w:pPr>
        <w:pStyle w:val="131"/>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17.2投标文件合格投递后，自投标截止日期起，在投标有效期内有效。</w:t>
      </w:r>
    </w:p>
    <w:p>
      <w:pPr>
        <w:pStyle w:val="131"/>
        <w:spacing w:before="0"/>
        <w:ind w:firstLine="48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17.4在投标截止时间起至投标有效期届满，供应商投标文件不可撤销。</w:t>
      </w:r>
    </w:p>
    <w:p>
      <w:pPr>
        <w:pStyle w:val="131"/>
        <w:spacing w:before="0"/>
        <w:ind w:firstLine="643"/>
        <w:rPr>
          <w:rFonts w:cs="宋体" w:asciiTheme="minorEastAsia" w:hAnsiTheme="minorEastAsia" w:eastAsiaTheme="minorEastAsia"/>
          <w:b/>
          <w:sz w:val="32"/>
          <w:highlight w:val="none"/>
        </w:rPr>
      </w:pPr>
    </w:p>
    <w:p>
      <w:pPr>
        <w:pStyle w:val="131"/>
        <w:spacing w:before="0"/>
        <w:ind w:firstLine="1928" w:firstLineChars="600"/>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四、开标、资格审查与信用信息查询</w:t>
      </w:r>
    </w:p>
    <w:p>
      <w:pPr>
        <w:pStyle w:val="557"/>
        <w:spacing w:before="0" w:line="360" w:lineRule="auto"/>
        <w:ind w:left="0" w:leftChars="0" w:firstLine="0" w:firstLineChars="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b/>
          <w:sz w:val="24"/>
          <w:szCs w:val="24"/>
          <w:highlight w:val="none"/>
        </w:rPr>
        <w:t>18.开标</w:t>
      </w:r>
      <w:r>
        <w:rPr>
          <w:rFonts w:hint="eastAsia" w:cs="宋体" w:asciiTheme="minorEastAsia" w:hAnsiTheme="minorEastAsia" w:eastAsiaTheme="minorEastAsia"/>
          <w:sz w:val="24"/>
          <w:highlight w:val="none"/>
        </w:rPr>
        <w:t xml:space="preserve"> </w:t>
      </w:r>
    </w:p>
    <w:p>
      <w:pPr>
        <w:pStyle w:val="557"/>
        <w:spacing w:before="0" w:line="360" w:lineRule="auto"/>
        <w:ind w:left="0" w:firstLine="480" w:firstLineChars="2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18.1</w:t>
      </w:r>
      <w:r>
        <w:rPr>
          <w:rFonts w:hint="eastAsia" w:cs="宋体" w:asciiTheme="minorEastAsia" w:hAnsiTheme="minorEastAsia" w:eastAsiaTheme="minorEastAsia"/>
          <w:sz w:val="24"/>
          <w:highlight w:val="none"/>
          <w:lang w:val="en-US" w:eastAsia="zh-CN"/>
        </w:rPr>
        <w:t xml:space="preserve"> </w:t>
      </w:r>
      <w:r>
        <w:rPr>
          <w:rFonts w:hint="eastAsia" w:cs="宋体" w:asciiTheme="minorEastAsia" w:hAnsiTheme="minorEastAsia" w:eastAsiaTheme="minorEastAsia"/>
          <w:sz w:val="24"/>
          <w:highlight w:val="none"/>
        </w:rPr>
        <w:t>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18.2</w:t>
      </w:r>
      <w:r>
        <w:rPr>
          <w:rFonts w:hint="eastAsia" w:cs="宋体" w:asciiTheme="minorEastAsia" w:hAnsiTheme="minorEastAsia" w:eastAsiaTheme="minorEastAsia"/>
          <w:sz w:val="24"/>
          <w:highlight w:val="none"/>
          <w:lang w:val="en-US" w:eastAsia="zh-CN"/>
        </w:rPr>
        <w:t xml:space="preserve"> </w:t>
      </w:r>
      <w:r>
        <w:rPr>
          <w:rFonts w:hint="eastAsia" w:cs="宋体" w:asciiTheme="minorEastAsia" w:hAnsiTheme="minorEastAsia" w:eastAsiaTheme="minorEastAsia"/>
          <w:sz w:val="24"/>
          <w:highlight w:val="none"/>
        </w:rPr>
        <w:t>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　18.3</w:t>
      </w:r>
      <w:r>
        <w:rPr>
          <w:rFonts w:hint="eastAsia" w:cs="宋体" w:asciiTheme="minorEastAsia" w:hAnsiTheme="minorEastAsia" w:eastAsiaTheme="minorEastAsia"/>
          <w:sz w:val="24"/>
          <w:highlight w:val="none"/>
          <w:lang w:val="en-US" w:eastAsia="zh-CN"/>
        </w:rPr>
        <w:t xml:space="preserve"> </w:t>
      </w:r>
      <w:r>
        <w:rPr>
          <w:rFonts w:hint="eastAsia" w:cs="宋体"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pStyle w:val="557"/>
        <w:spacing w:before="0" w:line="360" w:lineRule="auto"/>
        <w:ind w:left="0" w:leftChars="0" w:firstLine="0" w:firstLineChars="0"/>
        <w:contextualSpacing/>
        <w:rPr>
          <w:rFonts w:ascii="宋体" w:hAnsi="宋体" w:cs="宋体"/>
          <w:b/>
          <w:color w:val="auto"/>
          <w:sz w:val="24"/>
          <w:szCs w:val="20"/>
          <w:highlight w:val="none"/>
        </w:rPr>
      </w:pPr>
      <w:r>
        <w:rPr>
          <w:rFonts w:hint="eastAsia" w:ascii="宋体" w:hAnsi="宋体" w:cs="宋体"/>
          <w:b/>
          <w:color w:val="auto"/>
          <w:sz w:val="24"/>
          <w:szCs w:val="20"/>
          <w:highlight w:val="none"/>
        </w:rPr>
        <w:t>19、资格审查</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1"/>
        <w:spacing w:before="0"/>
        <w:ind w:left="0" w:leftChars="0"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20、信用信息查询</w:t>
      </w:r>
    </w:p>
    <w:p>
      <w:pPr>
        <w:pStyle w:val="131"/>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31"/>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highlight w:val="none"/>
        </w:rPr>
        <w:t>。</w:t>
      </w:r>
    </w:p>
    <w:p>
      <w:pPr>
        <w:pStyle w:val="131"/>
        <w:spacing w:before="0"/>
        <w:ind w:firstLine="0" w:firstLineChars="0"/>
        <w:rPr>
          <w:rFonts w:cs="宋体" w:asciiTheme="minorEastAsia" w:hAnsiTheme="minorEastAsia" w:eastAsiaTheme="minorEastAsia"/>
          <w:kern w:val="0"/>
          <w:szCs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五、评标</w:t>
      </w:r>
    </w:p>
    <w:p>
      <w:pPr>
        <w:spacing w:line="360" w:lineRule="auto"/>
        <w:rPr>
          <w:rFonts w:cs="宋体" w:asciiTheme="minorEastAsia" w:hAnsiTheme="minorEastAsia" w:eastAsiaTheme="minorEastAsia"/>
          <w:b/>
          <w:sz w:val="24"/>
          <w:highlight w:val="none"/>
        </w:rPr>
      </w:pPr>
      <w:bookmarkStart w:id="13" w:name="_Toc91899903"/>
      <w:r>
        <w:rPr>
          <w:rFonts w:hint="eastAsia" w:cs="宋体" w:asciiTheme="minorEastAsia" w:hAnsiTheme="minorEastAsia" w:eastAsiaTheme="minorEastAsia"/>
          <w:b/>
          <w:sz w:val="24"/>
          <w:highlight w:val="none"/>
        </w:rPr>
        <w:t>21.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highlight w:val="none"/>
        </w:rPr>
        <w:t>详见招标文件第四部分评标办法。</w:t>
      </w:r>
    </w:p>
    <w:p>
      <w:pPr>
        <w:spacing w:line="360" w:lineRule="auto"/>
        <w:rPr>
          <w:rFonts w:cs="宋体" w:asciiTheme="minorEastAsia" w:hAnsiTheme="minorEastAsia" w:eastAsiaTheme="minorEastAsia"/>
          <w:b/>
          <w:sz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六、定 标</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22. 确定中标供应商</w:t>
      </w:r>
    </w:p>
    <w:p>
      <w:pPr>
        <w:pStyle w:val="131"/>
        <w:snapToGrid w:val="0"/>
        <w:spacing w:before="0"/>
        <w:ind w:firstLine="480"/>
        <w:rPr>
          <w:rFonts w:cs="宋体" w:asciiTheme="minorEastAsia" w:hAnsiTheme="minorEastAsia" w:eastAsiaTheme="minorEastAsia"/>
          <w:b/>
          <w:szCs w:val="24"/>
          <w:highlight w:val="none"/>
        </w:rPr>
      </w:pPr>
      <w:r>
        <w:rPr>
          <w:rFonts w:hint="eastAsia" w:cs="宋体" w:asciiTheme="minorEastAsia" w:hAnsiTheme="minorEastAsia" w:eastAsiaTheme="minorEastAsia"/>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31"/>
        <w:snapToGrid w:val="0"/>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highlight w:val="none"/>
        </w:rPr>
        <w:t>资格审查情况、评审专家抽取规则、符合性审查情况、</w:t>
      </w:r>
      <w:bookmarkEnd w:id="14"/>
      <w:r>
        <w:rPr>
          <w:rFonts w:hint="eastAsia" w:cs="宋体" w:asciiTheme="minorEastAsia" w:hAnsiTheme="minorEastAsia" w:eastAsiaTheme="minorEastAsia"/>
          <w:sz w:val="24"/>
          <w:highlight w:val="none"/>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23.3公告期限为1个工作日。</w:t>
      </w:r>
    </w:p>
    <w:p>
      <w:pPr>
        <w:spacing w:line="360" w:lineRule="auto"/>
        <w:rPr>
          <w:rFonts w:cs="宋体" w:asciiTheme="minorEastAsia" w:hAnsiTheme="minorEastAsia" w:eastAsiaTheme="minorEastAsia"/>
          <w:b/>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七、合同授予</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 xml:space="preserve">24. </w:t>
      </w:r>
      <w:r>
        <w:rPr>
          <w:rFonts w:hint="eastAsia" w:cs="宋体" w:asciiTheme="minorEastAsia" w:hAnsiTheme="minorEastAsia" w:eastAsiaTheme="minorEastAsia"/>
          <w:highlight w:val="none"/>
        </w:rPr>
        <w:t>合同主要条款详见第五部分拟签订的合同文本。</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25.1</w:t>
      </w:r>
      <w:r>
        <w:rPr>
          <w:rFonts w:hint="eastAsia" w:cs="宋体"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25.3如签订合同并生效后，供应商无故拒绝或延期，除按照合同条款处理外，列入不良行为记录一次，并给予通报。</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26. 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w:t>
      </w:r>
      <w:r>
        <w:rPr>
          <w:rFonts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pStyle w:val="2"/>
        <w:ind w:left="0" w:firstLine="480" w:firstLineChars="200"/>
        <w:rPr>
          <w:rFonts w:hint="eastAsia" w:cs="宋体" w:asciiTheme="minorEastAsia" w:hAnsiTheme="minorEastAsia" w:eastAsiaTheme="minorEastAsia"/>
          <w:b w:val="0"/>
          <w:bCs w:val="0"/>
          <w:snapToGrid w:val="0"/>
          <w:kern w:val="28"/>
          <w:sz w:val="24"/>
          <w:highlight w:val="none"/>
        </w:rPr>
      </w:pPr>
      <w:r>
        <w:rPr>
          <w:rFonts w:hint="eastAsia" w:cs="宋体" w:asciiTheme="minorEastAsia" w:hAnsiTheme="minorEastAsia" w:eastAsiaTheme="minorEastAsia"/>
          <w:b w:val="0"/>
          <w:bCs w:val="0"/>
          <w:snapToGrid w:val="0"/>
          <w:kern w:val="28"/>
          <w:sz w:val="24"/>
          <w:highlight w:val="none"/>
        </w:rPr>
        <w:t>供应商</w:t>
      </w:r>
      <w:r>
        <w:rPr>
          <w:rFonts w:hint="eastAsia" w:cs="宋体" w:asciiTheme="minorEastAsia" w:hAnsiTheme="minorEastAsia" w:eastAsiaTheme="minorEastAsia"/>
          <w:b w:val="0"/>
          <w:bCs w:val="0"/>
          <w:snapToGrid w:val="0"/>
          <w:kern w:val="28"/>
          <w:sz w:val="24"/>
          <w:highlight w:val="none"/>
          <w:lang w:val="en-US"/>
        </w:rPr>
        <w:t>可</w:t>
      </w:r>
      <w:r>
        <w:rPr>
          <w:rFonts w:hint="eastAsia" w:cs="宋体" w:asciiTheme="minorEastAsia" w:hAnsiTheme="minorEastAsia" w:eastAsiaTheme="minor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highlight w:val="none"/>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rPr>
          <w:highlight w:val="none"/>
          <w:lang w:val="en-US"/>
        </w:rPr>
      </w:pPr>
    </w:p>
    <w:p>
      <w:pPr>
        <w:snapToGrid w:val="0"/>
        <w:spacing w:line="360" w:lineRule="auto"/>
        <w:ind w:firstLine="3357" w:firstLineChars="1045"/>
        <w:rPr>
          <w:rFonts w:cs="宋体" w:asciiTheme="minorEastAsia" w:hAnsiTheme="minorEastAsia" w:eastAsiaTheme="minorEastAsia"/>
          <w:b/>
          <w:sz w:val="32"/>
          <w:highlight w:val="none"/>
        </w:rPr>
      </w:pPr>
    </w:p>
    <w:p>
      <w:pPr>
        <w:snapToGrid w:val="0"/>
        <w:spacing w:line="360" w:lineRule="auto"/>
        <w:ind w:firstLine="3357" w:firstLineChars="1045"/>
        <w:rPr>
          <w:rFonts w:cs="宋体" w:asciiTheme="minorEastAsia" w:hAnsiTheme="minorEastAsia" w:eastAsiaTheme="minorEastAsia"/>
          <w:b/>
          <w:sz w:val="24"/>
          <w:highlight w:val="none"/>
        </w:rPr>
      </w:pPr>
      <w:r>
        <w:rPr>
          <w:rFonts w:hint="eastAsia" w:cs="宋体" w:asciiTheme="minorEastAsia" w:hAnsiTheme="minorEastAsia" w:eastAsiaTheme="minorEastAsia"/>
          <w:b/>
          <w:sz w:val="32"/>
          <w:highlight w:val="none"/>
        </w:rPr>
        <w:t>八、电子交易活动的中止</w:t>
      </w:r>
    </w:p>
    <w:p>
      <w:pPr>
        <w:pStyle w:val="131"/>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b/>
          <w:szCs w:val="24"/>
          <w:highlight w:val="none"/>
          <w:lang w:val="en-US" w:eastAsia="zh-CN"/>
        </w:rPr>
        <w:t>8</w:t>
      </w:r>
      <w:r>
        <w:rPr>
          <w:rFonts w:hint="eastAsia" w:cs="宋体" w:asciiTheme="minorEastAsia" w:hAnsiTheme="minorEastAsia" w:eastAsiaTheme="minorEastAsia"/>
          <w:b/>
          <w:szCs w:val="24"/>
          <w:highlight w:val="none"/>
        </w:rPr>
        <w:t>. 电子交易活动的中止。</w:t>
      </w:r>
      <w:r>
        <w:rPr>
          <w:rFonts w:hint="eastAsia" w:cs="宋体"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 xml:space="preserve">.1电子交易平台发生故障而无法登录访问的； </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.2电子交易平台应用或数据库出现错误，不能进行正常操作的；</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.3电子交易平台发现严重安全漏洞，有潜在泄密危险的；</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 xml:space="preserve">.4病毒发作导致不能进行正常操作的； </w:t>
      </w:r>
    </w:p>
    <w:p>
      <w:pPr>
        <w:pStyle w:val="131"/>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.5其他无法保证电子交易的公平、公正和安全的情况。</w:t>
      </w:r>
    </w:p>
    <w:p>
      <w:pPr>
        <w:pStyle w:val="131"/>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 2</w:t>
      </w:r>
      <w:r>
        <w:rPr>
          <w:rFonts w:hint="default" w:cs="宋体" w:asciiTheme="minorEastAsia" w:hAnsiTheme="minorEastAsia" w:eastAsiaTheme="minorEastAsia"/>
          <w:highlight w:val="none"/>
          <w:lang w:val="en-US"/>
        </w:rPr>
        <w:t>9</w:t>
      </w:r>
      <w:r>
        <w:rPr>
          <w:rFonts w:hint="eastAsia" w:cs="宋体" w:asciiTheme="minorEastAsia" w:hAnsiTheme="minorEastAsia" w:eastAsiaTheme="minorEastAsia"/>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highlight w:val="none"/>
        </w:rPr>
      </w:pPr>
    </w:p>
    <w:bookmarkEnd w:id="11"/>
    <w:bookmarkEnd w:id="12"/>
    <w:bookmarkEnd w:id="13"/>
    <w:p>
      <w:pPr>
        <w:snapToGrid w:val="0"/>
        <w:spacing w:line="360" w:lineRule="auto"/>
        <w:ind w:left="120" w:leftChars="57" w:firstLine="482" w:firstLineChars="150"/>
        <w:jc w:val="center"/>
        <w:rPr>
          <w:rFonts w:ascii="宋体" w:hAnsi="宋体" w:cs="宋体"/>
          <w:b/>
          <w:sz w:val="32"/>
          <w:highlight w:val="none"/>
        </w:rPr>
      </w:pPr>
      <w:bookmarkStart w:id="15" w:name="第四部分"/>
      <w:r>
        <w:rPr>
          <w:rFonts w:hint="eastAsia" w:ascii="宋体" w:hAnsi="宋体" w:cs="宋体"/>
          <w:b/>
          <w:sz w:val="32"/>
          <w:highlight w:val="none"/>
        </w:rPr>
        <w:t>九、验收</w:t>
      </w:r>
    </w:p>
    <w:p>
      <w:pPr>
        <w:pStyle w:val="26"/>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5" w:h="16838"/>
          <w:pgMar w:top="680" w:right="1417" w:bottom="680" w:left="1417" w:header="851" w:footer="992" w:gutter="0"/>
          <w:cols w:space="0" w:num="1"/>
          <w:rtlGutter w:val="0"/>
          <w:docGrid w:linePitch="312" w:charSpace="0"/>
        </w:sectPr>
      </w:pPr>
      <w:bookmarkStart w:id="16" w:name="_Hlt68072998"/>
      <w:bookmarkEnd w:id="16"/>
      <w:bookmarkStart w:id="17" w:name="_Hlt74730295"/>
      <w:bookmarkEnd w:id="17"/>
      <w:bookmarkStart w:id="18" w:name="_Hlt75236290"/>
      <w:bookmarkEnd w:id="18"/>
      <w:bookmarkStart w:id="19" w:name="_Hlt74729768"/>
      <w:bookmarkEnd w:id="19"/>
      <w:bookmarkStart w:id="20" w:name="_Hlt75236011"/>
      <w:bookmarkEnd w:id="20"/>
      <w:bookmarkStart w:id="21" w:name="_Hlt75236101"/>
      <w:bookmarkEnd w:id="21"/>
      <w:bookmarkStart w:id="22" w:name="_Hlt68403820"/>
      <w:bookmarkEnd w:id="22"/>
      <w:bookmarkStart w:id="23" w:name="_Hlt68072990"/>
      <w:bookmarkEnd w:id="23"/>
      <w:bookmarkStart w:id="24" w:name="_Hlt74707468"/>
      <w:bookmarkEnd w:id="24"/>
      <w:bookmarkStart w:id="25" w:name="_Hlt68057669"/>
      <w:bookmarkEnd w:id="25"/>
      <w:bookmarkStart w:id="26" w:name="_Hlt68073093"/>
      <w:bookmarkEnd w:id="26"/>
      <w:bookmarkStart w:id="27" w:name="_Hlt74714665"/>
      <w:bookmarkEnd w:id="27"/>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第三部分   采购需求</w:t>
      </w:r>
    </w:p>
    <w:p>
      <w:pPr>
        <w:adjustRightInd/>
        <w:spacing w:before="120" w:beforeLines="50" w:after="120" w:afterLines="50" w:line="360" w:lineRule="auto"/>
        <w:jc w:val="center"/>
        <w:outlineLvl w:val="1"/>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属于实质性要求条款的，已用符号“▲”标明，否则属于非实质性要求。</w:t>
      </w:r>
    </w:p>
    <w:p>
      <w:pPr>
        <w:rPr>
          <w:highlight w:val="none"/>
        </w:rPr>
      </w:pPr>
    </w:p>
    <w:p>
      <w:pPr>
        <w:pStyle w:val="258"/>
        <w:numPr>
          <w:ilvl w:val="0"/>
          <w:numId w:val="1"/>
        </w:numPr>
        <w:adjustRightInd/>
        <w:ind w:firstLineChars="0"/>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建设内容</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本项目建设的应用系统包括：</w:t>
      </w:r>
      <w:r>
        <w:rPr>
          <w:rFonts w:hint="eastAsia" w:asciiTheme="minorEastAsia" w:hAnsiTheme="minorEastAsia" w:eastAsiaTheme="minorEastAsia" w:cstheme="minorEastAsia"/>
          <w:bCs/>
          <w:color w:val="auto"/>
          <w:sz w:val="24"/>
          <w:szCs w:val="20"/>
          <w:highlight w:val="none"/>
          <w:lang w:val="en-US" w:eastAsia="zh-CN"/>
        </w:rPr>
        <w:t>数据资源及数据仓设计</w:t>
      </w:r>
      <w:r>
        <w:rPr>
          <w:rFonts w:hint="eastAsia" w:asciiTheme="minorEastAsia" w:hAnsiTheme="minorEastAsia" w:eastAsiaTheme="minorEastAsia" w:cstheme="minorEastAsia"/>
          <w:bCs/>
          <w:color w:val="auto"/>
          <w:sz w:val="24"/>
          <w:szCs w:val="20"/>
          <w:highlight w:val="none"/>
        </w:rPr>
        <w:t>、</w:t>
      </w:r>
      <w:r>
        <w:rPr>
          <w:rFonts w:hint="eastAsia" w:asciiTheme="minorEastAsia" w:hAnsiTheme="minorEastAsia" w:eastAsiaTheme="minorEastAsia" w:cstheme="minorEastAsia"/>
          <w:bCs/>
          <w:color w:val="auto"/>
          <w:sz w:val="24"/>
          <w:szCs w:val="20"/>
          <w:highlight w:val="none"/>
          <w:lang w:val="en-US" w:eastAsia="zh-CN"/>
        </w:rPr>
        <w:t>常态化普查两</w:t>
      </w:r>
      <w:r>
        <w:rPr>
          <w:rFonts w:hint="eastAsia" w:asciiTheme="minorEastAsia" w:hAnsiTheme="minorEastAsia" w:eastAsiaTheme="minorEastAsia" w:cstheme="minorEastAsia"/>
          <w:bCs/>
          <w:color w:val="auto"/>
          <w:sz w:val="24"/>
          <w:szCs w:val="20"/>
          <w:highlight w:val="none"/>
        </w:rPr>
        <w:t>部分。</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在一期建设的风险基础数据库的基础上，进一步依托西湖区一体化智能化公共数据平台，建设西湖区应急管理局数据仓，通过与部门数据链路完成数据切分和同步，更新风险普查基础数据库。从而进一步依据灾害管理能力、灾害备灾能力和自救转移能力等数据，建设数据库修正、数据统计分析、减灾能力分析等内容，构建西湖区社区减灾能力分析体系，赋能西湖区防灾减灾救灾工作。</w:t>
      </w:r>
    </w:p>
    <w:p>
      <w:pPr>
        <w:pStyle w:val="4"/>
        <w:numPr>
          <w:ilvl w:val="2"/>
          <w:numId w:val="0"/>
        </w:numPr>
        <w:tabs>
          <w:tab w:val="left" w:pos="432"/>
          <w:tab w:val="clear" w:pos="900"/>
        </w:tabs>
        <w:spacing w:line="360" w:lineRule="auto"/>
        <w:ind w:leftChars="0"/>
        <w:rPr>
          <w:rFonts w:hint="eastAsia" w:asciiTheme="minorEastAsia" w:hAnsiTheme="minorEastAsia" w:eastAsiaTheme="minorEastAsia" w:cstheme="minorEastAsia"/>
          <w:bCs w:val="0"/>
          <w:color w:val="auto"/>
          <w:highlight w:val="none"/>
          <w:lang w:val="en-US" w:eastAsia="zh-CN"/>
        </w:rPr>
      </w:pPr>
      <w:r>
        <w:rPr>
          <w:rFonts w:hint="eastAsia" w:asciiTheme="minorEastAsia" w:hAnsiTheme="minorEastAsia" w:eastAsiaTheme="minorEastAsia" w:cstheme="minorEastAsia"/>
          <w:bCs w:val="0"/>
          <w:color w:val="auto"/>
          <w:highlight w:val="none"/>
          <w:lang w:val="en-US" w:eastAsia="zh-CN"/>
        </w:rPr>
        <w:t>1.数据资源及数据仓设计</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lang w:val="en-US" w:eastAsia="zh-CN"/>
        </w:rPr>
        <w:t>1.1</w:t>
      </w:r>
      <w:r>
        <w:rPr>
          <w:rFonts w:hint="eastAsia" w:asciiTheme="minorEastAsia" w:hAnsiTheme="minorEastAsia" w:eastAsiaTheme="minorEastAsia" w:cstheme="minorEastAsia"/>
          <w:bCs/>
          <w:color w:val="auto"/>
          <w:sz w:val="24"/>
          <w:szCs w:val="20"/>
          <w:highlight w:val="none"/>
        </w:rPr>
        <w:t>数据仓架构设计</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依托西湖区一体化智能化公共数据平台的采集、存储、治理、建仓、交换、共享等一体化数据链能力搭建形成基础的部门数据仓。</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lang w:val="en-US" w:eastAsia="zh-CN"/>
        </w:rPr>
        <w:t>1.2</w:t>
      </w:r>
      <w:r>
        <w:rPr>
          <w:rFonts w:hint="eastAsia" w:asciiTheme="minorEastAsia" w:hAnsiTheme="minorEastAsia" w:eastAsiaTheme="minorEastAsia" w:cstheme="minorEastAsia"/>
          <w:bCs/>
          <w:color w:val="auto"/>
          <w:sz w:val="24"/>
          <w:szCs w:val="20"/>
          <w:highlight w:val="none"/>
        </w:rPr>
        <w:t>业务数据梳理</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对台汛卫士、城市管理指挥平台、风险普查一期等已建系统的数据进行充分的梳理和整合。与相关系统的业务部门密切沟通，深入了解系统的数据流程和业务逻辑，将关键的业务数据纳入到应急数仓中，以支持应急管理部门更好地利用数据进行分析、决策和应急响应。</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lang w:val="en-US" w:eastAsia="zh-CN"/>
        </w:rPr>
        <w:t>1.3</w:t>
      </w:r>
      <w:r>
        <w:rPr>
          <w:rFonts w:hint="eastAsia" w:asciiTheme="minorEastAsia" w:hAnsiTheme="minorEastAsia" w:eastAsiaTheme="minorEastAsia" w:cstheme="minorEastAsia"/>
          <w:bCs/>
          <w:color w:val="auto"/>
          <w:sz w:val="24"/>
          <w:szCs w:val="20"/>
          <w:highlight w:val="none"/>
        </w:rPr>
        <w:t>数据治理</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建设应急数仓过程中，统一规范后续开发建设的数据的命名、定义和格式，确保数据在数仓中的一致性和可比性。通过制定统一的数据标准，将标准元数据与数据表列进行关联，根据实际需求一个标准元数据关联多个表数据列，自动建立数据标准各类属性之间的约束、传递、映射关系。应急数仓能够更好地整合和利用各个系统的数据，提供准确、可靠的数据支持，从而增强数据的管理和应用效能，为应急管理部门的决策和应急响应提供更可靠、高效的数据支持。</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lang w:val="en-US" w:eastAsia="zh-CN"/>
        </w:rPr>
        <w:t>1.4</w:t>
      </w:r>
      <w:r>
        <w:rPr>
          <w:rFonts w:hint="eastAsia" w:asciiTheme="minorEastAsia" w:hAnsiTheme="minorEastAsia" w:eastAsiaTheme="minorEastAsia" w:cstheme="minorEastAsia"/>
          <w:bCs/>
          <w:color w:val="auto"/>
          <w:sz w:val="24"/>
          <w:szCs w:val="20"/>
          <w:highlight w:val="none"/>
        </w:rPr>
        <w:t>数据融合</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通过整理现有系统已对接的数据以及后续需要对接的相关数据，可以进行数据融合，形成统一的业务数据，以支撑各部门系统的业务开展。</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lang w:val="en-US" w:eastAsia="zh-CN"/>
        </w:rPr>
        <w:t>1.5</w:t>
      </w:r>
      <w:r>
        <w:rPr>
          <w:rFonts w:hint="eastAsia" w:asciiTheme="minorEastAsia" w:hAnsiTheme="minorEastAsia" w:eastAsiaTheme="minorEastAsia" w:cstheme="minorEastAsia"/>
          <w:bCs/>
          <w:color w:val="auto"/>
          <w:sz w:val="24"/>
          <w:szCs w:val="20"/>
          <w:highlight w:val="none"/>
        </w:rPr>
        <w:t>数据质量</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数据血缘技术记录了数据的全链路来源和处理过程，通过西湖区一体化智能化平台对应急数据仓建设进行全流程追溯和分析。同时，利用数据质量规则对被稽查数据展开一系列质量管理活动，通过对表波动检查和字段波动检查确保数据总量和增量正确，并形成质量报告，以此作为判断数据质量管理活动的准则。</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lang w:val="en-US" w:eastAsia="zh-CN"/>
        </w:rPr>
        <w:t>1.6</w:t>
      </w:r>
      <w:r>
        <w:rPr>
          <w:rFonts w:hint="eastAsia" w:asciiTheme="minorEastAsia" w:hAnsiTheme="minorEastAsia" w:eastAsiaTheme="minorEastAsia" w:cstheme="minorEastAsia"/>
          <w:bCs/>
          <w:color w:val="auto"/>
          <w:sz w:val="24"/>
          <w:szCs w:val="20"/>
          <w:highlight w:val="none"/>
        </w:rPr>
        <w:t>专题数据库建设</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根据应急数仓的数据，结合各部门的实际业务需求，建立普查数据专题库、防汛数据专题库和安全数据专题库。通过建立这些专题库，可以将相关数据按照主题进行整合和分类，提高数据的组织和检索效率，使得各部门能够更便捷地获取所需的数据，提升数据的利用价值和决策支持能力，从而加强应急管理的科学性和灵活性。</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根据《关于印发〈浙江省第一次全国自然灾害综合风险普查常态化普查评估试点工作方案〉的通知》文件精神，本期常态化普查包含数据统计分析、数据库修正、减灾能力分析、日志管理等建设内容。</w:t>
      </w:r>
    </w:p>
    <w:p>
      <w:pPr>
        <w:spacing w:line="360" w:lineRule="auto"/>
        <w:rPr>
          <w:rFonts w:hint="eastAsia" w:asciiTheme="minorEastAsia" w:hAnsiTheme="minorEastAsia" w:eastAsiaTheme="minorEastAsia" w:cstheme="minorEastAsia"/>
          <w:b/>
          <w:bCs w:val="0"/>
          <w:color w:val="auto"/>
          <w:kern w:val="2"/>
          <w:sz w:val="32"/>
          <w:szCs w:val="32"/>
          <w:highlight w:val="none"/>
          <w:lang w:val="en-US" w:eastAsia="zh-CN" w:bidi="ar-SA"/>
        </w:rPr>
      </w:pPr>
      <w:r>
        <w:rPr>
          <w:rFonts w:hint="eastAsia" w:asciiTheme="minorEastAsia" w:hAnsiTheme="minorEastAsia" w:eastAsiaTheme="minorEastAsia" w:cstheme="minorEastAsia"/>
          <w:b/>
          <w:bCs w:val="0"/>
          <w:color w:val="auto"/>
          <w:kern w:val="2"/>
          <w:sz w:val="32"/>
          <w:szCs w:val="32"/>
          <w:highlight w:val="none"/>
          <w:lang w:val="en-US" w:eastAsia="zh-CN" w:bidi="ar-SA"/>
        </w:rPr>
        <w:t>2.数据统计分析</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通过应急部门数仓自动更新一期的风险基础数据库，本模块主要根据数据更新情况，增加数据统计分析相关功能，对常态化普查工作进行自动化的总结性统计和分析，分析内容包括数据总体情况、数据更新情况、数据审核情况等，为探索减灾能力分析体系奠定基础。</w:t>
      </w:r>
    </w:p>
    <w:p>
      <w:pPr>
        <w:spacing w:line="360" w:lineRule="auto"/>
        <w:rPr>
          <w:rFonts w:hint="eastAsia" w:asciiTheme="minorEastAsia" w:hAnsiTheme="minorEastAsia" w:eastAsiaTheme="minorEastAsia" w:cstheme="minorEastAsia"/>
          <w:b/>
          <w:bCs w:val="0"/>
          <w:color w:val="auto"/>
          <w:kern w:val="2"/>
          <w:sz w:val="32"/>
          <w:szCs w:val="32"/>
          <w:highlight w:val="none"/>
          <w:lang w:val="en-US" w:eastAsia="zh-CN" w:bidi="ar-SA"/>
        </w:rPr>
      </w:pPr>
      <w:r>
        <w:rPr>
          <w:rFonts w:hint="eastAsia" w:asciiTheme="minorEastAsia" w:hAnsiTheme="minorEastAsia" w:eastAsiaTheme="minorEastAsia" w:cstheme="minorEastAsia"/>
          <w:b/>
          <w:bCs w:val="0"/>
          <w:color w:val="auto"/>
          <w:kern w:val="2"/>
          <w:sz w:val="32"/>
          <w:szCs w:val="32"/>
          <w:highlight w:val="none"/>
          <w:lang w:val="en-US" w:eastAsia="zh-CN" w:bidi="ar-SA"/>
        </w:rPr>
        <w:t>3.数据库修正</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根据常态化普查新增的技术要求，在原有系统基础上，完善数据线上更新的技术流程，增加质检结果生成与提交功能。可支持数据审核人员在线审核数据情况，并根据审核评价结果一键自动生成质检报告，同时提供上传功能，相关数据审核人员可直接上传质检工作报告。</w:t>
      </w:r>
    </w:p>
    <w:p>
      <w:pPr>
        <w:spacing w:line="360" w:lineRule="auto"/>
        <w:rPr>
          <w:rFonts w:hint="eastAsia" w:asciiTheme="minorEastAsia" w:hAnsiTheme="minorEastAsia" w:eastAsiaTheme="minorEastAsia" w:cstheme="minorEastAsia"/>
          <w:b/>
          <w:bCs w:val="0"/>
          <w:color w:val="auto"/>
          <w:kern w:val="2"/>
          <w:sz w:val="32"/>
          <w:szCs w:val="32"/>
          <w:highlight w:val="none"/>
          <w:lang w:val="en-US" w:eastAsia="zh-CN" w:bidi="ar-SA"/>
        </w:rPr>
      </w:pPr>
      <w:r>
        <w:rPr>
          <w:rFonts w:hint="eastAsia" w:asciiTheme="minorEastAsia" w:hAnsiTheme="minorEastAsia" w:eastAsiaTheme="minorEastAsia" w:cstheme="minorEastAsia"/>
          <w:b/>
          <w:bCs w:val="0"/>
          <w:color w:val="auto"/>
          <w:kern w:val="2"/>
          <w:sz w:val="32"/>
          <w:szCs w:val="32"/>
          <w:highlight w:val="none"/>
          <w:lang w:val="en-US" w:eastAsia="zh-CN" w:bidi="ar-SA"/>
        </w:rPr>
        <w:t>4.减灾能力分析</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结合一期已有的社区减灾能力分析体系以及常态化普查数据，开展街道级综合减灾能力分析和区级综合减灾能力分析，完善基层减灾能力评价体系，并依据结果提出预警提示及提升建议，进一步提升基层防灾减灾救灾能力，为筑牢安全稳定底线提供支撑。</w:t>
      </w:r>
    </w:p>
    <w:p>
      <w:pPr>
        <w:spacing w:line="360" w:lineRule="auto"/>
        <w:rPr>
          <w:rFonts w:hint="eastAsia" w:asciiTheme="minorEastAsia" w:hAnsiTheme="minorEastAsia" w:eastAsiaTheme="minorEastAsia" w:cstheme="minorEastAsia"/>
          <w:b/>
          <w:bCs w:val="0"/>
          <w:color w:val="auto"/>
          <w:kern w:val="2"/>
          <w:sz w:val="32"/>
          <w:szCs w:val="32"/>
          <w:highlight w:val="none"/>
          <w:lang w:val="en-US" w:eastAsia="zh-CN" w:bidi="ar-SA"/>
        </w:rPr>
      </w:pPr>
      <w:r>
        <w:rPr>
          <w:rFonts w:hint="eastAsia" w:asciiTheme="minorEastAsia" w:hAnsiTheme="minorEastAsia" w:eastAsiaTheme="minorEastAsia" w:cstheme="minorEastAsia"/>
          <w:b/>
          <w:bCs w:val="0"/>
          <w:color w:val="auto"/>
          <w:kern w:val="2"/>
          <w:sz w:val="32"/>
          <w:szCs w:val="32"/>
          <w:highlight w:val="none"/>
          <w:lang w:val="en-US" w:eastAsia="zh-CN" w:bidi="ar-SA"/>
        </w:rPr>
        <w:t>5.日志管理</w:t>
      </w:r>
    </w:p>
    <w:p>
      <w:pPr>
        <w:spacing w:line="360" w:lineRule="auto"/>
        <w:ind w:firstLine="480" w:firstLineChars="200"/>
        <w:rPr>
          <w:rFonts w:hint="eastAsia" w:asciiTheme="minorEastAsia" w:hAnsiTheme="minorEastAsia" w:eastAsiaTheme="minorEastAsia" w:cstheme="minorEastAsia"/>
          <w:bCs/>
          <w:color w:val="auto"/>
          <w:sz w:val="24"/>
          <w:szCs w:val="20"/>
          <w:highlight w:val="none"/>
        </w:rPr>
      </w:pPr>
      <w:r>
        <w:rPr>
          <w:rFonts w:hint="eastAsia" w:asciiTheme="minorEastAsia" w:hAnsiTheme="minorEastAsia" w:eastAsiaTheme="minorEastAsia" w:cstheme="minorEastAsia"/>
          <w:bCs/>
          <w:color w:val="auto"/>
          <w:sz w:val="24"/>
          <w:szCs w:val="20"/>
          <w:highlight w:val="none"/>
        </w:rPr>
        <w:t>为维护系统的稳定性、安全性和合规性，提供数据支持决策和问题解决，保障信息系统运行和组织管理，建立健全日志管理机制。</w:t>
      </w:r>
    </w:p>
    <w:p>
      <w:pPr>
        <w:spacing w:line="360" w:lineRule="auto"/>
        <w:rPr>
          <w:rFonts w:hint="eastAsia" w:asciiTheme="minorEastAsia" w:hAnsiTheme="minorEastAsia" w:eastAsiaTheme="minorEastAsia" w:cstheme="minorEastAsia"/>
          <w:b/>
          <w:color w:val="auto"/>
          <w:sz w:val="32"/>
          <w:szCs w:val="36"/>
          <w:highlight w:val="none"/>
        </w:rPr>
      </w:pPr>
      <w:r>
        <w:rPr>
          <w:rFonts w:hint="eastAsia" w:asciiTheme="minorEastAsia" w:hAnsiTheme="minorEastAsia" w:eastAsiaTheme="minorEastAsia" w:cstheme="minorEastAsia"/>
          <w:b/>
          <w:color w:val="auto"/>
          <w:sz w:val="32"/>
          <w:szCs w:val="36"/>
          <w:highlight w:val="none"/>
          <w:lang w:val="en-US" w:eastAsia="zh-CN"/>
        </w:rPr>
        <w:t>二</w:t>
      </w:r>
      <w:r>
        <w:rPr>
          <w:rFonts w:hint="eastAsia" w:asciiTheme="minorEastAsia" w:hAnsiTheme="minorEastAsia" w:eastAsiaTheme="minorEastAsia" w:cstheme="minorEastAsia"/>
          <w:b/>
          <w:color w:val="auto"/>
          <w:sz w:val="32"/>
          <w:szCs w:val="36"/>
          <w:highlight w:val="none"/>
        </w:rPr>
        <w:t>、实施要求</w:t>
      </w:r>
    </w:p>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项目开发建设工期为</w:t>
      </w:r>
      <w:r>
        <w:rPr>
          <w:rFonts w:hint="eastAsia" w:asciiTheme="minorEastAsia" w:hAnsiTheme="minorEastAsia" w:eastAsiaTheme="minorEastAsia" w:cstheme="minorEastAsia"/>
          <w:b/>
          <w:color w:val="auto"/>
          <w:sz w:val="24"/>
          <w:highlight w:val="none"/>
          <w:lang w:val="en-US" w:eastAsia="zh-CN"/>
        </w:rPr>
        <w:t>6</w:t>
      </w:r>
      <w:r>
        <w:rPr>
          <w:rFonts w:hint="eastAsia" w:asciiTheme="minorEastAsia" w:hAnsiTheme="minorEastAsia" w:eastAsiaTheme="minorEastAsia" w:cstheme="minorEastAsia"/>
          <w:b/>
          <w:color w:val="auto"/>
          <w:sz w:val="24"/>
          <w:highlight w:val="none"/>
          <w:lang w:val="en-US"/>
        </w:rPr>
        <w:t>0</w:t>
      </w:r>
      <w:r>
        <w:rPr>
          <w:rFonts w:hint="eastAsia" w:asciiTheme="minorEastAsia" w:hAnsiTheme="minorEastAsia" w:eastAsiaTheme="minorEastAsia" w:cstheme="minorEastAsia"/>
          <w:b/>
          <w:color w:val="auto"/>
          <w:sz w:val="24"/>
          <w:highlight w:val="none"/>
        </w:rPr>
        <w:t>天，试运行15天。</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项目组应包含实施本项目所必须的各类技术和管理人员。</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项目团队成员中至少具备1个高级数据治理技术专家认证和1个高级数据仓开发专家认证。</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项目实施过程中，项目经理和项目组主要成员不得擅自更换，如需更换需经采购人同意。</w:t>
      </w:r>
    </w:p>
    <w:p>
      <w:pPr>
        <w:spacing w:line="360" w:lineRule="auto"/>
        <w:rPr>
          <w:rFonts w:hint="eastAsia" w:asciiTheme="minorEastAsia" w:hAnsiTheme="minorEastAsia" w:eastAsiaTheme="minorEastAsia" w:cstheme="minorEastAsia"/>
          <w:b/>
          <w:color w:val="auto"/>
          <w:sz w:val="32"/>
          <w:szCs w:val="36"/>
          <w:highlight w:val="none"/>
        </w:rPr>
      </w:pPr>
      <w:r>
        <w:rPr>
          <w:rFonts w:hint="eastAsia" w:asciiTheme="minorEastAsia" w:hAnsiTheme="minorEastAsia" w:eastAsiaTheme="minorEastAsia" w:cstheme="minorEastAsia"/>
          <w:b/>
          <w:color w:val="auto"/>
          <w:sz w:val="32"/>
          <w:szCs w:val="36"/>
          <w:highlight w:val="none"/>
          <w:lang w:val="en-US" w:eastAsia="zh-CN"/>
        </w:rPr>
        <w:t>三</w:t>
      </w:r>
      <w:r>
        <w:rPr>
          <w:rFonts w:hint="eastAsia" w:asciiTheme="minorEastAsia" w:hAnsiTheme="minorEastAsia" w:eastAsiaTheme="minorEastAsia" w:cstheme="minorEastAsia"/>
          <w:b/>
          <w:color w:val="auto"/>
          <w:sz w:val="32"/>
          <w:szCs w:val="36"/>
          <w:highlight w:val="none"/>
        </w:rPr>
        <w:t>、质量保证</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1.应标人须保证所提供产品符合国家有关规定。应标人</w:t>
      </w:r>
      <w:r>
        <w:rPr>
          <w:rFonts w:hint="eastAsia" w:asciiTheme="minorEastAsia" w:hAnsiTheme="minorEastAsia" w:eastAsiaTheme="minorEastAsia" w:cstheme="minorEastAsia"/>
          <w:bCs/>
          <w:color w:val="auto"/>
          <w:sz w:val="24"/>
          <w:highlight w:val="none"/>
          <w:lang w:eastAsia="zh-CN"/>
        </w:rPr>
        <w:t>应保证采购人在使用所提供的软件产品的任何一部分时，免受第三方提出的侵犯其专利权、商标权或其他知识产权的起诉。如发生此类纠纷，由应标人承担一切责任</w:t>
      </w:r>
      <w:r>
        <w:rPr>
          <w:rFonts w:hint="eastAsia" w:asciiTheme="minorEastAsia" w:hAnsiTheme="minorEastAsia" w:eastAsiaTheme="minorEastAsia" w:cstheme="minorEastAsia"/>
          <w:bCs/>
          <w:color w:val="auto"/>
          <w:sz w:val="24"/>
          <w:highlight w:val="none"/>
        </w:rPr>
        <w:t>。</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2.应标人必须保证解决项目所涉及的技术问题，如因技术原因无法满足用户需求，由此产生的风险由应标方承担。</w:t>
      </w:r>
    </w:p>
    <w:p>
      <w:pPr>
        <w:spacing w:line="360" w:lineRule="auto"/>
        <w:rPr>
          <w:rFonts w:hint="eastAsia" w:asciiTheme="minorEastAsia" w:hAnsiTheme="minorEastAsia" w:eastAsiaTheme="minorEastAsia" w:cstheme="minorEastAsia"/>
          <w:b/>
          <w:color w:val="auto"/>
          <w:sz w:val="32"/>
          <w:szCs w:val="36"/>
          <w:highlight w:val="none"/>
        </w:rPr>
      </w:pPr>
      <w:r>
        <w:rPr>
          <w:rFonts w:hint="eastAsia" w:asciiTheme="minorEastAsia" w:hAnsiTheme="minorEastAsia" w:eastAsiaTheme="minorEastAsia" w:cstheme="minorEastAsia"/>
          <w:b/>
          <w:color w:val="auto"/>
          <w:sz w:val="32"/>
          <w:szCs w:val="36"/>
          <w:highlight w:val="none"/>
          <w:lang w:val="en-US" w:eastAsia="zh-CN"/>
        </w:rPr>
        <w:t>四</w:t>
      </w:r>
      <w:r>
        <w:rPr>
          <w:rFonts w:hint="eastAsia" w:asciiTheme="minorEastAsia" w:hAnsiTheme="minorEastAsia" w:eastAsiaTheme="minorEastAsia" w:cstheme="minorEastAsia"/>
          <w:b/>
          <w:color w:val="auto"/>
          <w:sz w:val="32"/>
          <w:szCs w:val="36"/>
          <w:highlight w:val="none"/>
        </w:rPr>
        <w:t>、服务要求</w:t>
      </w:r>
    </w:p>
    <w:p>
      <w:pPr>
        <w:spacing w:line="360" w:lineRule="auto"/>
        <w:ind w:firstLine="480" w:firstLineChars="200"/>
        <w:rPr>
          <w:rFonts w:hint="eastAsia" w:asciiTheme="minorEastAsia" w:hAnsiTheme="minorEastAsia" w:eastAsiaTheme="minorEastAsia" w:cstheme="minorEastAsia"/>
          <w:bCs/>
          <w:color w:val="auto"/>
          <w:sz w:val="24"/>
          <w:highlight w:val="none"/>
          <w:lang w:eastAsia="zh-CN"/>
        </w:rPr>
      </w:pPr>
      <w:bookmarkStart w:id="28" w:name="_Toc12181_WPSOffice_Level3"/>
      <w:r>
        <w:rPr>
          <w:rFonts w:hint="eastAsia" w:asciiTheme="minorEastAsia" w:hAnsiTheme="minorEastAsia" w:eastAsiaTheme="minorEastAsia" w:cstheme="minorEastAsia"/>
          <w:bCs/>
          <w:color w:val="auto"/>
          <w:sz w:val="24"/>
          <w:highlight w:val="none"/>
          <w:lang w:val="en-US" w:eastAsia="zh-CN"/>
        </w:rPr>
        <w:t>1、</w:t>
      </w:r>
      <w:r>
        <w:rPr>
          <w:rFonts w:hint="eastAsia" w:asciiTheme="minorEastAsia" w:hAnsiTheme="minorEastAsia" w:eastAsiaTheme="minorEastAsia" w:cstheme="minorEastAsia"/>
          <w:bCs/>
          <w:color w:val="auto"/>
          <w:sz w:val="24"/>
          <w:highlight w:val="none"/>
        </w:rPr>
        <w:t>项目售后服务要求</w:t>
      </w:r>
      <w:bookmarkEnd w:id="28"/>
      <w:r>
        <w:rPr>
          <w:rFonts w:hint="eastAsia" w:asciiTheme="minorEastAsia" w:hAnsiTheme="minorEastAsia" w:eastAsiaTheme="minorEastAsia" w:cstheme="minorEastAsia"/>
          <w:bCs/>
          <w:color w:val="auto"/>
          <w:sz w:val="24"/>
          <w:highlight w:val="none"/>
        </w:rPr>
        <w:t>。本项目需提供</w:t>
      </w:r>
      <w:r>
        <w:rPr>
          <w:rFonts w:hint="eastAsia" w:asciiTheme="minorEastAsia" w:hAnsiTheme="minorEastAsia" w:eastAsiaTheme="minorEastAsia" w:cstheme="minorEastAsia"/>
          <w:bCs/>
          <w:color w:val="auto"/>
          <w:sz w:val="24"/>
          <w:highlight w:val="none"/>
          <w:lang w:val="en-US" w:eastAsia="zh-CN"/>
        </w:rPr>
        <w:t>1</w:t>
      </w:r>
      <w:r>
        <w:rPr>
          <w:rFonts w:hint="eastAsia" w:asciiTheme="minorEastAsia" w:hAnsiTheme="minorEastAsia" w:eastAsiaTheme="minorEastAsia" w:cstheme="minorEastAsia"/>
          <w:bCs/>
          <w:color w:val="auto"/>
          <w:sz w:val="24"/>
          <w:highlight w:val="none"/>
        </w:rPr>
        <w:t>年的维护期，</w:t>
      </w:r>
      <w:r>
        <w:rPr>
          <w:rFonts w:hint="eastAsia" w:asciiTheme="minorEastAsia" w:hAnsiTheme="minorEastAsia" w:eastAsiaTheme="minorEastAsia" w:cstheme="minorEastAsia"/>
          <w:bCs/>
          <w:color w:val="auto"/>
          <w:sz w:val="24"/>
          <w:highlight w:val="none"/>
          <w:lang w:val="en-US" w:eastAsia="zh-CN"/>
        </w:rPr>
        <w:t>中标单位需具备本地服务团队，</w:t>
      </w:r>
      <w:r>
        <w:rPr>
          <w:rFonts w:hint="eastAsia" w:asciiTheme="minorEastAsia" w:hAnsiTheme="minorEastAsia" w:eastAsiaTheme="minorEastAsia" w:cstheme="minorEastAsia"/>
          <w:bCs/>
          <w:color w:val="auto"/>
          <w:sz w:val="24"/>
          <w:highlight w:val="none"/>
        </w:rPr>
        <w:t>维护期从验收合格之日开始计算。维护期内所有的系统维护服务提供7×24小时服务</w:t>
      </w:r>
      <w:r>
        <w:rPr>
          <w:rFonts w:hint="eastAsia" w:asciiTheme="minorEastAsia" w:hAnsiTheme="minorEastAsia" w:eastAsiaTheme="minorEastAsia" w:cstheme="minorEastAsia"/>
          <w:bCs/>
          <w:color w:val="auto"/>
          <w:sz w:val="24"/>
          <w:highlight w:val="none"/>
          <w:lang w:eastAsia="zh-CN"/>
        </w:rPr>
        <w:t>。</w:t>
      </w:r>
    </w:p>
    <w:p>
      <w:pPr>
        <w:pStyle w:val="24"/>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 xml:space="preserve">    2、系统使用培训要求。为了确保项目建设能够顺利实施，需要结合实际业务制定合理完善的培训方案，加强对管理人员、业务人员及岗位技术人员培训工作，达到知识转移、全员应用及保障系统安全运行目的，进一步提高项目全流程管理的效率。培训方案中需详细描述培训内容、人数、时间、地点。</w:t>
      </w:r>
    </w:p>
    <w:p>
      <w:pPr>
        <w:spacing w:line="360" w:lineRule="auto"/>
        <w:rPr>
          <w:rFonts w:hint="eastAsia" w:asciiTheme="minorEastAsia" w:hAnsiTheme="minorEastAsia" w:eastAsiaTheme="minorEastAsia" w:cstheme="minorEastAsia"/>
          <w:b/>
          <w:color w:val="auto"/>
          <w:sz w:val="32"/>
          <w:szCs w:val="36"/>
          <w:highlight w:val="none"/>
          <w:lang w:val="en-US" w:eastAsia="zh-CN"/>
        </w:rPr>
      </w:pPr>
      <w:r>
        <w:rPr>
          <w:rFonts w:hint="eastAsia" w:asciiTheme="minorEastAsia" w:hAnsiTheme="minorEastAsia" w:eastAsiaTheme="minorEastAsia" w:cstheme="minorEastAsia"/>
          <w:b/>
          <w:color w:val="auto"/>
          <w:sz w:val="32"/>
          <w:szCs w:val="36"/>
          <w:highlight w:val="none"/>
          <w:lang w:val="en-US" w:eastAsia="zh-CN"/>
        </w:rPr>
        <w:t>五、验收要求</w:t>
      </w:r>
    </w:p>
    <w:p>
      <w:pPr>
        <w:pStyle w:val="2"/>
        <w:keepNext/>
        <w:keepLines/>
        <w:pageBreakBefore w:val="0"/>
        <w:widowControl w:val="0"/>
        <w:kinsoku/>
        <w:wordWrap/>
        <w:overflowPunct/>
        <w:topLinePunct w:val="0"/>
        <w:autoSpaceDE/>
        <w:autoSpaceDN/>
        <w:bidi w:val="0"/>
        <w:adjustRightInd/>
        <w:snapToGrid/>
        <w:ind w:left="0" w:firstLine="0"/>
        <w:textAlignment w:val="auto"/>
        <w:rPr>
          <w:rFonts w:hint="default"/>
          <w:sz w:val="24"/>
          <w:szCs w:val="24"/>
          <w:lang w:val="en-US" w:eastAsia="zh-CN"/>
        </w:rPr>
      </w:pPr>
      <w:r>
        <w:rPr>
          <w:rFonts w:hint="eastAsia"/>
          <w:sz w:val="24"/>
          <w:szCs w:val="24"/>
          <w:lang w:val="en-US" w:eastAsia="zh-CN"/>
        </w:rPr>
        <w:t xml:space="preserve">    </w:t>
      </w:r>
      <w:r>
        <w:rPr>
          <w:rFonts w:hint="eastAsia" w:asciiTheme="minorEastAsia" w:hAnsiTheme="minorEastAsia" w:eastAsiaTheme="minorEastAsia" w:cstheme="minorEastAsia"/>
          <w:b w:val="0"/>
          <w:bCs/>
          <w:snapToGrid w:val="0"/>
          <w:color w:val="auto"/>
          <w:kern w:val="2"/>
          <w:sz w:val="24"/>
          <w:szCs w:val="21"/>
          <w:highlight w:val="none"/>
          <w:lang w:val="en-US" w:eastAsia="zh-CN" w:bidi="ar-SA"/>
        </w:rPr>
        <w:t>应按招标方案、设计变更通知单、国家和部颁发的有关规范和质量检验评定标准、相关的国际标准为依据，并提供相应的验收报告。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Theme="minorEastAsia" w:hAnsiTheme="minorEastAsia" w:eastAsiaTheme="minorEastAsia"/>
          <w:highlight w:val="none"/>
          <w:lang w:val="zh-CN"/>
        </w:rPr>
        <w:sectPr>
          <w:pgSz w:w="11905" w:h="16838"/>
          <w:pgMar w:top="680" w:right="1417" w:bottom="680" w:left="1417" w:header="851" w:footer="992" w:gutter="0"/>
          <w:cols w:space="0" w:num="1"/>
          <w:rtlGutter w:val="0"/>
          <w:docGrid w:linePitch="312" w:charSpace="0"/>
        </w:sectPr>
      </w:pPr>
      <w:r>
        <w:rPr>
          <w:rFonts w:hint="eastAsia" w:ascii="宋体" w:hAnsi="宋体" w:cs="宋体"/>
          <w:b/>
          <w:bCs/>
          <w:kern w:val="0"/>
          <w:sz w:val="24"/>
          <w:highlight w:val="none"/>
          <w:lang w:val="en-US" w:eastAsia="zh-CN"/>
        </w:rPr>
        <w:t>注：</w:t>
      </w:r>
      <w:r>
        <w:rPr>
          <w:rFonts w:hint="eastAsia" w:ascii="宋体" w:hAnsi="宋体" w:eastAsia="宋体" w:cs="宋体"/>
          <w:b/>
          <w:bCs/>
          <w:kern w:val="0"/>
          <w:sz w:val="24"/>
          <w:highlight w:val="none"/>
          <w:lang w:val="en-US" w:eastAsia="zh-CN"/>
        </w:rPr>
        <w:t>招标文件第四部分评分办法中评审因素相应的其它要求及第五部分采购合同中相应的其他要求。</w:t>
      </w:r>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 xml:space="preserve">第四部分   </w:t>
      </w:r>
      <w:bookmarkStart w:id="29" w:name="_Toc184312108"/>
      <w:bookmarkEnd w:id="29"/>
      <w:bookmarkStart w:id="30" w:name="_Toc184310305"/>
      <w:bookmarkEnd w:id="30"/>
      <w:bookmarkStart w:id="31" w:name="_Toc184312103"/>
      <w:bookmarkEnd w:id="31"/>
      <w:bookmarkStart w:id="32" w:name="_Toc184308051"/>
      <w:bookmarkEnd w:id="32"/>
      <w:bookmarkStart w:id="33" w:name="_Toc184308078"/>
      <w:bookmarkEnd w:id="33"/>
      <w:bookmarkStart w:id="34" w:name="_Toc184312136"/>
      <w:bookmarkEnd w:id="34"/>
      <w:bookmarkStart w:id="35" w:name="_Toc184314441"/>
      <w:bookmarkEnd w:id="35"/>
      <w:bookmarkStart w:id="36" w:name="_Toc184314466"/>
      <w:bookmarkEnd w:id="36"/>
      <w:bookmarkStart w:id="37" w:name="_Toc184313248"/>
      <w:bookmarkEnd w:id="37"/>
      <w:bookmarkStart w:id="38" w:name="_Toc184308107"/>
      <w:bookmarkEnd w:id="38"/>
      <w:bookmarkStart w:id="39" w:name="_Toc184312118"/>
      <w:bookmarkEnd w:id="39"/>
      <w:bookmarkStart w:id="40" w:name="_Toc184310333"/>
      <w:bookmarkEnd w:id="40"/>
      <w:bookmarkStart w:id="41" w:name="_Toc184312129"/>
      <w:bookmarkEnd w:id="41"/>
      <w:bookmarkStart w:id="42" w:name="_Toc184308054"/>
      <w:bookmarkEnd w:id="42"/>
      <w:bookmarkStart w:id="43" w:name="_Toc184313300"/>
      <w:bookmarkEnd w:id="43"/>
      <w:bookmarkStart w:id="44" w:name="_Toc184310308"/>
      <w:bookmarkEnd w:id="44"/>
      <w:bookmarkStart w:id="45" w:name="_Toc184312120"/>
      <w:bookmarkEnd w:id="45"/>
      <w:bookmarkStart w:id="46" w:name="_Toc184312079"/>
      <w:bookmarkEnd w:id="46"/>
      <w:bookmarkStart w:id="47" w:name="_Toc184313277"/>
      <w:bookmarkEnd w:id="47"/>
      <w:bookmarkStart w:id="48" w:name="_Toc184314431"/>
      <w:bookmarkEnd w:id="48"/>
      <w:bookmarkStart w:id="49" w:name="_Toc184310289"/>
      <w:bookmarkEnd w:id="49"/>
      <w:bookmarkStart w:id="50" w:name="_Toc184312096"/>
      <w:bookmarkEnd w:id="50"/>
      <w:bookmarkStart w:id="51" w:name="_Toc184312073"/>
      <w:bookmarkEnd w:id="51"/>
      <w:bookmarkStart w:id="52" w:name="_Toc184313243"/>
      <w:bookmarkEnd w:id="52"/>
      <w:bookmarkStart w:id="53" w:name="_Toc184308081"/>
      <w:bookmarkEnd w:id="53"/>
      <w:bookmarkStart w:id="54" w:name="_Toc184310273"/>
      <w:bookmarkEnd w:id="54"/>
      <w:bookmarkStart w:id="55" w:name="_Toc184314428"/>
      <w:bookmarkEnd w:id="55"/>
      <w:bookmarkStart w:id="56" w:name="_Toc184312077"/>
      <w:bookmarkEnd w:id="56"/>
      <w:bookmarkStart w:id="57" w:name="_Toc184310281"/>
      <w:bookmarkEnd w:id="57"/>
      <w:bookmarkStart w:id="58" w:name="_Toc184314432"/>
      <w:bookmarkEnd w:id="58"/>
      <w:bookmarkStart w:id="59" w:name="_Toc184314479"/>
      <w:bookmarkEnd w:id="59"/>
      <w:bookmarkStart w:id="60" w:name="_Toc184308064"/>
      <w:bookmarkEnd w:id="60"/>
      <w:bookmarkStart w:id="61" w:name="_Toc184313251"/>
      <w:bookmarkEnd w:id="61"/>
      <w:bookmarkStart w:id="62" w:name="_Toc184313296"/>
      <w:bookmarkEnd w:id="62"/>
      <w:bookmarkStart w:id="63" w:name="_Toc184308080"/>
      <w:bookmarkEnd w:id="63"/>
      <w:bookmarkStart w:id="64" w:name="_Toc184313287"/>
      <w:bookmarkEnd w:id="64"/>
      <w:bookmarkStart w:id="65" w:name="_Toc184310327"/>
      <w:bookmarkEnd w:id="65"/>
      <w:bookmarkStart w:id="66" w:name="_Toc184308106"/>
      <w:bookmarkEnd w:id="66"/>
      <w:bookmarkStart w:id="67" w:name="_Toc184314448"/>
      <w:bookmarkEnd w:id="67"/>
      <w:bookmarkStart w:id="68" w:name="_Toc184310293"/>
      <w:bookmarkEnd w:id="68"/>
      <w:bookmarkStart w:id="69" w:name="_Toc184310316"/>
      <w:bookmarkEnd w:id="69"/>
      <w:bookmarkStart w:id="70" w:name="_Toc184308039"/>
      <w:bookmarkEnd w:id="70"/>
      <w:bookmarkStart w:id="71" w:name="_Toc184308076"/>
      <w:bookmarkEnd w:id="71"/>
      <w:bookmarkStart w:id="72" w:name="_Toc184313260"/>
      <w:bookmarkEnd w:id="72"/>
      <w:bookmarkStart w:id="73" w:name="_Toc184313257"/>
      <w:bookmarkEnd w:id="73"/>
      <w:bookmarkStart w:id="74" w:name="_Toc184308092"/>
      <w:bookmarkEnd w:id="74"/>
      <w:bookmarkStart w:id="75" w:name="_Toc184312105"/>
      <w:bookmarkEnd w:id="75"/>
      <w:bookmarkStart w:id="76" w:name="_Toc184312086"/>
      <w:bookmarkEnd w:id="76"/>
      <w:bookmarkStart w:id="77" w:name="_Toc184313309"/>
      <w:bookmarkEnd w:id="77"/>
      <w:bookmarkStart w:id="78" w:name="_Toc184308044"/>
      <w:bookmarkEnd w:id="78"/>
      <w:bookmarkStart w:id="79" w:name="_Toc184310284"/>
      <w:bookmarkEnd w:id="79"/>
      <w:bookmarkStart w:id="80" w:name="_Toc184312091"/>
      <w:bookmarkEnd w:id="80"/>
      <w:bookmarkStart w:id="81" w:name="_Toc184312114"/>
      <w:bookmarkEnd w:id="81"/>
      <w:bookmarkStart w:id="82" w:name="_Toc184312123"/>
      <w:bookmarkEnd w:id="82"/>
      <w:bookmarkStart w:id="83" w:name="_Toc184314423"/>
      <w:bookmarkEnd w:id="83"/>
      <w:bookmarkStart w:id="84" w:name="_Toc184313291"/>
      <w:bookmarkEnd w:id="84"/>
      <w:bookmarkStart w:id="85" w:name="_Toc184313294"/>
      <w:bookmarkEnd w:id="85"/>
      <w:bookmarkStart w:id="86" w:name="_Toc184312093"/>
      <w:bookmarkEnd w:id="86"/>
      <w:bookmarkStart w:id="87" w:name="_Toc184310276"/>
      <w:bookmarkEnd w:id="87"/>
      <w:bookmarkStart w:id="88" w:name="_Toc184314446"/>
      <w:bookmarkEnd w:id="88"/>
      <w:bookmarkStart w:id="89" w:name="_Toc184314427"/>
      <w:bookmarkEnd w:id="89"/>
      <w:bookmarkStart w:id="90" w:name="_Toc184310287"/>
      <w:bookmarkEnd w:id="90"/>
      <w:bookmarkStart w:id="91" w:name="_Toc184308096"/>
      <w:bookmarkEnd w:id="91"/>
      <w:bookmarkStart w:id="92" w:name="_Toc184313305"/>
      <w:bookmarkEnd w:id="92"/>
      <w:bookmarkStart w:id="93" w:name="_Toc184312099"/>
      <w:bookmarkEnd w:id="93"/>
      <w:bookmarkStart w:id="94" w:name="_Toc184308070"/>
      <w:bookmarkEnd w:id="94"/>
      <w:bookmarkStart w:id="95" w:name="_Toc184308075"/>
      <w:bookmarkEnd w:id="95"/>
      <w:bookmarkStart w:id="96" w:name="_Toc184314447"/>
      <w:bookmarkEnd w:id="96"/>
      <w:bookmarkStart w:id="97" w:name="_Toc184314470"/>
      <w:bookmarkEnd w:id="97"/>
      <w:bookmarkStart w:id="98" w:name="_Toc184310277"/>
      <w:bookmarkEnd w:id="98"/>
      <w:bookmarkStart w:id="99" w:name="_Toc184308071"/>
      <w:bookmarkEnd w:id="99"/>
      <w:bookmarkStart w:id="100" w:name="_Toc184310335"/>
      <w:bookmarkEnd w:id="100"/>
      <w:bookmarkStart w:id="101" w:name="_Toc184313308"/>
      <w:bookmarkEnd w:id="101"/>
      <w:bookmarkStart w:id="102" w:name="_Toc184312116"/>
      <w:bookmarkEnd w:id="102"/>
      <w:bookmarkStart w:id="103" w:name="_Toc184314460"/>
      <w:bookmarkEnd w:id="103"/>
      <w:bookmarkStart w:id="104" w:name="_Toc184314453"/>
      <w:bookmarkEnd w:id="104"/>
      <w:bookmarkStart w:id="105" w:name="_Toc184310330"/>
      <w:bookmarkEnd w:id="105"/>
      <w:bookmarkStart w:id="106" w:name="_Toc184313266"/>
      <w:bookmarkEnd w:id="106"/>
      <w:bookmarkStart w:id="107" w:name="_Toc184308101"/>
      <w:bookmarkEnd w:id="107"/>
      <w:bookmarkStart w:id="108" w:name="_Toc184314473"/>
      <w:bookmarkEnd w:id="108"/>
      <w:bookmarkStart w:id="109" w:name="_Toc184310274"/>
      <w:bookmarkEnd w:id="109"/>
      <w:bookmarkStart w:id="110" w:name="_Toc184310336"/>
      <w:bookmarkEnd w:id="110"/>
      <w:bookmarkStart w:id="111" w:name="_Toc184312133"/>
      <w:bookmarkEnd w:id="111"/>
      <w:bookmarkStart w:id="112" w:name="_Toc184313278"/>
      <w:bookmarkEnd w:id="112"/>
      <w:bookmarkStart w:id="113" w:name="_Toc184312115"/>
      <w:bookmarkEnd w:id="113"/>
      <w:bookmarkStart w:id="114" w:name="_Toc184308036"/>
      <w:bookmarkEnd w:id="114"/>
      <w:bookmarkStart w:id="115" w:name="_Toc184308102"/>
      <w:bookmarkEnd w:id="115"/>
      <w:bookmarkStart w:id="116" w:name="_Toc184310342"/>
      <w:bookmarkEnd w:id="116"/>
      <w:bookmarkStart w:id="117" w:name="_Toc184312081"/>
      <w:bookmarkEnd w:id="117"/>
      <w:bookmarkStart w:id="118" w:name="_Toc184308093"/>
      <w:bookmarkEnd w:id="118"/>
      <w:bookmarkStart w:id="119" w:name="_Toc184313244"/>
      <w:bookmarkEnd w:id="119"/>
      <w:bookmarkStart w:id="120" w:name="_Toc184312088"/>
      <w:bookmarkEnd w:id="120"/>
      <w:bookmarkStart w:id="121" w:name="_Toc184312080"/>
      <w:bookmarkEnd w:id="121"/>
      <w:bookmarkStart w:id="122" w:name="_Toc184308098"/>
      <w:bookmarkEnd w:id="122"/>
      <w:bookmarkStart w:id="123" w:name="_Toc184308082"/>
      <w:bookmarkEnd w:id="123"/>
      <w:bookmarkStart w:id="124" w:name="_Toc184310280"/>
      <w:bookmarkEnd w:id="124"/>
      <w:bookmarkStart w:id="125" w:name="_Toc184313252"/>
      <w:bookmarkEnd w:id="125"/>
      <w:bookmarkStart w:id="126" w:name="_Toc184314465"/>
      <w:bookmarkEnd w:id="126"/>
      <w:bookmarkStart w:id="127" w:name="_Toc184312068"/>
      <w:bookmarkEnd w:id="127"/>
      <w:bookmarkStart w:id="128" w:name="_Toc184314422"/>
      <w:bookmarkEnd w:id="128"/>
      <w:bookmarkStart w:id="129" w:name="_Toc184314461"/>
      <w:bookmarkEnd w:id="129"/>
      <w:bookmarkStart w:id="130" w:name="_Toc184308041"/>
      <w:bookmarkEnd w:id="130"/>
      <w:bookmarkStart w:id="131" w:name="_Toc184314454"/>
      <w:bookmarkEnd w:id="131"/>
      <w:bookmarkStart w:id="132" w:name="_Toc184310311"/>
      <w:bookmarkEnd w:id="132"/>
      <w:bookmarkStart w:id="133" w:name="_Toc184314464"/>
      <w:bookmarkEnd w:id="133"/>
      <w:bookmarkStart w:id="134" w:name="_Toc184312139"/>
      <w:bookmarkEnd w:id="134"/>
      <w:bookmarkStart w:id="135" w:name="_Toc184314462"/>
      <w:bookmarkEnd w:id="135"/>
      <w:bookmarkStart w:id="136" w:name="_Toc184308065"/>
      <w:bookmarkEnd w:id="136"/>
      <w:bookmarkStart w:id="137" w:name="_Toc184312122"/>
      <w:bookmarkEnd w:id="137"/>
      <w:bookmarkStart w:id="138" w:name="_Toc184308085"/>
      <w:bookmarkEnd w:id="138"/>
      <w:bookmarkStart w:id="139" w:name="_Toc184310341"/>
      <w:bookmarkEnd w:id="139"/>
      <w:bookmarkStart w:id="140" w:name="_Toc184308084"/>
      <w:bookmarkEnd w:id="140"/>
      <w:bookmarkStart w:id="141" w:name="_Toc184312130"/>
      <w:bookmarkEnd w:id="141"/>
      <w:bookmarkStart w:id="142" w:name="_Toc184312102"/>
      <w:bookmarkEnd w:id="142"/>
      <w:bookmarkStart w:id="143" w:name="_Toc184313271"/>
      <w:bookmarkEnd w:id="143"/>
      <w:bookmarkStart w:id="144" w:name="_Toc184308068"/>
      <w:bookmarkEnd w:id="144"/>
      <w:bookmarkStart w:id="145" w:name="_Toc184312074"/>
      <w:bookmarkEnd w:id="145"/>
      <w:bookmarkStart w:id="146" w:name="_Toc184310313"/>
      <w:bookmarkEnd w:id="146"/>
      <w:bookmarkStart w:id="147" w:name="_Toc184313269"/>
      <w:bookmarkEnd w:id="147"/>
      <w:bookmarkStart w:id="148" w:name="_Toc184312085"/>
      <w:bookmarkEnd w:id="148"/>
      <w:bookmarkStart w:id="149" w:name="_Toc184314436"/>
      <w:bookmarkEnd w:id="149"/>
      <w:bookmarkStart w:id="150" w:name="_Toc184313253"/>
      <w:bookmarkEnd w:id="150"/>
      <w:bookmarkStart w:id="151" w:name="_Toc184312134"/>
      <w:bookmarkEnd w:id="151"/>
      <w:bookmarkStart w:id="152" w:name="_Toc184310324"/>
      <w:bookmarkEnd w:id="152"/>
      <w:bookmarkStart w:id="153" w:name="_Toc184312126"/>
      <w:bookmarkEnd w:id="153"/>
      <w:bookmarkStart w:id="154" w:name="_Toc184310300"/>
      <w:bookmarkEnd w:id="154"/>
      <w:bookmarkStart w:id="155" w:name="_Toc184313292"/>
      <w:bookmarkEnd w:id="155"/>
      <w:bookmarkStart w:id="156" w:name="_Toc184313285"/>
      <w:bookmarkEnd w:id="156"/>
      <w:bookmarkStart w:id="157" w:name="_Toc184308038"/>
      <w:bookmarkEnd w:id="157"/>
      <w:bookmarkStart w:id="158" w:name="_Toc184313295"/>
      <w:bookmarkEnd w:id="158"/>
      <w:bookmarkStart w:id="159" w:name="_Toc184313304"/>
      <w:bookmarkEnd w:id="159"/>
      <w:bookmarkStart w:id="160" w:name="_Toc184313282"/>
      <w:bookmarkEnd w:id="160"/>
      <w:bookmarkStart w:id="161" w:name="_Toc184313297"/>
      <w:bookmarkEnd w:id="161"/>
      <w:bookmarkStart w:id="162" w:name="_Toc184313240"/>
      <w:bookmarkEnd w:id="162"/>
      <w:bookmarkStart w:id="163" w:name="_Toc184308053"/>
      <w:bookmarkEnd w:id="163"/>
      <w:bookmarkStart w:id="164" w:name="_Toc184310319"/>
      <w:bookmarkEnd w:id="164"/>
      <w:bookmarkStart w:id="165" w:name="_Toc184312117"/>
      <w:bookmarkEnd w:id="165"/>
      <w:bookmarkStart w:id="166" w:name="_Toc184312113"/>
      <w:bookmarkEnd w:id="166"/>
      <w:bookmarkStart w:id="167" w:name="_Toc184313288"/>
      <w:bookmarkEnd w:id="167"/>
      <w:bookmarkStart w:id="168" w:name="_Toc184308037"/>
      <w:bookmarkEnd w:id="168"/>
      <w:bookmarkStart w:id="169" w:name="_Toc184308060"/>
      <w:bookmarkEnd w:id="169"/>
      <w:bookmarkStart w:id="170" w:name="_Toc184313255"/>
      <w:bookmarkEnd w:id="170"/>
      <w:bookmarkStart w:id="171" w:name="_Toc184310315"/>
      <w:bookmarkEnd w:id="171"/>
      <w:bookmarkStart w:id="172" w:name="_Toc184313290"/>
      <w:bookmarkEnd w:id="172"/>
      <w:bookmarkStart w:id="173" w:name="_Toc184310307"/>
      <w:bookmarkEnd w:id="173"/>
      <w:bookmarkStart w:id="174" w:name="_Toc184314429"/>
      <w:bookmarkEnd w:id="174"/>
      <w:bookmarkStart w:id="175" w:name="_Toc184313307"/>
      <w:bookmarkEnd w:id="175"/>
      <w:bookmarkStart w:id="176" w:name="_Toc184312111"/>
      <w:bookmarkEnd w:id="176"/>
      <w:bookmarkStart w:id="177" w:name="_Toc184314439"/>
      <w:bookmarkEnd w:id="177"/>
      <w:bookmarkStart w:id="178" w:name="_Toc184312083"/>
      <w:bookmarkEnd w:id="178"/>
      <w:bookmarkStart w:id="179" w:name="_Toc184314452"/>
      <w:bookmarkEnd w:id="179"/>
      <w:bookmarkStart w:id="180" w:name="_Toc184312094"/>
      <w:bookmarkEnd w:id="180"/>
      <w:bookmarkStart w:id="181" w:name="_Toc184313298"/>
      <w:bookmarkEnd w:id="181"/>
      <w:bookmarkStart w:id="182" w:name="_Toc184312131"/>
      <w:bookmarkEnd w:id="182"/>
      <w:bookmarkStart w:id="183" w:name="_Toc184312104"/>
      <w:bookmarkEnd w:id="183"/>
      <w:bookmarkStart w:id="184" w:name="_Toc184310339"/>
      <w:bookmarkEnd w:id="184"/>
      <w:bookmarkStart w:id="185" w:name="_Toc184312138"/>
      <w:bookmarkEnd w:id="185"/>
      <w:bookmarkStart w:id="186" w:name="_Toc184314437"/>
      <w:bookmarkEnd w:id="186"/>
      <w:bookmarkStart w:id="187" w:name="_Toc184313274"/>
      <w:bookmarkEnd w:id="187"/>
      <w:bookmarkStart w:id="188" w:name="_Toc184308058"/>
      <w:bookmarkEnd w:id="188"/>
      <w:bookmarkStart w:id="189" w:name="_Toc184313284"/>
      <w:bookmarkEnd w:id="189"/>
      <w:bookmarkStart w:id="190" w:name="_Toc184308108"/>
      <w:bookmarkEnd w:id="190"/>
      <w:bookmarkStart w:id="191" w:name="_Toc184314419"/>
      <w:bookmarkEnd w:id="191"/>
      <w:bookmarkStart w:id="192" w:name="_Toc184310340"/>
      <w:bookmarkEnd w:id="192"/>
      <w:bookmarkStart w:id="193" w:name="_Toc184314476"/>
      <w:bookmarkEnd w:id="193"/>
      <w:bookmarkStart w:id="194" w:name="_Toc184308094"/>
      <w:bookmarkEnd w:id="194"/>
      <w:bookmarkStart w:id="195" w:name="_Toc184310306"/>
      <w:bookmarkEnd w:id="195"/>
      <w:bookmarkStart w:id="196" w:name="_Toc184310275"/>
      <w:bookmarkEnd w:id="196"/>
      <w:bookmarkStart w:id="197" w:name="_Toc184314411"/>
      <w:bookmarkEnd w:id="197"/>
      <w:bookmarkStart w:id="198" w:name="_Toc184314424"/>
      <w:bookmarkEnd w:id="198"/>
      <w:bookmarkStart w:id="199" w:name="_Toc184314433"/>
      <w:bookmarkEnd w:id="199"/>
      <w:bookmarkStart w:id="200" w:name="_Toc184314442"/>
      <w:bookmarkEnd w:id="200"/>
      <w:bookmarkStart w:id="201" w:name="_Toc184312135"/>
      <w:bookmarkEnd w:id="201"/>
      <w:bookmarkStart w:id="202" w:name="_Toc184314471"/>
      <w:bookmarkEnd w:id="202"/>
      <w:bookmarkStart w:id="203" w:name="_Toc184310279"/>
      <w:bookmarkEnd w:id="203"/>
      <w:bookmarkStart w:id="204" w:name="_Toc184314435"/>
      <w:bookmarkEnd w:id="204"/>
      <w:bookmarkStart w:id="205" w:name="_Toc184313301"/>
      <w:bookmarkEnd w:id="205"/>
      <w:bookmarkStart w:id="206" w:name="_Toc184312095"/>
      <w:bookmarkEnd w:id="206"/>
      <w:bookmarkStart w:id="207" w:name="_Toc184310344"/>
      <w:bookmarkEnd w:id="207"/>
      <w:bookmarkStart w:id="208" w:name="_Toc184313275"/>
      <w:bookmarkEnd w:id="208"/>
      <w:bookmarkStart w:id="209" w:name="_Toc184313283"/>
      <w:bookmarkEnd w:id="209"/>
      <w:bookmarkStart w:id="210" w:name="_Toc184313242"/>
      <w:bookmarkEnd w:id="210"/>
      <w:bookmarkStart w:id="211" w:name="_Toc184308087"/>
      <w:bookmarkEnd w:id="211"/>
      <w:bookmarkStart w:id="212" w:name="_Toc184308066"/>
      <w:bookmarkEnd w:id="212"/>
      <w:bookmarkStart w:id="213" w:name="_Toc184312132"/>
      <w:bookmarkEnd w:id="213"/>
      <w:bookmarkStart w:id="214" w:name="_Toc184313263"/>
      <w:bookmarkEnd w:id="214"/>
      <w:bookmarkStart w:id="215" w:name="_Toc184314456"/>
      <w:bookmarkEnd w:id="215"/>
      <w:bookmarkStart w:id="216" w:name="_Toc184310310"/>
      <w:bookmarkEnd w:id="216"/>
      <w:bookmarkStart w:id="217" w:name="_Toc184308061"/>
      <w:bookmarkEnd w:id="217"/>
      <w:bookmarkStart w:id="218" w:name="_Toc184308059"/>
      <w:bookmarkEnd w:id="218"/>
      <w:bookmarkStart w:id="219" w:name="_Toc184312078"/>
      <w:bookmarkEnd w:id="219"/>
      <w:bookmarkStart w:id="220" w:name="_Toc184308056"/>
      <w:bookmarkEnd w:id="220"/>
      <w:bookmarkStart w:id="221" w:name="_Toc184310290"/>
      <w:bookmarkEnd w:id="221"/>
      <w:bookmarkStart w:id="222" w:name="_Toc184312137"/>
      <w:bookmarkEnd w:id="222"/>
      <w:bookmarkStart w:id="223" w:name="_Toc184313259"/>
      <w:bookmarkEnd w:id="223"/>
      <w:bookmarkStart w:id="224" w:name="_Toc184308048"/>
      <w:bookmarkEnd w:id="224"/>
      <w:bookmarkStart w:id="225" w:name="_Toc184310298"/>
      <w:bookmarkEnd w:id="225"/>
      <w:bookmarkStart w:id="226" w:name="_Toc184314413"/>
      <w:bookmarkEnd w:id="226"/>
      <w:bookmarkStart w:id="227" w:name="_Toc184312092"/>
      <w:bookmarkEnd w:id="227"/>
      <w:bookmarkStart w:id="228" w:name="_Toc184308043"/>
      <w:bookmarkEnd w:id="228"/>
      <w:bookmarkStart w:id="229" w:name="_Toc184314434"/>
      <w:bookmarkEnd w:id="229"/>
      <w:bookmarkStart w:id="230" w:name="_Toc184314482"/>
      <w:bookmarkEnd w:id="230"/>
      <w:bookmarkStart w:id="231" w:name="_Toc184312128"/>
      <w:bookmarkEnd w:id="231"/>
      <w:bookmarkStart w:id="232" w:name="_Toc184314412"/>
      <w:bookmarkEnd w:id="232"/>
      <w:bookmarkStart w:id="233" w:name="_Toc184310322"/>
      <w:bookmarkEnd w:id="233"/>
      <w:bookmarkStart w:id="234" w:name="_Toc184314438"/>
      <w:bookmarkEnd w:id="234"/>
      <w:bookmarkStart w:id="235" w:name="_Toc184312127"/>
      <w:bookmarkEnd w:id="235"/>
      <w:bookmarkStart w:id="236" w:name="_Toc184313254"/>
      <w:bookmarkEnd w:id="236"/>
      <w:bookmarkStart w:id="237" w:name="_Toc184314417"/>
      <w:bookmarkEnd w:id="237"/>
      <w:bookmarkStart w:id="238" w:name="_Toc184310295"/>
      <w:bookmarkEnd w:id="238"/>
      <w:bookmarkStart w:id="239" w:name="_Toc184310314"/>
      <w:bookmarkEnd w:id="239"/>
      <w:bookmarkStart w:id="240" w:name="_Toc184310318"/>
      <w:bookmarkEnd w:id="240"/>
      <w:bookmarkStart w:id="241" w:name="_Toc184314474"/>
      <w:bookmarkEnd w:id="241"/>
      <w:bookmarkStart w:id="242" w:name="_Toc184312124"/>
      <w:bookmarkEnd w:id="242"/>
      <w:bookmarkStart w:id="243" w:name="_Toc184308083"/>
      <w:bookmarkEnd w:id="243"/>
      <w:bookmarkStart w:id="244" w:name="_Toc184312082"/>
      <w:bookmarkEnd w:id="244"/>
      <w:bookmarkStart w:id="245" w:name="_Toc184310294"/>
      <w:bookmarkEnd w:id="245"/>
      <w:bookmarkStart w:id="246" w:name="_Toc184314478"/>
      <w:bookmarkEnd w:id="246"/>
      <w:bookmarkStart w:id="247" w:name="_Toc184310286"/>
      <w:bookmarkEnd w:id="247"/>
      <w:bookmarkStart w:id="248" w:name="_Toc184313310"/>
      <w:bookmarkEnd w:id="248"/>
      <w:bookmarkStart w:id="249" w:name="_Toc184312125"/>
      <w:bookmarkEnd w:id="249"/>
      <w:bookmarkStart w:id="250" w:name="_Toc184314416"/>
      <w:bookmarkEnd w:id="250"/>
      <w:bookmarkStart w:id="251" w:name="_Toc184310303"/>
      <w:bookmarkEnd w:id="251"/>
      <w:bookmarkStart w:id="252" w:name="_Toc184314421"/>
      <w:bookmarkEnd w:id="252"/>
      <w:bookmarkStart w:id="253" w:name="_Toc184313303"/>
      <w:bookmarkEnd w:id="253"/>
      <w:bookmarkStart w:id="254" w:name="_Toc184314440"/>
      <w:bookmarkEnd w:id="254"/>
      <w:bookmarkStart w:id="255" w:name="_Toc184310291"/>
      <w:bookmarkEnd w:id="255"/>
      <w:bookmarkStart w:id="256" w:name="_Toc184312089"/>
      <w:bookmarkEnd w:id="256"/>
      <w:bookmarkStart w:id="257" w:name="_Toc184313281"/>
      <w:bookmarkEnd w:id="257"/>
      <w:bookmarkStart w:id="258" w:name="_Toc184308072"/>
      <w:bookmarkEnd w:id="258"/>
      <w:bookmarkStart w:id="259" w:name="_Toc184313258"/>
      <w:bookmarkEnd w:id="259"/>
      <w:bookmarkStart w:id="260" w:name="_Toc184313302"/>
      <w:bookmarkEnd w:id="260"/>
      <w:bookmarkStart w:id="261" w:name="_Toc184310288"/>
      <w:bookmarkEnd w:id="261"/>
      <w:bookmarkStart w:id="262" w:name="_Toc184312109"/>
      <w:bookmarkEnd w:id="262"/>
      <w:bookmarkStart w:id="263" w:name="_Toc184314444"/>
      <w:bookmarkEnd w:id="263"/>
      <w:bookmarkStart w:id="264" w:name="_Toc184313286"/>
      <w:bookmarkEnd w:id="264"/>
      <w:bookmarkStart w:id="265" w:name="_Toc184312119"/>
      <w:bookmarkEnd w:id="265"/>
      <w:bookmarkStart w:id="266" w:name="_Toc184314468"/>
      <w:bookmarkEnd w:id="266"/>
      <w:bookmarkStart w:id="267" w:name="_Toc184314458"/>
      <w:bookmarkEnd w:id="267"/>
      <w:bookmarkStart w:id="268" w:name="_Toc184308073"/>
      <w:bookmarkEnd w:id="268"/>
      <w:bookmarkStart w:id="269" w:name="_Toc184308089"/>
      <w:bookmarkEnd w:id="269"/>
      <w:bookmarkStart w:id="270" w:name="_Toc184314414"/>
      <w:bookmarkEnd w:id="270"/>
      <w:bookmarkStart w:id="271" w:name="_Toc184310283"/>
      <w:bookmarkEnd w:id="271"/>
      <w:bookmarkStart w:id="272" w:name="_Toc184313273"/>
      <w:bookmarkEnd w:id="272"/>
      <w:bookmarkStart w:id="273" w:name="_Toc184310321"/>
      <w:bookmarkEnd w:id="273"/>
      <w:bookmarkStart w:id="274" w:name="_Toc184312098"/>
      <w:bookmarkEnd w:id="274"/>
      <w:bookmarkStart w:id="275" w:name="_Toc184308077"/>
      <w:bookmarkEnd w:id="275"/>
      <w:bookmarkStart w:id="276" w:name="_Toc184313239"/>
      <w:bookmarkEnd w:id="276"/>
      <w:bookmarkStart w:id="277" w:name="_Toc184310297"/>
      <w:bookmarkEnd w:id="277"/>
      <w:bookmarkStart w:id="278" w:name="_Toc184314481"/>
      <w:bookmarkEnd w:id="278"/>
      <w:bookmarkStart w:id="279" w:name="_Toc184308057"/>
      <w:bookmarkEnd w:id="279"/>
      <w:bookmarkStart w:id="280" w:name="_Toc184308074"/>
      <w:bookmarkEnd w:id="280"/>
      <w:bookmarkStart w:id="281" w:name="_Toc184310309"/>
      <w:bookmarkEnd w:id="281"/>
      <w:bookmarkStart w:id="282" w:name="_Toc184308040"/>
      <w:bookmarkEnd w:id="282"/>
      <w:bookmarkStart w:id="283" w:name="_Toc184308063"/>
      <w:bookmarkEnd w:id="283"/>
      <w:bookmarkStart w:id="284" w:name="_Toc184314430"/>
      <w:bookmarkEnd w:id="284"/>
      <w:bookmarkStart w:id="285" w:name="_Toc184314469"/>
      <w:bookmarkEnd w:id="285"/>
      <w:bookmarkStart w:id="286" w:name="_Toc184308062"/>
      <w:bookmarkEnd w:id="286"/>
      <w:bookmarkStart w:id="287" w:name="_Toc184310328"/>
      <w:bookmarkEnd w:id="287"/>
      <w:bookmarkStart w:id="288" w:name="_Toc184310337"/>
      <w:bookmarkEnd w:id="288"/>
      <w:bookmarkStart w:id="289" w:name="_Toc184308045"/>
      <w:bookmarkEnd w:id="289"/>
      <w:bookmarkStart w:id="290" w:name="_Toc184313249"/>
      <w:bookmarkEnd w:id="290"/>
      <w:bookmarkStart w:id="291" w:name="_Toc184312070"/>
      <w:bookmarkEnd w:id="291"/>
      <w:bookmarkStart w:id="292" w:name="_Toc184310278"/>
      <w:bookmarkEnd w:id="292"/>
      <w:bookmarkStart w:id="293" w:name="_Toc184308067"/>
      <w:bookmarkEnd w:id="293"/>
      <w:bookmarkStart w:id="294" w:name="_Toc184310326"/>
      <w:bookmarkEnd w:id="294"/>
      <w:bookmarkStart w:id="295" w:name="_Toc184313245"/>
      <w:bookmarkEnd w:id="295"/>
      <w:bookmarkStart w:id="296" w:name="_Toc184308099"/>
      <w:bookmarkEnd w:id="296"/>
      <w:bookmarkStart w:id="297" w:name="_Toc184308055"/>
      <w:bookmarkEnd w:id="297"/>
      <w:bookmarkStart w:id="298" w:name="_Toc184310338"/>
      <w:bookmarkEnd w:id="298"/>
      <w:bookmarkStart w:id="299" w:name="_Toc184308069"/>
      <w:bookmarkEnd w:id="299"/>
      <w:bookmarkStart w:id="300" w:name="_Toc184312069"/>
      <w:bookmarkEnd w:id="300"/>
      <w:bookmarkStart w:id="301" w:name="_Toc184308049"/>
      <w:bookmarkEnd w:id="301"/>
      <w:bookmarkStart w:id="302" w:name="_Toc184313265"/>
      <w:bookmarkEnd w:id="302"/>
      <w:bookmarkStart w:id="303" w:name="_Toc184312100"/>
      <w:bookmarkEnd w:id="303"/>
      <w:bookmarkStart w:id="304" w:name="_Toc184312087"/>
      <w:bookmarkEnd w:id="304"/>
      <w:bookmarkStart w:id="305" w:name="_Toc184314418"/>
      <w:bookmarkEnd w:id="305"/>
      <w:bookmarkStart w:id="306" w:name="_Toc184313276"/>
      <w:bookmarkEnd w:id="306"/>
      <w:bookmarkStart w:id="307" w:name="_Toc184310272"/>
      <w:bookmarkEnd w:id="307"/>
      <w:bookmarkStart w:id="308" w:name="_Toc184312084"/>
      <w:bookmarkEnd w:id="308"/>
      <w:bookmarkStart w:id="309" w:name="_Toc184310329"/>
      <w:bookmarkEnd w:id="309"/>
      <w:bookmarkStart w:id="310" w:name="_Toc184314467"/>
      <w:bookmarkEnd w:id="310"/>
      <w:bookmarkStart w:id="311" w:name="_Toc184313247"/>
      <w:bookmarkEnd w:id="311"/>
      <w:bookmarkStart w:id="312" w:name="_Toc184313280"/>
      <w:bookmarkEnd w:id="312"/>
      <w:bookmarkStart w:id="313" w:name="_Toc184310317"/>
      <w:bookmarkEnd w:id="313"/>
      <w:bookmarkStart w:id="314" w:name="_Toc184312097"/>
      <w:bookmarkEnd w:id="314"/>
      <w:bookmarkStart w:id="315" w:name="_Toc184313299"/>
      <w:bookmarkEnd w:id="315"/>
      <w:bookmarkStart w:id="316" w:name="_Toc184312110"/>
      <w:bookmarkEnd w:id="316"/>
      <w:bookmarkStart w:id="317" w:name="_Toc184310285"/>
      <w:bookmarkEnd w:id="317"/>
      <w:bookmarkStart w:id="318" w:name="_Toc184310331"/>
      <w:bookmarkEnd w:id="318"/>
      <w:bookmarkStart w:id="319" w:name="_Toc184314415"/>
      <w:bookmarkEnd w:id="319"/>
      <w:bookmarkStart w:id="320" w:name="_Toc184312101"/>
      <w:bookmarkEnd w:id="320"/>
      <w:bookmarkStart w:id="321" w:name="_Toc184313264"/>
      <w:bookmarkEnd w:id="321"/>
      <w:bookmarkStart w:id="322" w:name="_Toc184313272"/>
      <w:bookmarkEnd w:id="322"/>
      <w:bookmarkStart w:id="323" w:name="_Toc184310292"/>
      <w:bookmarkEnd w:id="323"/>
      <w:bookmarkStart w:id="324" w:name="_Toc184313256"/>
      <w:bookmarkEnd w:id="324"/>
      <w:bookmarkStart w:id="325" w:name="_Toc184314463"/>
      <w:bookmarkEnd w:id="325"/>
      <w:bookmarkStart w:id="326" w:name="_Toc184313289"/>
      <w:bookmarkEnd w:id="326"/>
      <w:bookmarkStart w:id="327" w:name="_Toc184310323"/>
      <w:bookmarkEnd w:id="327"/>
      <w:bookmarkStart w:id="328" w:name="_Toc184308105"/>
      <w:bookmarkEnd w:id="328"/>
      <w:bookmarkStart w:id="329" w:name="_Toc184313279"/>
      <w:bookmarkEnd w:id="329"/>
      <w:bookmarkStart w:id="330" w:name="_Toc184314451"/>
      <w:bookmarkEnd w:id="330"/>
      <w:bookmarkStart w:id="331" w:name="_Toc184314425"/>
      <w:bookmarkEnd w:id="331"/>
      <w:bookmarkStart w:id="332" w:name="_Toc184314480"/>
      <w:bookmarkEnd w:id="332"/>
      <w:bookmarkStart w:id="333" w:name="_Toc184314449"/>
      <w:bookmarkEnd w:id="333"/>
      <w:bookmarkStart w:id="334" w:name="_Toc184314477"/>
      <w:bookmarkEnd w:id="334"/>
      <w:bookmarkStart w:id="335" w:name="_Toc184308103"/>
      <w:bookmarkEnd w:id="335"/>
      <w:bookmarkStart w:id="336" w:name="_Toc184313262"/>
      <w:bookmarkEnd w:id="336"/>
      <w:bookmarkStart w:id="337" w:name="_Toc184310320"/>
      <w:bookmarkEnd w:id="337"/>
      <w:bookmarkStart w:id="338" w:name="_Toc184312090"/>
      <w:bookmarkEnd w:id="338"/>
      <w:bookmarkStart w:id="339" w:name="_Toc184314457"/>
      <w:bookmarkEnd w:id="339"/>
      <w:bookmarkStart w:id="340" w:name="_Toc184314443"/>
      <w:bookmarkEnd w:id="340"/>
      <w:bookmarkStart w:id="341" w:name="_Toc184312067"/>
      <w:bookmarkEnd w:id="341"/>
      <w:bookmarkStart w:id="342" w:name="_Toc184314455"/>
      <w:bookmarkEnd w:id="342"/>
      <w:bookmarkStart w:id="343" w:name="_Toc184310299"/>
      <w:bookmarkEnd w:id="343"/>
      <w:bookmarkStart w:id="344" w:name="_Toc184312106"/>
      <w:bookmarkEnd w:id="344"/>
      <w:bookmarkStart w:id="345" w:name="_Toc184314426"/>
      <w:bookmarkEnd w:id="345"/>
      <w:bookmarkStart w:id="346" w:name="_Toc184308042"/>
      <w:bookmarkEnd w:id="346"/>
      <w:bookmarkStart w:id="347" w:name="_Toc184313246"/>
      <w:bookmarkEnd w:id="347"/>
      <w:bookmarkStart w:id="348" w:name="_Toc184308091"/>
      <w:bookmarkEnd w:id="348"/>
      <w:bookmarkStart w:id="349" w:name="_Toc184312112"/>
      <w:bookmarkEnd w:id="349"/>
      <w:bookmarkStart w:id="350" w:name="_Toc184310343"/>
      <w:bookmarkEnd w:id="350"/>
      <w:bookmarkStart w:id="351" w:name="_Toc184310282"/>
      <w:bookmarkEnd w:id="351"/>
      <w:bookmarkStart w:id="352" w:name="_Toc184310312"/>
      <w:bookmarkEnd w:id="352"/>
      <w:bookmarkStart w:id="353" w:name="_Toc184308052"/>
      <w:bookmarkEnd w:id="353"/>
      <w:bookmarkStart w:id="354" w:name="_Toc184313261"/>
      <w:bookmarkEnd w:id="354"/>
      <w:bookmarkStart w:id="355" w:name="_Toc184308090"/>
      <w:bookmarkEnd w:id="355"/>
      <w:bookmarkStart w:id="356" w:name="_Toc184313238"/>
      <w:bookmarkEnd w:id="356"/>
      <w:bookmarkStart w:id="357" w:name="_Toc184314472"/>
      <w:bookmarkEnd w:id="357"/>
      <w:bookmarkStart w:id="358" w:name="_Toc184310296"/>
      <w:bookmarkEnd w:id="358"/>
      <w:bookmarkStart w:id="359" w:name="_Toc184313270"/>
      <w:bookmarkEnd w:id="359"/>
      <w:bookmarkStart w:id="360" w:name="_Toc184310302"/>
      <w:bookmarkEnd w:id="360"/>
      <w:bookmarkStart w:id="361" w:name="_Toc184313267"/>
      <w:bookmarkEnd w:id="361"/>
      <w:bookmarkStart w:id="362" w:name="_Toc184312072"/>
      <w:bookmarkEnd w:id="362"/>
      <w:bookmarkStart w:id="363" w:name="_Toc184313306"/>
      <w:bookmarkEnd w:id="363"/>
      <w:bookmarkStart w:id="364" w:name="_Toc184312076"/>
      <w:bookmarkEnd w:id="364"/>
      <w:bookmarkStart w:id="365" w:name="_Toc184308050"/>
      <w:bookmarkEnd w:id="365"/>
      <w:bookmarkStart w:id="366" w:name="_Toc184310304"/>
      <w:bookmarkEnd w:id="366"/>
      <w:bookmarkStart w:id="367" w:name="_Toc184310325"/>
      <w:bookmarkEnd w:id="367"/>
      <w:bookmarkStart w:id="368" w:name="_Toc184308088"/>
      <w:bookmarkEnd w:id="368"/>
      <w:bookmarkStart w:id="369" w:name="_Toc184314459"/>
      <w:bookmarkEnd w:id="369"/>
      <w:bookmarkStart w:id="370" w:name="_Toc184314450"/>
      <w:bookmarkEnd w:id="370"/>
      <w:bookmarkStart w:id="371" w:name="_Toc184313241"/>
      <w:bookmarkEnd w:id="371"/>
      <w:bookmarkStart w:id="372" w:name="_Toc184312075"/>
      <w:bookmarkEnd w:id="372"/>
      <w:bookmarkStart w:id="373" w:name="_Toc184313293"/>
      <w:bookmarkEnd w:id="373"/>
      <w:bookmarkStart w:id="374" w:name="_Toc184308097"/>
      <w:bookmarkEnd w:id="374"/>
      <w:bookmarkStart w:id="375" w:name="_Toc184314475"/>
      <w:bookmarkEnd w:id="375"/>
      <w:bookmarkStart w:id="376" w:name="_Toc184310332"/>
      <w:bookmarkEnd w:id="376"/>
      <w:bookmarkStart w:id="377" w:name="_Toc184312071"/>
      <w:bookmarkEnd w:id="377"/>
      <w:bookmarkStart w:id="378" w:name="_Toc184312107"/>
      <w:bookmarkEnd w:id="378"/>
      <w:bookmarkStart w:id="379" w:name="_Toc184308104"/>
      <w:bookmarkEnd w:id="379"/>
      <w:bookmarkStart w:id="380" w:name="_Toc184308100"/>
      <w:bookmarkEnd w:id="380"/>
      <w:bookmarkStart w:id="381" w:name="_Toc184310334"/>
      <w:bookmarkEnd w:id="381"/>
      <w:bookmarkStart w:id="382" w:name="_Toc184308095"/>
      <w:bookmarkEnd w:id="382"/>
      <w:bookmarkStart w:id="383" w:name="_Toc184314420"/>
      <w:bookmarkEnd w:id="383"/>
      <w:bookmarkStart w:id="384" w:name="_Toc184314410"/>
      <w:bookmarkEnd w:id="384"/>
      <w:bookmarkStart w:id="385" w:name="_Toc184313250"/>
      <w:bookmarkEnd w:id="385"/>
      <w:bookmarkStart w:id="386" w:name="_Toc184310301"/>
      <w:bookmarkEnd w:id="386"/>
      <w:bookmarkStart w:id="387" w:name="_Toc184308046"/>
      <w:bookmarkEnd w:id="387"/>
      <w:bookmarkStart w:id="388" w:name="_Toc184308086"/>
      <w:bookmarkEnd w:id="388"/>
      <w:bookmarkStart w:id="389" w:name="_Toc184308047"/>
      <w:bookmarkEnd w:id="389"/>
      <w:bookmarkStart w:id="390" w:name="_Toc184314445"/>
      <w:bookmarkEnd w:id="390"/>
      <w:bookmarkStart w:id="391" w:name="_Toc184312121"/>
      <w:bookmarkEnd w:id="391"/>
      <w:bookmarkStart w:id="392" w:name="_Toc184308079"/>
      <w:bookmarkEnd w:id="392"/>
      <w:bookmarkStart w:id="393" w:name="_Toc184313268"/>
      <w:bookmarkEnd w:id="393"/>
      <w:r>
        <w:rPr>
          <w:rFonts w:hint="eastAsia" w:cs="宋体" w:asciiTheme="minorEastAsia" w:hAnsiTheme="minorEastAsia" w:eastAsiaTheme="minorEastAsia"/>
          <w:b/>
          <w:sz w:val="36"/>
          <w:szCs w:val="36"/>
          <w:highlight w:val="none"/>
        </w:rPr>
        <w:t>评标办法</w:t>
      </w:r>
    </w:p>
    <w:p>
      <w:pPr>
        <w:snapToGrid w:val="0"/>
        <w:spacing w:line="360" w:lineRule="auto"/>
        <w:jc w:val="center"/>
        <w:rPr>
          <w:rFonts w:cs="宋体" w:asciiTheme="minorEastAsia" w:hAnsiTheme="minorEastAsia" w:eastAsiaTheme="minorEastAsia"/>
          <w:sz w:val="20"/>
          <w:szCs w:val="20"/>
          <w:highlight w:val="none"/>
          <w:shd w:val="clear" w:color="auto" w:fill="FFFFFF"/>
        </w:rPr>
      </w:pPr>
      <w:r>
        <w:rPr>
          <w:rFonts w:hint="eastAsia" w:cs="宋体" w:asciiTheme="minorEastAsia" w:hAnsiTheme="minorEastAsia" w:eastAsiaTheme="minorEastAsia"/>
          <w:b/>
          <w:sz w:val="32"/>
          <w:szCs w:val="20"/>
          <w:highlight w:val="none"/>
        </w:rPr>
        <w:t>评标办法前附表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6541"/>
        <w:gridCol w:w="50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ascii="宋体" w:hAnsi="宋体" w:cs="宋体"/>
                <w:bCs/>
                <w:sz w:val="24"/>
                <w:highlight w:val="none"/>
              </w:rPr>
            </w:pPr>
            <w:r>
              <w:rPr>
                <w:rFonts w:hint="eastAsia" w:ascii="宋体" w:hAnsi="宋体" w:cs="宋体"/>
                <w:bCs/>
                <w:sz w:val="24"/>
                <w:highlight w:val="none"/>
              </w:rPr>
              <w:t>序号</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ascii="宋体" w:hAnsi="宋体" w:cs="宋体"/>
                <w:bCs/>
                <w:sz w:val="24"/>
                <w:highlight w:val="none"/>
              </w:rPr>
            </w:pPr>
            <w:r>
              <w:rPr>
                <w:rFonts w:hint="eastAsia" w:ascii="宋体" w:hAnsi="宋体" w:cs="宋体"/>
                <w:bCs/>
                <w:sz w:val="24"/>
                <w:highlight w:val="none"/>
              </w:rPr>
              <w:t>评标标准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textAlignment w:val="auto"/>
              <w:outlineLvl w:val="0"/>
              <w:rPr>
                <w:rFonts w:ascii="宋体" w:hAnsi="宋体" w:cs="宋体"/>
                <w:bCs/>
                <w:sz w:val="24"/>
                <w:highlight w:val="none"/>
              </w:rPr>
            </w:pPr>
            <w:r>
              <w:rPr>
                <w:rFonts w:hint="eastAsia" w:ascii="宋体" w:hAnsi="宋体" w:cs="宋体"/>
                <w:bCs/>
                <w:sz w:val="24"/>
                <w:highlight w:val="none"/>
              </w:rPr>
              <w:t>权重</w:t>
            </w:r>
          </w:p>
        </w:tc>
        <w:tc>
          <w:tcPr>
            <w:tcW w:w="0" w:type="auto"/>
            <w:noWrap w:val="0"/>
            <w:vAlign w:val="top"/>
          </w:tcPr>
          <w:p>
            <w:pPr>
              <w:keepNext w:val="0"/>
              <w:keepLines w:val="0"/>
              <w:pageBreakBefore w:val="0"/>
              <w:widowControl w:val="0"/>
              <w:kinsoku/>
              <w:wordWrap/>
              <w:overflowPunct/>
              <w:topLinePunct w:val="0"/>
              <w:autoSpaceDE/>
              <w:autoSpaceDN/>
              <w:bidi w:val="0"/>
              <w:snapToGrid/>
              <w:spacing w:line="360" w:lineRule="auto"/>
              <w:textAlignment w:val="auto"/>
              <w:outlineLvl w:val="0"/>
              <w:rPr>
                <w:rFonts w:ascii="宋体" w:hAnsi="宋体" w:cs="宋体"/>
                <w:bCs/>
                <w:sz w:val="24"/>
                <w:highlight w:val="none"/>
              </w:rPr>
            </w:pPr>
            <w:r>
              <w:rPr>
                <w:rFonts w:hint="eastAsia" w:ascii="宋体" w:hAnsi="宋体" w:cs="宋体"/>
                <w:bCs/>
                <w:sz w:val="24"/>
                <w:highlight w:val="none"/>
              </w:rPr>
              <w:t>投标文件中评标标准相应的商务技术资料目录</w:t>
            </w:r>
            <w:r>
              <w:rPr>
                <w:rFonts w:hint="eastAsia" w:ascii="宋体" w:hAnsi="宋体" w:cs="宋体"/>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eastAsia" w:ascii="宋体" w:hAnsi="宋体" w:eastAsia="宋体" w:cs="宋体"/>
                <w:sz w:val="24"/>
                <w:szCs w:val="22"/>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kern w:val="0"/>
                <w:sz w:val="24"/>
                <w:szCs w:val="22"/>
                <w:highlight w:val="none"/>
                <w:lang w:val="en-US" w:eastAsia="zh-CN"/>
              </w:rPr>
            </w:pPr>
            <w:r>
              <w:rPr>
                <w:rFonts w:hint="eastAsia" w:ascii="宋体" w:hAnsi="宋体" w:cs="宋体"/>
                <w:sz w:val="24"/>
                <w:highlight w:val="none"/>
                <w:lang w:eastAsia="zh-CN"/>
              </w:rPr>
              <w:t>根据对自然灾害风险普查一期的了解程度，对如何根据一期普查数据成果建设数仓及基层防灾减灾救灾能力评价体系的完善的理解和阐述，根据理解阐述的科学性、合理性、完整性、可操作性等</w:t>
            </w:r>
            <w:r>
              <w:rPr>
                <w:rFonts w:hint="eastAsia" w:ascii="宋体" w:hAnsi="宋体" w:cs="宋体"/>
                <w:sz w:val="24"/>
                <w:highlight w:val="none"/>
              </w:rPr>
              <w:t>方面</w:t>
            </w:r>
            <w:r>
              <w:rPr>
                <w:rFonts w:hint="eastAsia" w:ascii="宋体" w:hAnsi="宋体" w:cs="宋体"/>
                <w:sz w:val="24"/>
                <w:highlight w:val="none"/>
                <w:lang w:eastAsia="zh-CN"/>
              </w:rPr>
              <w:t>与项目实际需求的满足情况</w:t>
            </w:r>
            <w:r>
              <w:rPr>
                <w:rFonts w:hint="eastAsia" w:ascii="宋体" w:hAnsi="宋体" w:cs="宋体"/>
                <w:sz w:val="24"/>
                <w:highlight w:val="none"/>
                <w:lang w:val="en-US" w:eastAsia="zh-CN"/>
              </w:rPr>
              <w:t>。符合采购需求的</w:t>
            </w:r>
            <w:r>
              <w:rPr>
                <w:rFonts w:hint="eastAsia" w:ascii="宋体" w:hAnsi="宋体" w:cs="宋体"/>
                <w:sz w:val="24"/>
                <w:highlight w:val="none"/>
                <w:lang w:eastAsia="zh-CN"/>
              </w:rPr>
              <w:t>得</w:t>
            </w:r>
            <w:r>
              <w:rPr>
                <w:rFonts w:hint="eastAsia" w:ascii="宋体" w:hAnsi="宋体" w:cs="宋体"/>
                <w:sz w:val="24"/>
                <w:highlight w:val="none"/>
                <w:lang w:val="en-US" w:eastAsia="zh-CN"/>
              </w:rPr>
              <w:t>10</w:t>
            </w:r>
            <w:r>
              <w:rPr>
                <w:rFonts w:hint="eastAsia" w:ascii="宋体" w:hAnsi="宋体" w:cs="宋体"/>
                <w:sz w:val="24"/>
                <w:highlight w:val="none"/>
                <w:lang w:eastAsia="zh-CN"/>
              </w:rPr>
              <w:t>分，部分符合采购需求的得</w:t>
            </w:r>
            <w:r>
              <w:rPr>
                <w:rFonts w:hint="eastAsia" w:ascii="宋体" w:hAnsi="宋体" w:cs="宋体"/>
                <w:sz w:val="24"/>
                <w:highlight w:val="none"/>
                <w:lang w:val="en-US" w:eastAsia="zh-CN"/>
              </w:rPr>
              <w:t>5分，方案有重大偏差的或不提供的得</w:t>
            </w:r>
            <w:r>
              <w:rPr>
                <w:rFonts w:hint="default" w:ascii="宋体" w:hAnsi="宋体" w:cs="宋体"/>
                <w:sz w:val="24"/>
                <w:highlight w:val="none"/>
                <w:lang w:val="en-US" w:eastAsia="zh-CN"/>
              </w:rPr>
              <w:t>0</w:t>
            </w:r>
            <w:r>
              <w:rPr>
                <w:rFonts w:hint="eastAsia" w:ascii="宋体" w:hAnsi="宋体" w:cs="宋体"/>
                <w:sz w:val="24"/>
                <w:highlight w:val="none"/>
                <w:lang w:val="en-US" w:eastAsia="zh-CN"/>
              </w:rPr>
              <w:t>分。</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eastAsia="宋体" w:cs="宋体"/>
                <w:sz w:val="24"/>
                <w:szCs w:val="22"/>
                <w:highlight w:val="none"/>
                <w:lang w:val="en-US" w:eastAsia="zh-CN"/>
              </w:rPr>
            </w:pPr>
            <w:r>
              <w:rPr>
                <w:rFonts w:hint="eastAsia" w:ascii="宋体" w:hAnsi="宋体" w:cs="宋体"/>
                <w:sz w:val="24"/>
                <w:szCs w:val="22"/>
                <w:highlight w:val="none"/>
                <w:lang w:val="en-US" w:eastAsia="zh-CN"/>
              </w:rPr>
              <w:t>10</w:t>
            </w:r>
          </w:p>
        </w:tc>
        <w:tc>
          <w:tcPr>
            <w:tcW w:w="0" w:type="auto"/>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ascii="宋体" w:hAnsi="宋体" w:cs="宋体"/>
                <w:b/>
                <w:bCs/>
                <w:sz w:val="24"/>
                <w:szCs w:val="22"/>
                <w:highlight w:val="none"/>
              </w:rPr>
            </w:pPr>
            <w:r>
              <w:rPr>
                <w:rFonts w:hint="eastAsia" w:ascii="宋体" w:hAnsi="宋体" w:cs="宋体"/>
                <w:b/>
                <w:sz w:val="24"/>
                <w:highlight w:val="none"/>
              </w:rPr>
              <w:t>（</w:t>
            </w:r>
            <w:r>
              <w:rPr>
                <w:rFonts w:hint="eastAsia" w:ascii="宋体" w:hAnsi="宋体" w:cs="宋体"/>
                <w:b/>
                <w:sz w:val="24"/>
                <w:highlight w:val="none"/>
                <w:lang w:eastAsia="zh-CN"/>
              </w:rPr>
              <w:t>一</w:t>
            </w:r>
            <w:r>
              <w:rPr>
                <w:rFonts w:hint="eastAsia" w:ascii="宋体" w:hAnsi="宋体" w:cs="宋体"/>
                <w:b/>
                <w:sz w:val="24"/>
                <w:highlight w:val="none"/>
              </w:rPr>
              <w:t>）技术总体方案科学性和完整性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eastAsia" w:ascii="宋体" w:hAnsi="宋体" w:eastAsia="宋体" w:cs="宋体"/>
                <w:sz w:val="24"/>
                <w:szCs w:val="22"/>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cs="宋体"/>
                <w:sz w:val="24"/>
                <w:highlight w:val="none"/>
              </w:rPr>
            </w:pPr>
            <w:r>
              <w:rPr>
                <w:rFonts w:hint="eastAsia" w:ascii="宋体" w:hAnsi="宋体" w:cs="宋体"/>
                <w:sz w:val="24"/>
                <w:highlight w:val="none"/>
                <w:lang w:eastAsia="zh-CN"/>
              </w:rPr>
              <w:t>对本项目重点难点的理解和阐述，包括对数据梳理、整合、质量管理及数据库建设等现状（如区级减灾能力数据、地质灾害监测和工程防治数据、物品信息数据）和需求的理解程度。理解清晰、阐述合理完整，符合采购需求的得</w:t>
            </w:r>
            <w:r>
              <w:rPr>
                <w:rFonts w:hint="eastAsia" w:ascii="宋体" w:hAnsi="宋体" w:cs="宋体"/>
                <w:sz w:val="24"/>
                <w:highlight w:val="none"/>
                <w:lang w:val="en-US" w:eastAsia="zh-CN"/>
              </w:rPr>
              <w:t>10</w:t>
            </w:r>
            <w:r>
              <w:rPr>
                <w:rFonts w:hint="eastAsia" w:ascii="宋体" w:hAnsi="宋体" w:cs="宋体"/>
                <w:sz w:val="24"/>
                <w:highlight w:val="none"/>
                <w:lang w:eastAsia="zh-CN"/>
              </w:rPr>
              <w:t>分，阐述合理但部分符合采购需求的得</w:t>
            </w:r>
            <w:r>
              <w:rPr>
                <w:rFonts w:hint="eastAsia" w:ascii="宋体" w:hAnsi="宋体" w:cs="宋体"/>
                <w:sz w:val="24"/>
                <w:highlight w:val="none"/>
                <w:lang w:val="en-US" w:eastAsia="zh-CN"/>
              </w:rPr>
              <w:t>5分，不符合或有重大偏差的得</w:t>
            </w:r>
            <w:r>
              <w:rPr>
                <w:rFonts w:hint="default" w:ascii="宋体" w:hAnsi="宋体" w:cs="宋体"/>
                <w:sz w:val="24"/>
                <w:highlight w:val="none"/>
                <w:lang w:val="en-US" w:eastAsia="zh-CN"/>
              </w:rPr>
              <w:t>0</w:t>
            </w:r>
            <w:r>
              <w:rPr>
                <w:rFonts w:hint="eastAsia" w:ascii="宋体" w:hAnsi="宋体" w:cs="宋体"/>
                <w:sz w:val="24"/>
                <w:highlight w:val="none"/>
                <w:lang w:val="en-US" w:eastAsia="zh-CN"/>
              </w:rPr>
              <w:t>分。</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eastAsia="宋体" w:cs="宋体"/>
                <w:sz w:val="24"/>
                <w:szCs w:val="22"/>
                <w:highlight w:val="none"/>
                <w:lang w:val="en-US" w:eastAsia="zh-CN"/>
              </w:rPr>
            </w:pPr>
            <w:r>
              <w:rPr>
                <w:rFonts w:hint="eastAsia" w:ascii="宋体" w:hAnsi="宋体" w:cs="宋体"/>
                <w:sz w:val="24"/>
                <w:szCs w:val="22"/>
                <w:highlight w:val="none"/>
                <w:lang w:val="en-US" w:eastAsia="zh-CN"/>
              </w:rPr>
              <w:t>10</w:t>
            </w:r>
          </w:p>
        </w:tc>
        <w:tc>
          <w:tcPr>
            <w:tcW w:w="0" w:type="auto"/>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eastAsia" w:ascii="宋体" w:hAnsi="宋体" w:eastAsia="宋体" w:cs="宋体"/>
                <w:sz w:val="24"/>
                <w:szCs w:val="22"/>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宋体" w:hAnsi="宋体" w:eastAsia="宋体" w:cs="宋体"/>
                <w:kern w:val="0"/>
                <w:sz w:val="24"/>
                <w:szCs w:val="22"/>
                <w:highlight w:val="none"/>
                <w:lang w:val="en-US" w:eastAsia="zh-CN"/>
              </w:rPr>
            </w:pPr>
            <w:r>
              <w:rPr>
                <w:rFonts w:hint="eastAsia" w:ascii="宋体" w:hAnsi="宋体"/>
                <w:sz w:val="24"/>
                <w:highlight w:val="none"/>
                <w:lang w:eastAsia="zh-CN"/>
              </w:rPr>
              <w:t>投标人所提供的</w:t>
            </w:r>
            <w:r>
              <w:rPr>
                <w:rFonts w:hint="eastAsia" w:ascii="宋体" w:hAnsi="宋体"/>
                <w:b/>
                <w:bCs/>
                <w:sz w:val="24"/>
                <w:highlight w:val="none"/>
                <w:lang w:eastAsia="zh-CN"/>
              </w:rPr>
              <w:t>“数据资源及数据仓设计”功能模块</w:t>
            </w:r>
            <w:r>
              <w:rPr>
                <w:rFonts w:hint="eastAsia" w:ascii="宋体" w:hAnsi="宋体"/>
                <w:sz w:val="24"/>
                <w:highlight w:val="none"/>
                <w:lang w:eastAsia="zh-CN"/>
              </w:rPr>
              <w:t>与采购需求模块内容（</w:t>
            </w:r>
            <w:r>
              <w:rPr>
                <w:rFonts w:hint="default" w:ascii="宋体" w:hAnsi="宋体"/>
                <w:sz w:val="24"/>
                <w:highlight w:val="none"/>
                <w:lang w:val="en-US" w:eastAsia="zh-CN"/>
              </w:rPr>
              <w:t>1</w:t>
            </w:r>
            <w:r>
              <w:rPr>
                <w:rFonts w:hint="eastAsia" w:ascii="宋体" w:hAnsi="宋体"/>
                <w:sz w:val="24"/>
                <w:highlight w:val="none"/>
                <w:lang w:val="en-US" w:eastAsia="zh-CN"/>
              </w:rPr>
              <w:t>、数据仓架构设计模块；</w:t>
            </w:r>
            <w:r>
              <w:rPr>
                <w:rFonts w:hint="default" w:ascii="宋体" w:hAnsi="宋体"/>
                <w:sz w:val="24"/>
                <w:highlight w:val="none"/>
                <w:lang w:val="en-US" w:eastAsia="zh-CN"/>
              </w:rPr>
              <w:t>2</w:t>
            </w:r>
            <w:r>
              <w:rPr>
                <w:rFonts w:hint="eastAsia" w:ascii="宋体" w:hAnsi="宋体"/>
                <w:sz w:val="24"/>
                <w:highlight w:val="none"/>
                <w:lang w:val="en-US" w:eastAsia="zh-CN"/>
              </w:rPr>
              <w:t>、业务数据梳理模块；3、数据治理模块；4、数据质量模块；5、专题数据库建设模块）</w:t>
            </w:r>
            <w:r>
              <w:rPr>
                <w:rFonts w:hint="eastAsia" w:ascii="宋体" w:hAnsi="宋体"/>
                <w:sz w:val="24"/>
                <w:highlight w:val="none"/>
                <w:lang w:eastAsia="zh-CN"/>
              </w:rPr>
              <w:t>的吻合契合程度，模块内容需最大限度满足采购需求，并对各项服务进行阐述。每一项全部符合得</w:t>
            </w:r>
            <w:r>
              <w:rPr>
                <w:rFonts w:hint="eastAsia" w:ascii="宋体" w:hAnsi="宋体"/>
                <w:sz w:val="24"/>
                <w:highlight w:val="none"/>
                <w:lang w:val="en-US" w:eastAsia="zh-CN"/>
              </w:rPr>
              <w:t>3</w:t>
            </w:r>
            <w:r>
              <w:rPr>
                <w:rFonts w:hint="eastAsia" w:ascii="宋体" w:hAnsi="宋体"/>
                <w:sz w:val="24"/>
                <w:highlight w:val="none"/>
                <w:lang w:eastAsia="zh-CN"/>
              </w:rPr>
              <w:t>分，部分符合得</w:t>
            </w:r>
            <w:r>
              <w:rPr>
                <w:rFonts w:hint="eastAsia" w:ascii="宋体" w:hAnsi="宋体"/>
                <w:sz w:val="24"/>
                <w:highlight w:val="none"/>
                <w:lang w:val="en-US" w:eastAsia="zh-CN"/>
              </w:rPr>
              <w:t>1</w:t>
            </w:r>
            <w:r>
              <w:rPr>
                <w:rFonts w:hint="eastAsia" w:ascii="宋体" w:hAnsi="宋体"/>
                <w:sz w:val="24"/>
                <w:highlight w:val="none"/>
                <w:lang w:eastAsia="zh-CN"/>
              </w:rPr>
              <w:t>分，不符合不得分，最高</w:t>
            </w:r>
            <w:r>
              <w:rPr>
                <w:rFonts w:hint="eastAsia" w:ascii="宋体" w:hAnsi="宋体"/>
                <w:sz w:val="24"/>
                <w:highlight w:val="none"/>
                <w:lang w:val="en-US" w:eastAsia="zh-CN"/>
              </w:rPr>
              <w:t>15</w:t>
            </w:r>
            <w:r>
              <w:rPr>
                <w:rFonts w:hint="eastAsia" w:ascii="宋体" w:hAnsi="宋体"/>
                <w:sz w:val="24"/>
                <w:highlight w:val="none"/>
                <w:lang w:eastAsia="zh-CN"/>
              </w:rPr>
              <w:t>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default" w:ascii="宋体" w:hAnsi="宋体" w:eastAsia="宋体" w:cs="宋体"/>
                <w:szCs w:val="22"/>
                <w:highlight w:val="none"/>
                <w:lang w:val="en-US" w:eastAsia="zh-CN"/>
              </w:rPr>
            </w:pPr>
            <w:r>
              <w:rPr>
                <w:rFonts w:hint="eastAsia" w:ascii="宋体" w:hAnsi="宋体" w:cs="宋体"/>
                <w:sz w:val="24"/>
                <w:szCs w:val="22"/>
                <w:highlight w:val="none"/>
                <w:lang w:val="en-US" w:eastAsia="zh-CN"/>
              </w:rPr>
              <w:t>15</w:t>
            </w:r>
          </w:p>
        </w:tc>
        <w:tc>
          <w:tcPr>
            <w:tcW w:w="0" w:type="auto"/>
            <w:vMerge w:val="restart"/>
            <w:noWrap w:val="0"/>
            <w:vAlign w:val="center"/>
          </w:tcPr>
          <w:p>
            <w:pPr>
              <w:keepNext w:val="0"/>
              <w:keepLines w:val="0"/>
              <w:pageBreakBefore w:val="0"/>
              <w:widowControl w:val="0"/>
              <w:kinsoku/>
              <w:wordWrap/>
              <w:overflowPunct/>
              <w:topLinePunct w:val="0"/>
              <w:autoSpaceDE/>
              <w:autoSpaceDN/>
              <w:bidi w:val="0"/>
              <w:snapToGrid/>
              <w:textAlignment w:val="auto"/>
              <w:rPr>
                <w:rFonts w:ascii="宋体" w:hAnsi="宋体" w:cs="宋体"/>
                <w:b/>
                <w:bCs/>
                <w:sz w:val="24"/>
                <w:szCs w:val="22"/>
                <w:highlight w:val="none"/>
              </w:rPr>
            </w:pPr>
            <w:r>
              <w:rPr>
                <w:rFonts w:hint="eastAsia" w:ascii="宋体" w:hAnsi="宋体" w:cs="宋体"/>
                <w:b/>
                <w:bCs/>
                <w:sz w:val="24"/>
                <w:highlight w:val="none"/>
              </w:rPr>
              <w:t>（</w:t>
            </w:r>
            <w:r>
              <w:rPr>
                <w:rFonts w:hint="eastAsia" w:ascii="宋体" w:hAnsi="宋体" w:cs="宋体"/>
                <w:b/>
                <w:bCs/>
                <w:sz w:val="24"/>
                <w:highlight w:val="none"/>
                <w:lang w:eastAsia="zh-CN"/>
              </w:rPr>
              <w:t>二</w:t>
            </w:r>
            <w:r>
              <w:rPr>
                <w:rFonts w:hint="eastAsia" w:ascii="宋体" w:hAnsi="宋体" w:cs="宋体"/>
                <w:b/>
                <w:bCs/>
                <w:sz w:val="24"/>
                <w:highlight w:val="none"/>
              </w:rPr>
              <w:t>）</w:t>
            </w:r>
            <w:r>
              <w:rPr>
                <w:rFonts w:hint="eastAsia" w:ascii="宋体" w:hAnsi="宋体"/>
                <w:b/>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eastAsia" w:ascii="宋体" w:hAnsi="宋体" w:eastAsia="宋体" w:cs="宋体"/>
                <w:sz w:val="24"/>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宋体" w:hAnsi="宋体" w:eastAsia="宋体" w:cs="宋体"/>
                <w:kern w:val="0"/>
                <w:sz w:val="24"/>
                <w:szCs w:val="22"/>
                <w:highlight w:val="none"/>
                <w:lang w:val="en-US" w:eastAsia="zh-CN" w:bidi="ar-SA"/>
              </w:rPr>
            </w:pPr>
            <w:r>
              <w:rPr>
                <w:rFonts w:hint="eastAsia" w:ascii="宋体" w:hAnsi="宋体"/>
                <w:sz w:val="24"/>
                <w:highlight w:val="none"/>
                <w:lang w:eastAsia="zh-CN"/>
              </w:rPr>
              <w:t>投标人所提供的</w:t>
            </w:r>
            <w:r>
              <w:rPr>
                <w:rFonts w:hint="eastAsia" w:ascii="宋体" w:hAnsi="宋体"/>
                <w:b/>
                <w:bCs/>
                <w:sz w:val="24"/>
                <w:highlight w:val="none"/>
                <w:lang w:eastAsia="zh-CN"/>
              </w:rPr>
              <w:t>其他功能模块</w:t>
            </w:r>
            <w:r>
              <w:rPr>
                <w:rFonts w:hint="eastAsia" w:ascii="宋体" w:hAnsi="宋体"/>
                <w:sz w:val="24"/>
                <w:highlight w:val="none"/>
                <w:lang w:eastAsia="zh-CN"/>
              </w:rPr>
              <w:t>与采购需求模块内容（</w:t>
            </w:r>
            <w:r>
              <w:rPr>
                <w:rFonts w:hint="default" w:ascii="宋体" w:hAnsi="宋体"/>
                <w:sz w:val="24"/>
                <w:highlight w:val="none"/>
                <w:lang w:val="en-US" w:eastAsia="zh-CN"/>
              </w:rPr>
              <w:t>1</w:t>
            </w:r>
            <w:r>
              <w:rPr>
                <w:rFonts w:hint="eastAsia" w:ascii="宋体" w:hAnsi="宋体"/>
                <w:sz w:val="24"/>
                <w:highlight w:val="none"/>
                <w:lang w:val="en-US" w:eastAsia="zh-CN"/>
              </w:rPr>
              <w:t>、数据统计分析模块；</w:t>
            </w:r>
            <w:r>
              <w:rPr>
                <w:rFonts w:hint="default" w:ascii="宋体" w:hAnsi="宋体"/>
                <w:sz w:val="24"/>
                <w:highlight w:val="none"/>
                <w:lang w:val="en-US" w:eastAsia="zh-CN"/>
              </w:rPr>
              <w:t>2</w:t>
            </w:r>
            <w:r>
              <w:rPr>
                <w:rFonts w:hint="eastAsia" w:ascii="宋体" w:hAnsi="宋体"/>
                <w:sz w:val="24"/>
                <w:highlight w:val="none"/>
                <w:lang w:val="en-US" w:eastAsia="zh-CN"/>
              </w:rPr>
              <w:t>、数据库修正模块；3、减灾能力分析模块；4、日志管理模块）</w:t>
            </w:r>
            <w:r>
              <w:rPr>
                <w:rFonts w:hint="eastAsia" w:ascii="宋体" w:hAnsi="宋体"/>
                <w:sz w:val="24"/>
                <w:highlight w:val="none"/>
                <w:lang w:eastAsia="zh-CN"/>
              </w:rPr>
              <w:t>的吻合契合程度，模块内容需最大限度满足采购需求，并对各项服务进行阐述。每一项全部符合得</w:t>
            </w:r>
            <w:r>
              <w:rPr>
                <w:rFonts w:hint="eastAsia" w:ascii="宋体" w:hAnsi="宋体"/>
                <w:sz w:val="24"/>
                <w:highlight w:val="none"/>
                <w:lang w:val="en-US" w:eastAsia="zh-CN"/>
              </w:rPr>
              <w:t>3</w:t>
            </w:r>
            <w:r>
              <w:rPr>
                <w:rFonts w:hint="eastAsia" w:ascii="宋体" w:hAnsi="宋体"/>
                <w:sz w:val="24"/>
                <w:highlight w:val="none"/>
                <w:lang w:eastAsia="zh-CN"/>
              </w:rPr>
              <w:t>分，部分符合得</w:t>
            </w:r>
            <w:r>
              <w:rPr>
                <w:rFonts w:hint="eastAsia" w:ascii="宋体" w:hAnsi="宋体"/>
                <w:sz w:val="24"/>
                <w:highlight w:val="none"/>
                <w:lang w:val="en-US" w:eastAsia="zh-CN"/>
              </w:rPr>
              <w:t>1</w:t>
            </w:r>
            <w:r>
              <w:rPr>
                <w:rFonts w:hint="eastAsia" w:ascii="宋体" w:hAnsi="宋体"/>
                <w:sz w:val="24"/>
                <w:highlight w:val="none"/>
                <w:lang w:eastAsia="zh-CN"/>
              </w:rPr>
              <w:t>分，不符合不得分，最高</w:t>
            </w:r>
            <w:r>
              <w:rPr>
                <w:rFonts w:hint="eastAsia" w:ascii="宋体" w:hAnsi="宋体"/>
                <w:sz w:val="24"/>
                <w:highlight w:val="none"/>
                <w:lang w:val="en-US" w:eastAsia="zh-CN"/>
              </w:rPr>
              <w:t>12</w:t>
            </w:r>
            <w:r>
              <w:rPr>
                <w:rFonts w:hint="eastAsia" w:ascii="宋体" w:hAnsi="宋体"/>
                <w:sz w:val="24"/>
                <w:highlight w:val="none"/>
                <w:lang w:eastAsia="zh-CN"/>
              </w:rPr>
              <w:t>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default" w:ascii="宋体" w:hAnsi="宋体" w:eastAsia="宋体" w:cs="宋体"/>
                <w:kern w:val="2"/>
                <w:sz w:val="21"/>
                <w:szCs w:val="22"/>
                <w:highlight w:val="none"/>
                <w:lang w:val="en-US" w:eastAsia="zh-CN" w:bidi="ar-SA"/>
              </w:rPr>
            </w:pPr>
            <w:r>
              <w:rPr>
                <w:rFonts w:hint="eastAsia" w:ascii="宋体" w:hAnsi="宋体" w:eastAsia="宋体" w:cs="宋体"/>
                <w:sz w:val="24"/>
                <w:szCs w:val="22"/>
                <w:highlight w:val="none"/>
                <w:lang w:val="en-US" w:eastAsia="zh-CN"/>
              </w:rPr>
              <w:t>12</w:t>
            </w:r>
          </w:p>
        </w:tc>
        <w:tc>
          <w:tcPr>
            <w:tcW w:w="0" w:type="auto"/>
            <w:vMerge w:val="continue"/>
            <w:noWrap w:val="0"/>
            <w:vAlign w:val="center"/>
          </w:tcPr>
          <w:p>
            <w:pPr>
              <w:keepNext w:val="0"/>
              <w:keepLines w:val="0"/>
              <w:pageBreakBefore w:val="0"/>
              <w:widowControl w:val="0"/>
              <w:kinsoku/>
              <w:wordWrap/>
              <w:overflowPunct/>
              <w:topLinePunct w:val="0"/>
              <w:autoSpaceDE/>
              <w:autoSpaceDN/>
              <w:bidi w:val="0"/>
              <w:snapToGrid/>
              <w:textAlignment w:val="auto"/>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eastAsia" w:ascii="宋体" w:hAnsi="宋体" w:eastAsia="宋体" w:cs="宋体"/>
                <w:sz w:val="24"/>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highlight w:val="none"/>
                <w:lang w:val="en-US" w:eastAsia="zh-CN"/>
              </w:rPr>
            </w:pPr>
            <w:r>
              <w:rPr>
                <w:rFonts w:hint="eastAsia" w:ascii="宋体" w:hAnsi="宋体"/>
                <w:b/>
                <w:bCs/>
                <w:sz w:val="24"/>
                <w:highlight w:val="none"/>
                <w:lang w:eastAsia="zh-CN"/>
              </w:rPr>
              <w:t>本项目数据融合承诺及方案：</w:t>
            </w:r>
            <w:r>
              <w:rPr>
                <w:rFonts w:hint="eastAsia" w:ascii="宋体" w:hAnsi="宋体"/>
                <w:b w:val="0"/>
                <w:bCs w:val="0"/>
                <w:sz w:val="24"/>
                <w:highlight w:val="none"/>
                <w:lang w:eastAsia="zh-CN"/>
              </w:rPr>
              <w:t>对通过整理现有系统已对接的数据和后续需要对接的数据进行数据融合</w:t>
            </w:r>
            <w:r>
              <w:rPr>
                <w:rFonts w:hint="eastAsia" w:ascii="宋体" w:hAnsi="宋体"/>
                <w:sz w:val="24"/>
                <w:highlight w:val="none"/>
                <w:lang w:eastAsia="zh-CN"/>
              </w:rPr>
              <w:t>。</w:t>
            </w:r>
            <w:r>
              <w:rPr>
                <w:rFonts w:hint="eastAsia" w:ascii="宋体" w:hAnsi="宋体"/>
                <w:b/>
                <w:bCs/>
                <w:sz w:val="24"/>
                <w:highlight w:val="none"/>
                <w:lang w:eastAsia="zh-CN"/>
              </w:rPr>
              <w:t>提供满足采购需求的承诺并提供合理可行方案</w:t>
            </w:r>
            <w:r>
              <w:rPr>
                <w:rFonts w:hint="eastAsia" w:ascii="宋体" w:hAnsi="宋体"/>
                <w:sz w:val="24"/>
                <w:highlight w:val="none"/>
                <w:lang w:eastAsia="zh-CN"/>
              </w:rPr>
              <w:t>的得</w:t>
            </w:r>
            <w:r>
              <w:rPr>
                <w:rFonts w:hint="eastAsia" w:ascii="宋体" w:hAnsi="宋体"/>
                <w:sz w:val="24"/>
                <w:highlight w:val="none"/>
                <w:lang w:val="en-US" w:eastAsia="zh-CN"/>
              </w:rPr>
              <w:t>6分，承诺对接但方案存在欠缺的得3分，不提供或不符合要求的不得分。</w:t>
            </w:r>
          </w:p>
        </w:tc>
        <w:tc>
          <w:tcPr>
            <w:tcW w:w="0" w:type="auto"/>
            <w:noWrap w:val="0"/>
            <w:vAlign w:val="center"/>
          </w:tcPr>
          <w:p>
            <w:pPr>
              <w:keepNext w:val="0"/>
              <w:keepLines w:val="0"/>
              <w:pageBreakBefore w:val="0"/>
              <w:widowControl w:val="0"/>
              <w:kinsoku/>
              <w:wordWrap/>
              <w:overflowPunct/>
              <w:topLinePunct w:val="0"/>
              <w:autoSpaceDE/>
              <w:autoSpaceDN/>
              <w:bidi w:val="0"/>
              <w:snapToGrid/>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6</w:t>
            </w:r>
          </w:p>
        </w:tc>
        <w:tc>
          <w:tcPr>
            <w:tcW w:w="0" w:type="auto"/>
            <w:noWrap w:val="0"/>
            <w:vAlign w:val="center"/>
          </w:tcPr>
          <w:p>
            <w:pPr>
              <w:keepNext w:val="0"/>
              <w:keepLines w:val="0"/>
              <w:pageBreakBefore w:val="0"/>
              <w:widowControl w:val="0"/>
              <w:kinsoku/>
              <w:wordWrap/>
              <w:overflowPunct/>
              <w:topLinePunct w:val="0"/>
              <w:autoSpaceDE/>
              <w:autoSpaceDN/>
              <w:bidi w:val="0"/>
              <w:snapToGrid/>
              <w:textAlignment w:val="auto"/>
              <w:rPr>
                <w:rFonts w:hint="eastAsia" w:ascii="宋体" w:hAnsi="宋体" w:eastAsia="宋体" w:cs="宋体"/>
                <w:b/>
                <w:bCs/>
                <w:sz w:val="24"/>
                <w:highlight w:val="none"/>
                <w:lang w:val="en-US" w:eastAsia="zh-CN"/>
              </w:rPr>
            </w:pPr>
            <w:r>
              <w:rPr>
                <w:rFonts w:hint="eastAsia" w:ascii="宋体" w:hAnsi="宋体"/>
                <w:b/>
                <w:bCs/>
                <w:sz w:val="24"/>
                <w:highlight w:val="none"/>
              </w:rPr>
              <w:t>（</w:t>
            </w:r>
            <w:r>
              <w:rPr>
                <w:rFonts w:hint="eastAsia" w:ascii="宋体" w:hAnsi="宋体"/>
                <w:b/>
                <w:bCs/>
                <w:sz w:val="24"/>
                <w:highlight w:val="none"/>
                <w:lang w:eastAsia="zh-CN"/>
              </w:rPr>
              <w:t>三</w:t>
            </w:r>
            <w:r>
              <w:rPr>
                <w:rFonts w:hint="eastAsia" w:ascii="宋体" w:hAnsi="宋体"/>
                <w:b/>
                <w:bCs/>
                <w:sz w:val="24"/>
                <w:highlight w:val="none"/>
              </w:rPr>
              <w:t>）</w:t>
            </w:r>
            <w:r>
              <w:rPr>
                <w:rFonts w:hint="eastAsia" w:ascii="宋体" w:hAnsi="宋体"/>
                <w:b/>
                <w:bCs/>
                <w:sz w:val="24"/>
                <w:highlight w:val="none"/>
                <w:lang w:eastAsia="zh-CN"/>
              </w:rPr>
              <w:t>数据融合承诺及方案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eastAsia" w:ascii="宋体" w:hAnsi="宋体" w:eastAsia="宋体" w:cs="宋体"/>
                <w:sz w:val="24"/>
                <w:highlight w:val="none"/>
                <w:lang w:val="en-US" w:eastAsia="zh-CN"/>
              </w:rPr>
            </w:pPr>
          </w:p>
        </w:tc>
        <w:tc>
          <w:tcPr>
            <w:tcW w:w="0" w:type="auto"/>
            <w:noWrap w:val="0"/>
            <w:vAlign w:val="center"/>
          </w:tcPr>
          <w:p>
            <w:pPr>
              <w:keepNext w:val="0"/>
              <w:keepLines w:val="0"/>
              <w:pageBreakBefore w:val="0"/>
              <w:widowControl w:val="0"/>
              <w:tabs>
                <w:tab w:val="left" w:pos="3990"/>
              </w:tabs>
              <w:kinsoku/>
              <w:wordWrap/>
              <w:overflowPunct/>
              <w:topLinePunct w:val="0"/>
              <w:autoSpaceDE/>
              <w:autoSpaceDN/>
              <w:bidi w:val="0"/>
              <w:snapToGrid/>
              <w:spacing w:line="360" w:lineRule="auto"/>
              <w:textAlignment w:val="auto"/>
              <w:outlineLvl w:val="0"/>
              <w:rPr>
                <w:rFonts w:ascii="宋体" w:hAnsi="宋体" w:cs="宋体"/>
                <w:sz w:val="24"/>
                <w:highlight w:val="none"/>
              </w:rPr>
            </w:pPr>
            <w:r>
              <w:rPr>
                <w:rFonts w:hint="eastAsia" w:ascii="宋体" w:hAnsi="宋体" w:cs="宋体"/>
                <w:color w:val="auto"/>
                <w:sz w:val="24"/>
                <w:highlight w:val="none"/>
              </w:rPr>
              <w:t>项目实施方案：①提供科学、合理、可操作的项目整体实施方案；②项目合理的实施计划进度；③项目有效的实施保障措施。根据供应商提供的方案能否满足采购需求判定评分，方案完整合理视为符合要求，每一项全部符合的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分，部分符合的得</w:t>
            </w:r>
            <w:r>
              <w:rPr>
                <w:rFonts w:hint="default" w:ascii="宋体" w:hAnsi="宋体" w:cs="宋体"/>
                <w:color w:val="auto"/>
                <w:sz w:val="24"/>
                <w:highlight w:val="none"/>
                <w:lang w:val="en-US"/>
              </w:rPr>
              <w:t>1</w:t>
            </w:r>
            <w:r>
              <w:rPr>
                <w:rFonts w:hint="eastAsia" w:ascii="宋体" w:hAnsi="宋体" w:cs="宋体"/>
                <w:color w:val="auto"/>
                <w:sz w:val="24"/>
                <w:highlight w:val="none"/>
              </w:rPr>
              <w:t>分，未提供或不符合的不得分，共</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4"/>
                <w:highlight w:val="none"/>
                <w:lang w:eastAsia="zh-CN"/>
              </w:rPr>
            </w:pPr>
            <w:r>
              <w:rPr>
                <w:rFonts w:hint="eastAsia" w:ascii="宋体" w:hAnsi="宋体" w:cs="宋体"/>
                <w:sz w:val="24"/>
                <w:highlight w:val="none"/>
                <w:lang w:val="en-US" w:eastAsia="zh-CN"/>
              </w:rPr>
              <w:t>9</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left"/>
              <w:textAlignment w:val="auto"/>
              <w:outlineLvl w:val="0"/>
              <w:rPr>
                <w:rFonts w:ascii="宋体" w:hAnsi="宋体"/>
                <w:b/>
                <w:bCs/>
                <w:sz w:val="24"/>
                <w:highlight w:val="none"/>
              </w:rPr>
            </w:pPr>
            <w:r>
              <w:rPr>
                <w:rFonts w:hint="eastAsia" w:ascii="宋体" w:hAnsi="宋体"/>
                <w:b/>
                <w:bCs/>
                <w:sz w:val="24"/>
                <w:highlight w:val="none"/>
              </w:rPr>
              <w:t>（</w:t>
            </w:r>
            <w:r>
              <w:rPr>
                <w:rFonts w:hint="eastAsia" w:ascii="宋体" w:hAnsi="宋体"/>
                <w:b/>
                <w:bCs/>
                <w:sz w:val="24"/>
                <w:highlight w:val="none"/>
                <w:lang w:eastAsia="zh-CN"/>
              </w:rPr>
              <w:t>四</w:t>
            </w:r>
            <w:r>
              <w:rPr>
                <w:rFonts w:hint="eastAsia" w:ascii="宋体" w:hAnsi="宋体"/>
                <w:b/>
                <w:bCs/>
                <w:sz w:val="24"/>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default" w:ascii="宋体" w:hAnsi="宋体" w:cs="宋体"/>
                <w:sz w:val="24"/>
                <w:highlight w:val="none"/>
                <w:lang w:val="en-US" w:eastAsia="zh-CN"/>
              </w:rPr>
            </w:pPr>
          </w:p>
        </w:tc>
        <w:tc>
          <w:tcPr>
            <w:tcW w:w="0" w:type="auto"/>
            <w:noWrap w:val="0"/>
            <w:vAlign w:val="center"/>
          </w:tcPr>
          <w:p>
            <w:pPr>
              <w:keepNext w:val="0"/>
              <w:keepLines w:val="0"/>
              <w:pageBreakBefore w:val="0"/>
              <w:widowControl w:val="0"/>
              <w:tabs>
                <w:tab w:val="left" w:pos="3990"/>
              </w:tabs>
              <w:kinsoku/>
              <w:wordWrap/>
              <w:overflowPunct/>
              <w:topLinePunct w:val="0"/>
              <w:autoSpaceDE/>
              <w:autoSpaceDN/>
              <w:bidi w:val="0"/>
              <w:snapToGrid/>
              <w:spacing w:line="360" w:lineRule="auto"/>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项目质量保证措施方案：</w:t>
            </w:r>
            <w:r>
              <w:rPr>
                <w:rFonts w:hint="eastAsia" w:ascii="宋体" w:hAnsi="宋体" w:cs="宋体"/>
                <w:color w:val="auto"/>
                <w:sz w:val="24"/>
                <w:highlight w:val="none"/>
              </w:rPr>
              <w:t>投标人按采购人要求</w:t>
            </w:r>
            <w:r>
              <w:rPr>
                <w:rFonts w:hint="eastAsia" w:ascii="宋体" w:hAnsi="宋体" w:cs="宋体"/>
                <w:color w:val="auto"/>
                <w:sz w:val="24"/>
                <w:highlight w:val="none"/>
                <w:lang w:eastAsia="zh-CN"/>
              </w:rPr>
              <w:t>制定的</w:t>
            </w:r>
            <w:r>
              <w:rPr>
                <w:rFonts w:hint="eastAsia" w:ascii="宋体" w:hAnsi="宋体" w:cs="宋体"/>
                <w:color w:val="auto"/>
                <w:sz w:val="24"/>
                <w:highlight w:val="none"/>
              </w:rPr>
              <w:t>明确</w:t>
            </w:r>
            <w:r>
              <w:rPr>
                <w:rFonts w:hint="eastAsia" w:ascii="宋体" w:hAnsi="宋体" w:cs="宋体"/>
                <w:color w:val="auto"/>
                <w:sz w:val="24"/>
                <w:highlight w:val="none"/>
                <w:lang w:eastAsia="zh-CN"/>
              </w:rPr>
              <w:t>的</w:t>
            </w:r>
            <w:r>
              <w:rPr>
                <w:rFonts w:hint="eastAsia" w:ascii="宋体" w:hAnsi="宋体" w:cs="宋体"/>
                <w:color w:val="auto"/>
                <w:sz w:val="24"/>
                <w:highlight w:val="none"/>
              </w:rPr>
              <w:t>质量保证目标</w:t>
            </w:r>
            <w:r>
              <w:rPr>
                <w:rFonts w:hint="eastAsia" w:ascii="宋体" w:hAnsi="宋体" w:cs="宋体"/>
                <w:color w:val="auto"/>
                <w:sz w:val="24"/>
                <w:highlight w:val="none"/>
                <w:lang w:eastAsia="zh-CN"/>
              </w:rPr>
              <w:t>、</w:t>
            </w:r>
            <w:r>
              <w:rPr>
                <w:rFonts w:hint="eastAsia" w:ascii="宋体" w:hAnsi="宋体" w:cs="宋体"/>
                <w:color w:val="auto"/>
                <w:sz w:val="24"/>
                <w:highlight w:val="none"/>
              </w:rPr>
              <w:t>质量保证措施和体系合理先进并具有详细的实施方案等。方案合理得</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分，基本合理得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分，未提供</w:t>
            </w:r>
            <w:r>
              <w:rPr>
                <w:rFonts w:hint="eastAsia" w:ascii="宋体" w:hAnsi="宋体" w:cs="宋体"/>
                <w:color w:val="auto"/>
                <w:sz w:val="24"/>
                <w:highlight w:val="none"/>
                <w:lang w:eastAsia="zh-CN"/>
              </w:rPr>
              <w:t>或不符合要求的</w:t>
            </w:r>
            <w:r>
              <w:rPr>
                <w:rFonts w:hint="eastAsia" w:ascii="宋体" w:hAnsi="宋体" w:cs="宋体"/>
                <w:color w:val="auto"/>
                <w:sz w:val="24"/>
                <w:highlight w:val="none"/>
              </w:rPr>
              <w:t>不得分。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default" w:ascii="宋体" w:hAnsi="宋体" w:cs="宋体"/>
                <w:sz w:val="24"/>
                <w:highlight w:val="none"/>
                <w:lang w:val="en-US" w:eastAsia="zh-CN"/>
              </w:rPr>
            </w:pPr>
            <w:r>
              <w:rPr>
                <w:rFonts w:hint="eastAsia" w:ascii="宋体" w:hAnsi="宋体" w:cs="宋体"/>
                <w:sz w:val="24"/>
                <w:highlight w:val="none"/>
                <w:lang w:val="en-US" w:eastAsia="zh-CN"/>
              </w:rPr>
              <w:t>8</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left"/>
              <w:textAlignment w:val="auto"/>
              <w:outlineLvl w:val="0"/>
              <w:rPr>
                <w:rFonts w:hint="eastAsia" w:ascii="宋体" w:hAnsi="宋体" w:eastAsia="宋体"/>
                <w:b/>
                <w:bCs/>
                <w:sz w:val="24"/>
                <w:highlight w:val="none"/>
                <w:lang w:eastAsia="zh-CN"/>
              </w:rPr>
            </w:pPr>
            <w:r>
              <w:rPr>
                <w:rFonts w:hint="eastAsia" w:ascii="宋体" w:hAnsi="宋体"/>
                <w:b/>
                <w:bCs/>
                <w:sz w:val="24"/>
                <w:highlight w:val="none"/>
                <w:lang w:eastAsia="zh-CN"/>
              </w:rPr>
              <w:t>（五）质量保证措施方案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default" w:ascii="宋体" w:hAnsi="宋体" w:cs="宋体"/>
                <w:sz w:val="24"/>
                <w:highlight w:val="none"/>
                <w:lang w:val="en-US" w:eastAsia="zh-CN"/>
              </w:rPr>
            </w:pPr>
          </w:p>
        </w:tc>
        <w:tc>
          <w:tcPr>
            <w:tcW w:w="0" w:type="auto"/>
            <w:noWrap w:val="0"/>
            <w:vAlign w:val="center"/>
          </w:tcPr>
          <w:p>
            <w:pPr>
              <w:keepNext w:val="0"/>
              <w:keepLines w:val="0"/>
              <w:pageBreakBefore w:val="0"/>
              <w:widowControl w:val="0"/>
              <w:tabs>
                <w:tab w:val="left" w:pos="3990"/>
              </w:tabs>
              <w:kinsoku/>
              <w:wordWrap/>
              <w:overflowPunct/>
              <w:topLinePunct w:val="0"/>
              <w:autoSpaceDE/>
              <w:autoSpaceDN/>
              <w:bidi w:val="0"/>
              <w:snapToGrid/>
              <w:spacing w:line="360" w:lineRule="auto"/>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项目人员情况：具有至少1个人员高级数据治理技术专家认证证书（2分）、1个高级数据仓开发专家认证证书（2分）。提供</w:t>
            </w:r>
            <w:r>
              <w:rPr>
                <w:rFonts w:hint="eastAsia" w:ascii="宋体" w:hAnsi="宋体" w:cs="宋体"/>
                <w:color w:val="auto"/>
                <w:sz w:val="24"/>
                <w:highlight w:val="none"/>
              </w:rPr>
              <w:t>相关证书复印件</w:t>
            </w:r>
            <w:r>
              <w:rPr>
                <w:rFonts w:hint="eastAsia" w:ascii="宋体" w:hAnsi="宋体" w:cs="宋体"/>
                <w:color w:val="auto"/>
                <w:sz w:val="24"/>
                <w:highlight w:val="none"/>
                <w:lang w:eastAsia="zh-CN"/>
              </w:rPr>
              <w:t>作为证明材料，提供符合要求的证书，每个得</w:t>
            </w:r>
            <w:r>
              <w:rPr>
                <w:rFonts w:hint="eastAsia" w:ascii="宋体" w:hAnsi="宋体" w:cs="宋体"/>
                <w:color w:val="auto"/>
                <w:sz w:val="24"/>
                <w:highlight w:val="none"/>
                <w:lang w:val="en-US" w:eastAsia="zh-CN"/>
              </w:rPr>
              <w:t>2分，不提供或不符合要求的不得分。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4</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left"/>
              <w:textAlignment w:val="auto"/>
              <w:outlineLvl w:val="0"/>
              <w:rPr>
                <w:rFonts w:hint="eastAsia" w:ascii="宋体" w:hAnsi="宋体" w:eastAsia="宋体"/>
                <w:b/>
                <w:bCs/>
                <w:sz w:val="24"/>
                <w:highlight w:val="none"/>
                <w:lang w:eastAsia="zh-CN"/>
              </w:rPr>
            </w:pPr>
            <w:r>
              <w:rPr>
                <w:rFonts w:hint="eastAsia" w:ascii="宋体" w:hAnsi="宋体"/>
                <w:b/>
                <w:bCs/>
                <w:sz w:val="24"/>
                <w:highlight w:val="none"/>
                <w:lang w:eastAsia="zh-CN"/>
              </w:rPr>
              <w:t>（六）项目人员情况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eastAsia" w:ascii="宋体" w:hAnsi="宋体" w:eastAsia="宋体" w:cs="宋体"/>
                <w:sz w:val="24"/>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根据投标人提供的售后服务方案</w:t>
            </w:r>
            <w:r>
              <w:rPr>
                <w:rFonts w:hint="eastAsia" w:ascii="宋体" w:hAnsi="宋体" w:cs="宋体"/>
                <w:color w:val="auto"/>
                <w:sz w:val="24"/>
                <w:highlight w:val="none"/>
                <w:lang w:val="en-US" w:eastAsia="zh-CN"/>
              </w:rPr>
              <w:t>及承诺</w:t>
            </w:r>
            <w:r>
              <w:rPr>
                <w:rFonts w:hint="eastAsia" w:ascii="宋体" w:hAnsi="宋体" w:eastAsia="宋体" w:cs="宋体"/>
                <w:color w:val="auto"/>
                <w:sz w:val="24"/>
                <w:highlight w:val="none"/>
                <w:lang w:val="en-US" w:eastAsia="zh-CN"/>
              </w:rPr>
              <w:t>进行评价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包括</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sz w:val="24"/>
                <w:szCs w:val="24"/>
                <w:highlight w:val="none"/>
                <w:lang w:eastAsia="zh-CN"/>
              </w:rPr>
            </w:pPr>
            <w:r>
              <w:rPr>
                <w:rFonts w:hint="eastAsia" w:ascii="宋体" w:hAnsi="宋体" w:cs="宋体"/>
                <w:color w:val="auto"/>
                <w:sz w:val="24"/>
                <w:highlight w:val="none"/>
              </w:rPr>
              <w:t>①</w:t>
            </w:r>
            <w:r>
              <w:rPr>
                <w:rFonts w:hint="eastAsia" w:ascii="宋体" w:hAnsi="宋体" w:cs="宋体"/>
                <w:sz w:val="24"/>
                <w:szCs w:val="24"/>
                <w:highlight w:val="none"/>
                <w:lang w:eastAsia="zh-CN"/>
              </w:rPr>
              <w:t>承诺</w:t>
            </w:r>
            <w:r>
              <w:rPr>
                <w:rFonts w:hint="eastAsia" w:ascii="宋体" w:hAnsi="宋体" w:eastAsia="宋体" w:cs="宋体"/>
                <w:sz w:val="24"/>
                <w:szCs w:val="24"/>
                <w:highlight w:val="none"/>
              </w:rPr>
              <w:t>本项目自验收通过之日起</w:t>
            </w:r>
            <w:r>
              <w:rPr>
                <w:rFonts w:hint="eastAsia" w:ascii="宋体" w:hAnsi="宋体" w:cs="宋体"/>
                <w:sz w:val="24"/>
                <w:szCs w:val="24"/>
                <w:highlight w:val="none"/>
                <w:lang w:eastAsia="zh-CN"/>
              </w:rPr>
              <w:t>，提供</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年维保服务</w:t>
            </w:r>
            <w:r>
              <w:rPr>
                <w:rFonts w:hint="eastAsia" w:ascii="宋体" w:hAnsi="宋体" w:cs="宋体"/>
                <w:sz w:val="24"/>
                <w:szCs w:val="24"/>
                <w:highlight w:val="none"/>
                <w:lang w:eastAsia="zh-CN"/>
              </w:rPr>
              <w:t>（满足要求的得</w:t>
            </w:r>
            <w:r>
              <w:rPr>
                <w:rFonts w:hint="eastAsia" w:ascii="宋体" w:hAnsi="宋体" w:cs="宋体"/>
                <w:sz w:val="24"/>
                <w:szCs w:val="24"/>
                <w:highlight w:val="none"/>
                <w:lang w:val="en-US" w:eastAsia="zh-CN"/>
              </w:rPr>
              <w:t>2.5分，不满足或不提供的不得分</w:t>
            </w:r>
            <w:r>
              <w:rPr>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Times New Roman"/>
                <w:kern w:val="2"/>
                <w:sz w:val="24"/>
                <w:szCs w:val="24"/>
                <w:highlight w:val="none"/>
                <w:lang w:val="en-US" w:eastAsia="zh-CN" w:bidi="ar-SA"/>
              </w:rPr>
            </w:pPr>
            <w:r>
              <w:rPr>
                <w:rFonts w:hint="eastAsia" w:ascii="宋体" w:hAnsi="宋体" w:cs="宋体"/>
                <w:color w:val="auto"/>
                <w:sz w:val="24"/>
                <w:highlight w:val="none"/>
              </w:rPr>
              <w:t>②</w:t>
            </w:r>
            <w:r>
              <w:rPr>
                <w:rFonts w:hint="eastAsia" w:ascii="宋体" w:hAnsi="宋体" w:cs="宋体"/>
                <w:color w:val="auto"/>
                <w:sz w:val="24"/>
                <w:highlight w:val="none"/>
                <w:lang w:eastAsia="zh-CN"/>
              </w:rPr>
              <w:t>承诺</w:t>
            </w:r>
            <w:r>
              <w:rPr>
                <w:rFonts w:hint="eastAsia" w:ascii="宋体" w:hAnsi="宋体" w:eastAsia="宋体" w:cs="宋体"/>
                <w:sz w:val="24"/>
                <w:szCs w:val="24"/>
                <w:highlight w:val="none"/>
              </w:rPr>
              <w:t>服务期内</w:t>
            </w:r>
            <w:r>
              <w:rPr>
                <w:rFonts w:hint="eastAsia" w:ascii="宋体" w:hAnsi="宋体" w:cs="宋体"/>
                <w:sz w:val="24"/>
                <w:szCs w:val="24"/>
                <w:highlight w:val="none"/>
                <w:lang w:eastAsia="zh-CN"/>
              </w:rPr>
              <w:t>所有的系统维护服务，</w:t>
            </w:r>
            <w:r>
              <w:rPr>
                <w:rFonts w:hint="eastAsia" w:ascii="宋体" w:hAnsi="宋体" w:eastAsia="宋体" w:cs="宋体"/>
                <w:sz w:val="24"/>
                <w:szCs w:val="24"/>
                <w:highlight w:val="none"/>
              </w:rPr>
              <w:t>提供</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rPr>
              <w:t>小时</w:t>
            </w:r>
            <w:r>
              <w:rPr>
                <w:rFonts w:hint="eastAsia" w:ascii="宋体" w:hAnsi="宋体" w:cs="宋体"/>
                <w:sz w:val="24"/>
                <w:szCs w:val="24"/>
                <w:highlight w:val="none"/>
                <w:lang w:eastAsia="zh-CN"/>
              </w:rPr>
              <w:t>服务（满足要求的得</w:t>
            </w:r>
            <w:r>
              <w:rPr>
                <w:rFonts w:hint="eastAsia" w:ascii="宋体" w:hAnsi="宋体" w:cs="宋体"/>
                <w:sz w:val="24"/>
                <w:szCs w:val="24"/>
                <w:highlight w:val="none"/>
                <w:lang w:val="en-US" w:eastAsia="zh-CN"/>
              </w:rPr>
              <w:t>2.5分，不满足或不提供的不得分</w:t>
            </w:r>
            <w:r>
              <w:rPr>
                <w:rFonts w:hint="eastAsia" w:ascii="宋体" w:hAnsi="宋体" w:cs="宋体"/>
                <w:sz w:val="24"/>
                <w:szCs w:val="24"/>
                <w:highlight w:val="none"/>
                <w:lang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5</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ascii="宋体" w:hAnsi="宋体" w:cs="宋体"/>
                <w:b/>
                <w:bCs/>
                <w:sz w:val="24"/>
                <w:highlight w:val="none"/>
              </w:rPr>
            </w:pPr>
            <w:r>
              <w:rPr>
                <w:rFonts w:hint="eastAsia" w:ascii="宋体" w:hAnsi="宋体" w:cs="宋体"/>
                <w:b/>
                <w:bCs/>
                <w:sz w:val="24"/>
                <w:highlight w:val="none"/>
              </w:rPr>
              <w:t>（</w:t>
            </w:r>
            <w:r>
              <w:rPr>
                <w:rFonts w:hint="eastAsia" w:ascii="宋体" w:hAnsi="宋体" w:cs="宋体"/>
                <w:b/>
                <w:bCs/>
                <w:sz w:val="24"/>
                <w:highlight w:val="none"/>
                <w:lang w:eastAsia="zh-CN"/>
              </w:rPr>
              <w:t>七</w:t>
            </w:r>
            <w:r>
              <w:rPr>
                <w:rFonts w:hint="eastAsia" w:ascii="宋体" w:hAnsi="宋体" w:cs="宋体"/>
                <w:b/>
                <w:bCs/>
                <w:sz w:val="24"/>
                <w:highlight w:val="none"/>
              </w:rPr>
              <w:t>）售后服务方案及承诺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eastAsia" w:ascii="宋体" w:hAnsi="宋体" w:eastAsia="宋体" w:cs="宋体"/>
                <w:sz w:val="24"/>
                <w:highlight w:val="none"/>
                <w:lang w:val="en-US" w:eastAsia="zh-CN"/>
              </w:rPr>
            </w:pP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培训</w:t>
            </w:r>
            <w:r>
              <w:rPr>
                <w:rFonts w:hint="eastAsia" w:ascii="宋体" w:hAnsi="宋体" w:eastAsia="宋体" w:cs="宋体"/>
                <w:sz w:val="24"/>
                <w:szCs w:val="24"/>
                <w:highlight w:val="none"/>
              </w:rPr>
              <w:t>方案，提出合理</w:t>
            </w:r>
            <w:r>
              <w:rPr>
                <w:rFonts w:hint="eastAsia" w:ascii="宋体" w:hAnsi="宋体" w:cs="宋体"/>
                <w:sz w:val="24"/>
                <w:szCs w:val="24"/>
                <w:highlight w:val="none"/>
                <w:lang w:eastAsia="zh-CN"/>
              </w:rPr>
              <w:t>可行</w:t>
            </w:r>
            <w:r>
              <w:rPr>
                <w:rFonts w:hint="eastAsia" w:ascii="宋体" w:hAnsi="宋体" w:eastAsia="宋体" w:cs="宋体"/>
                <w:sz w:val="24"/>
                <w:szCs w:val="24"/>
                <w:highlight w:val="none"/>
              </w:rPr>
              <w:t>的项目</w:t>
            </w:r>
            <w:r>
              <w:rPr>
                <w:rFonts w:hint="eastAsia" w:ascii="宋体" w:hAnsi="宋体" w:eastAsia="宋体" w:cs="宋体"/>
                <w:sz w:val="24"/>
                <w:szCs w:val="24"/>
                <w:highlight w:val="none"/>
                <w:lang w:eastAsia="zh-CN"/>
              </w:rPr>
              <w:t>培训</w:t>
            </w:r>
            <w:r>
              <w:rPr>
                <w:rFonts w:hint="eastAsia" w:ascii="宋体" w:hAnsi="宋体" w:eastAsia="宋体" w:cs="宋体"/>
                <w:sz w:val="24"/>
                <w:szCs w:val="24"/>
                <w:highlight w:val="none"/>
              </w:rPr>
              <w:t>方案。根据投标人提供的方案能否满足采购需求判定评分，内容完整、措施有效、符合采购人实际。完全满足得</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分，部分满足得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分,不满足不得分。</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b/>
                <w:bCs/>
                <w:sz w:val="24"/>
                <w:highlight w:val="none"/>
                <w:lang w:eastAsia="zh-CN"/>
              </w:rPr>
            </w:pPr>
            <w:r>
              <w:rPr>
                <w:rFonts w:hint="eastAsia" w:ascii="宋体" w:hAnsi="宋体" w:cs="宋体"/>
                <w:b/>
                <w:bCs/>
                <w:sz w:val="24"/>
                <w:highlight w:val="none"/>
                <w:lang w:eastAsia="zh-CN"/>
              </w:rPr>
              <w:t>（八）培训方案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default" w:ascii="宋体" w:hAnsi="宋体" w:cs="宋体"/>
                <w:sz w:val="24"/>
                <w:highlight w:val="none"/>
                <w:lang w:val="en-US" w:eastAsia="zh-CN"/>
              </w:rPr>
            </w:pPr>
          </w:p>
        </w:tc>
        <w:tc>
          <w:tcPr>
            <w:tcW w:w="0" w:type="auto"/>
            <w:noWrap w:val="0"/>
            <w:vAlign w:val="center"/>
          </w:tcPr>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val="0"/>
                <w:bCs w:val="0"/>
                <w:color w:val="auto"/>
                <w:sz w:val="24"/>
                <w:szCs w:val="24"/>
                <w:lang w:eastAsia="zh-CN"/>
              </w:rPr>
              <w:t>项目</w:t>
            </w:r>
            <w:r>
              <w:rPr>
                <w:rFonts w:hint="eastAsia" w:ascii="宋体" w:hAnsi="宋体" w:eastAsia="宋体" w:cs="宋体"/>
                <w:b w:val="0"/>
                <w:bCs w:val="0"/>
                <w:color w:val="auto"/>
                <w:sz w:val="24"/>
                <w:szCs w:val="24"/>
              </w:rPr>
              <w:t>验收方案，提供验收需要采购人配合的内容，验收的方案及应急措施等内容。方案考虑充分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措施有效</w:t>
            </w:r>
            <w:r>
              <w:rPr>
                <w:rFonts w:hint="eastAsia" w:ascii="宋体" w:hAnsi="宋体" w:eastAsia="宋体" w:cs="宋体"/>
                <w:b w:val="0"/>
                <w:bCs w:val="0"/>
                <w:color w:val="auto"/>
                <w:sz w:val="24"/>
                <w:szCs w:val="24"/>
                <w:lang w:eastAsia="zh-CN"/>
              </w:rPr>
              <w:t>的</w:t>
            </w:r>
            <w:r>
              <w:rPr>
                <w:rFonts w:hint="eastAsia" w:ascii="宋体" w:hAnsi="宋体" w:eastAsia="宋体" w:cs="宋体"/>
                <w:b w:val="0"/>
                <w:bCs w:val="0"/>
                <w:color w:val="auto"/>
                <w:sz w:val="24"/>
                <w:szCs w:val="24"/>
              </w:rPr>
              <w:t>得</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分，方案</w:t>
            </w:r>
            <w:r>
              <w:rPr>
                <w:rFonts w:hint="eastAsia" w:ascii="宋体" w:hAnsi="宋体" w:eastAsia="宋体" w:cs="宋体"/>
                <w:b w:val="0"/>
                <w:bCs w:val="0"/>
                <w:color w:val="auto"/>
                <w:sz w:val="24"/>
                <w:szCs w:val="24"/>
                <w:lang w:eastAsia="zh-CN"/>
              </w:rPr>
              <w:t>考虑欠缺或措施不够完善的</w:t>
            </w:r>
            <w:r>
              <w:rPr>
                <w:rFonts w:hint="eastAsia" w:ascii="宋体" w:hAnsi="宋体" w:eastAsia="宋体" w:cs="宋体"/>
                <w:b w:val="0"/>
                <w:bCs w:val="0"/>
                <w:color w:val="auto"/>
                <w:sz w:val="24"/>
                <w:szCs w:val="24"/>
              </w:rPr>
              <w:t>得2分，无方案</w:t>
            </w:r>
            <w:r>
              <w:rPr>
                <w:rFonts w:hint="eastAsia" w:ascii="宋体" w:hAnsi="宋体" w:eastAsia="宋体" w:cs="宋体"/>
                <w:b w:val="0"/>
                <w:bCs w:val="0"/>
                <w:color w:val="auto"/>
                <w:sz w:val="24"/>
                <w:szCs w:val="24"/>
                <w:lang w:eastAsia="zh-CN"/>
              </w:rPr>
              <w:t>或不符合的</w:t>
            </w:r>
            <w:r>
              <w:rPr>
                <w:rFonts w:hint="eastAsia" w:ascii="宋体" w:hAnsi="宋体" w:eastAsia="宋体" w:cs="宋体"/>
                <w:b w:val="0"/>
                <w:bCs w:val="0"/>
                <w:color w:val="auto"/>
                <w:sz w:val="24"/>
                <w:szCs w:val="24"/>
              </w:rPr>
              <w:t>得0分</w:t>
            </w:r>
            <w:r>
              <w:rPr>
                <w:rFonts w:hint="eastAsia" w:ascii="宋体" w:hAnsi="宋体" w:eastAsia="宋体" w:cs="宋体"/>
                <w:b w:val="0"/>
                <w:bCs w:val="0"/>
                <w:color w:val="auto"/>
                <w:sz w:val="24"/>
                <w:szCs w:val="24"/>
                <w:lang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cs="宋体"/>
                <w:b/>
                <w:bCs/>
                <w:sz w:val="24"/>
                <w:highlight w:val="none"/>
                <w:lang w:eastAsia="zh-CN"/>
              </w:rPr>
            </w:pPr>
            <w:r>
              <w:rPr>
                <w:rFonts w:hint="eastAsia" w:ascii="宋体" w:hAnsi="宋体" w:cs="宋体"/>
                <w:b/>
                <w:bCs/>
                <w:sz w:val="24"/>
                <w:highlight w:val="none"/>
                <w:lang w:eastAsia="zh-CN"/>
              </w:rPr>
              <w:t>（九）验收方案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default" w:ascii="宋体" w:hAnsi="宋体" w:cs="宋体"/>
                <w:sz w:val="24"/>
                <w:highlight w:val="none"/>
                <w:lang w:val="en-US" w:eastAsia="zh-CN"/>
              </w:rPr>
            </w:pPr>
          </w:p>
        </w:tc>
        <w:tc>
          <w:tcPr>
            <w:tcW w:w="0" w:type="auto"/>
            <w:noWrap w:val="0"/>
            <w:vAlign w:val="center"/>
          </w:tcPr>
          <w:p>
            <w:pPr>
              <w:adjustRightInd/>
              <w:spacing w:line="360" w:lineRule="auto"/>
              <w:outlineLvl w:val="0"/>
              <w:rPr>
                <w:rFonts w:hint="eastAsia" w:cs="仿宋_GB2312" w:asciiTheme="minorEastAsia" w:hAnsiTheme="minorEastAsia" w:eastAsiaTheme="minorEastAsia"/>
                <w:kern w:val="2"/>
                <w:sz w:val="24"/>
                <w:szCs w:val="24"/>
                <w:highlight w:val="none"/>
                <w:lang w:val="en-US" w:eastAsia="zh-CN" w:bidi="ar-SA"/>
              </w:rPr>
            </w:pPr>
            <w:r>
              <w:rPr>
                <w:rFonts w:hint="eastAsia" w:ascii="宋体" w:hAnsi="宋体" w:cs="宋体"/>
                <w:kern w:val="0"/>
                <w:sz w:val="24"/>
                <w:szCs w:val="22"/>
                <w:highlight w:val="none"/>
              </w:rPr>
              <w:t>业绩案例：</w:t>
            </w:r>
            <w:r>
              <w:rPr>
                <w:rFonts w:hint="eastAsia" w:ascii="宋体" w:hAnsi="宋体" w:cs="宋体"/>
                <w:sz w:val="24"/>
                <w:szCs w:val="22"/>
                <w:highlight w:val="none"/>
              </w:rPr>
              <w:t>截止投标时间近三年，投标人承担类似项目实施的成功经验情况。结合已完成的项目案例和用户反映情况，依照投标人提供的</w:t>
            </w:r>
            <w:r>
              <w:rPr>
                <w:rFonts w:hint="eastAsia" w:ascii="宋体" w:hAnsi="宋体" w:cs="宋体"/>
                <w:b/>
                <w:bCs/>
                <w:sz w:val="24"/>
                <w:szCs w:val="22"/>
                <w:highlight w:val="none"/>
              </w:rPr>
              <w:t>合同</w:t>
            </w:r>
            <w:r>
              <w:rPr>
                <w:rFonts w:hint="eastAsia" w:ascii="宋体" w:hAnsi="宋体" w:cs="宋体"/>
                <w:b/>
                <w:bCs/>
                <w:sz w:val="24"/>
                <w:szCs w:val="22"/>
                <w:highlight w:val="none"/>
                <w:lang w:eastAsia="zh-CN"/>
              </w:rPr>
              <w:t>复印件</w:t>
            </w:r>
            <w:r>
              <w:rPr>
                <w:rFonts w:hint="eastAsia" w:ascii="宋体" w:hAnsi="宋体" w:cs="宋体"/>
                <w:b/>
                <w:bCs/>
                <w:sz w:val="24"/>
                <w:szCs w:val="22"/>
                <w:highlight w:val="none"/>
              </w:rPr>
              <w:t>和用户验收报告</w:t>
            </w:r>
            <w:r>
              <w:rPr>
                <w:rFonts w:hint="eastAsia" w:ascii="宋体" w:hAnsi="宋体" w:cs="宋体"/>
                <w:sz w:val="24"/>
                <w:szCs w:val="22"/>
                <w:highlight w:val="none"/>
              </w:rPr>
              <w:t>。每个案例（以用户验收报告时间为准）得</w:t>
            </w:r>
            <w:r>
              <w:rPr>
                <w:rFonts w:hint="eastAsia" w:ascii="宋体" w:hAnsi="宋体" w:cs="宋体"/>
                <w:sz w:val="24"/>
                <w:szCs w:val="22"/>
                <w:highlight w:val="none"/>
                <w:lang w:val="en-US" w:eastAsia="zh-CN"/>
              </w:rPr>
              <w:t>0.5</w:t>
            </w:r>
            <w:r>
              <w:rPr>
                <w:rFonts w:hint="eastAsia" w:ascii="宋体" w:hAnsi="宋体" w:cs="宋体"/>
                <w:sz w:val="24"/>
                <w:szCs w:val="22"/>
                <w:highlight w:val="none"/>
              </w:rPr>
              <w:t>分,最高得</w:t>
            </w:r>
            <w:r>
              <w:rPr>
                <w:rFonts w:hint="eastAsia" w:ascii="宋体" w:hAnsi="宋体" w:cs="宋体"/>
                <w:sz w:val="24"/>
                <w:szCs w:val="22"/>
                <w:highlight w:val="none"/>
                <w:lang w:val="en-US" w:eastAsia="zh-CN"/>
              </w:rPr>
              <w:t>1</w:t>
            </w:r>
            <w:r>
              <w:rPr>
                <w:rFonts w:hint="eastAsia" w:ascii="宋体" w:hAnsi="宋体" w:cs="宋体"/>
                <w:sz w:val="24"/>
                <w:szCs w:val="22"/>
                <w:highlight w:val="none"/>
              </w:rPr>
              <w:t>分。</w:t>
            </w:r>
            <w:r>
              <w:rPr>
                <w:rFonts w:hint="eastAsia" w:ascii="宋体" w:hAnsi="宋体" w:cs="宋体"/>
                <w:b/>
                <w:bCs/>
                <w:sz w:val="24"/>
                <w:szCs w:val="22"/>
                <w:highlight w:val="none"/>
              </w:rPr>
              <w:t>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宋体" w:hAnsi="宋体" w:cs="宋体"/>
                <w:b/>
                <w:bCs/>
                <w:sz w:val="24"/>
                <w:highlight w:val="none"/>
                <w:lang w:eastAsia="zh-CN"/>
              </w:rPr>
            </w:pPr>
            <w:r>
              <w:rPr>
                <w:rFonts w:hint="eastAsia" w:ascii="宋体" w:hAnsi="宋体" w:cs="宋体"/>
                <w:b/>
                <w:bCs/>
                <w:sz w:val="24"/>
                <w:highlight w:val="none"/>
                <w:lang w:eastAsia="zh-CN"/>
              </w:rPr>
              <w:t>（十）</w:t>
            </w:r>
            <w:r>
              <w:rPr>
                <w:rFonts w:hint="eastAsia" w:cs="仿宋_GB2312" w:asciiTheme="minorEastAsia" w:hAnsiTheme="minorEastAsia" w:eastAsiaTheme="minorEastAsia"/>
                <w:b/>
                <w:bCs/>
                <w:sz w:val="24"/>
                <w:highlight w:val="none"/>
              </w:rPr>
              <w:t>类似项目建设的案例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noWrap w:val="0"/>
            <w:vAlign w:val="center"/>
          </w:tcPr>
          <w:p>
            <w:pPr>
              <w:keepNext w:val="0"/>
              <w:keepLines w:val="0"/>
              <w:pageBreakBefore w:val="0"/>
              <w:widowControl w:val="0"/>
              <w:numPr>
                <w:ilvl w:val="0"/>
                <w:numId w:val="2"/>
              </w:numPr>
              <w:kinsoku/>
              <w:wordWrap/>
              <w:overflowPunct/>
              <w:topLinePunct w:val="0"/>
              <w:autoSpaceDE/>
              <w:autoSpaceDN/>
              <w:bidi w:val="0"/>
              <w:snapToGrid/>
              <w:spacing w:line="360" w:lineRule="auto"/>
              <w:ind w:left="425" w:leftChars="0" w:hanging="425" w:firstLineChars="0"/>
              <w:jc w:val="both"/>
              <w:textAlignment w:val="auto"/>
              <w:outlineLvl w:val="0"/>
              <w:rPr>
                <w:rFonts w:hint="default" w:ascii="宋体" w:hAnsi="宋体" w:eastAsia="宋体" w:cs="宋体"/>
                <w:sz w:val="24"/>
                <w:highlight w:val="none"/>
                <w:lang w:val="en-US" w:eastAsia="zh-CN"/>
              </w:rPr>
            </w:pPr>
          </w:p>
        </w:tc>
        <w:tc>
          <w:tcPr>
            <w:tcW w:w="0" w:type="auto"/>
            <w:noWrap w:val="0"/>
            <w:vAlign w:val="top"/>
          </w:tcPr>
          <w:p>
            <w:pPr>
              <w:keepNext w:val="0"/>
              <w:keepLines w:val="0"/>
              <w:pageBreakBefore w:val="0"/>
              <w:widowControl w:val="0"/>
              <w:kinsoku/>
              <w:wordWrap/>
              <w:overflowPunct/>
              <w:topLinePunct w:val="0"/>
              <w:autoSpaceDE/>
              <w:autoSpaceDN/>
              <w:bidi w:val="0"/>
              <w:snapToGrid/>
              <w:spacing w:line="360" w:lineRule="auto"/>
              <w:textAlignment w:val="auto"/>
              <w:outlineLvl w:val="0"/>
              <w:rPr>
                <w:rFonts w:ascii="宋体" w:hAnsi="宋体" w:cs="宋体"/>
                <w:sz w:val="24"/>
                <w:highlight w:val="none"/>
              </w:rPr>
            </w:pPr>
            <w:r>
              <w:rPr>
                <w:rFonts w:hint="eastAsia" w:ascii="宋体" w:hAnsi="宋体" w:cs="宋体"/>
                <w:sz w:val="24"/>
                <w:highlight w:val="none"/>
              </w:rPr>
              <w:t>有效投标报价的最低价作为评标基准价，其最低报价为满分；按［投标报价得分=（评标基准价/投标报价）*</w:t>
            </w:r>
            <w:r>
              <w:rPr>
                <w:rFonts w:hint="eastAsia" w:ascii="宋体" w:hAnsi="宋体" w:cs="宋体"/>
                <w:sz w:val="24"/>
                <w:highlight w:val="none"/>
                <w:lang w:val="en-US" w:eastAsia="zh-CN"/>
              </w:rPr>
              <w:t>10</w:t>
            </w:r>
            <w:r>
              <w:rPr>
                <w:rFonts w:hint="eastAsia" w:ascii="宋体" w:hAnsi="宋体" w:cs="宋体"/>
                <w:sz w:val="24"/>
                <w:highlight w:val="none"/>
              </w:rPr>
              <w:t>］的计算公式计算。</w:t>
            </w:r>
          </w:p>
          <w:p>
            <w:pPr>
              <w:keepNext w:val="0"/>
              <w:keepLines w:val="0"/>
              <w:pageBreakBefore w:val="0"/>
              <w:widowControl w:val="0"/>
              <w:shd w:val="clear" w:color="auto" w:fill="FFFFFF"/>
              <w:kinsoku/>
              <w:wordWrap/>
              <w:overflowPunct/>
              <w:topLinePunct w:val="0"/>
              <w:autoSpaceDE/>
              <w:autoSpaceDN/>
              <w:bidi w:val="0"/>
              <w:adjustRightInd/>
              <w:snapToGrid/>
              <w:spacing w:after="225" w:line="315" w:lineRule="atLeast"/>
              <w:ind w:firstLine="420"/>
              <w:jc w:val="left"/>
              <w:textAlignment w:val="auto"/>
              <w:rPr>
                <w:rFonts w:ascii="宋体" w:hAnsi="宋体" w:cs="宋体"/>
                <w:sz w:val="24"/>
                <w:highlight w:val="none"/>
              </w:rPr>
            </w:pPr>
            <w:r>
              <w:rPr>
                <w:rFonts w:hint="eastAsia" w:ascii="宋体" w:hAnsi="宋体" w:cs="宋体"/>
                <w:sz w:val="24"/>
                <w:highlight w:val="none"/>
              </w:rPr>
              <w:t>评标过程中，不得去掉报价中的最高报价和最低报价。</w:t>
            </w:r>
          </w:p>
          <w:p>
            <w:pPr>
              <w:keepNext w:val="0"/>
              <w:keepLines w:val="0"/>
              <w:pageBreakBefore w:val="0"/>
              <w:widowControl w:val="0"/>
              <w:shd w:val="clear" w:color="auto" w:fill="FFFFFF"/>
              <w:kinsoku/>
              <w:wordWrap/>
              <w:overflowPunct/>
              <w:topLinePunct w:val="0"/>
              <w:autoSpaceDE/>
              <w:autoSpaceDN/>
              <w:bidi w:val="0"/>
              <w:adjustRightInd/>
              <w:snapToGrid/>
              <w:spacing w:after="225" w:line="315" w:lineRule="atLeast"/>
              <w:ind w:firstLine="420"/>
              <w:jc w:val="left"/>
              <w:textAlignment w:val="auto"/>
              <w:rPr>
                <w:rFonts w:ascii="宋体" w:hAnsi="宋体" w:cs="宋体"/>
                <w:sz w:val="24"/>
                <w:highlight w:val="none"/>
              </w:rPr>
            </w:pPr>
            <w:r>
              <w:rPr>
                <w:rFonts w:hint="eastAsia" w:ascii="宋体" w:hAnsi="宋体" w:cs="宋体"/>
                <w:sz w:val="24"/>
                <w:highlight w:val="none"/>
              </w:rPr>
              <w:t>因落实政府采购政策需要进行价格调整的，以调整后的价格计算评标基准价和投标报价。</w:t>
            </w:r>
          </w:p>
          <w:p>
            <w:pPr>
              <w:keepNext w:val="0"/>
              <w:keepLines w:val="0"/>
              <w:pageBreakBefore w:val="0"/>
              <w:widowControl w:val="0"/>
              <w:shd w:val="clear" w:color="auto" w:fill="FFFFFF"/>
              <w:kinsoku/>
              <w:wordWrap/>
              <w:overflowPunct/>
              <w:topLinePunct w:val="0"/>
              <w:autoSpaceDE/>
              <w:autoSpaceDN/>
              <w:bidi w:val="0"/>
              <w:adjustRightInd/>
              <w:snapToGrid/>
              <w:spacing w:after="225" w:line="315" w:lineRule="atLeast"/>
              <w:ind w:firstLine="420"/>
              <w:jc w:val="left"/>
              <w:textAlignment w:val="auto"/>
              <w:rPr>
                <w:rFonts w:ascii="宋体" w:hAnsi="宋体" w:cs="宋体"/>
                <w:sz w:val="24"/>
                <w:highlight w:val="none"/>
              </w:rPr>
            </w:pPr>
            <w:r>
              <w:rPr>
                <w:rFonts w:hint="eastAsia" w:ascii="宋体" w:hAnsi="宋体" w:cs="仿宋_GB2312"/>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ascii="宋体" w:hAnsi="宋体" w:cs="宋体"/>
                <w:sz w:val="24"/>
                <w:highlight w:val="none"/>
              </w:rPr>
            </w:pPr>
            <w:r>
              <w:rPr>
                <w:rFonts w:hint="eastAsia" w:ascii="宋体" w:hAnsi="宋体" w:cs="宋体"/>
                <w:sz w:val="24"/>
                <w:highlight w:val="none"/>
              </w:rPr>
              <w:t>/</w:t>
            </w:r>
          </w:p>
        </w:tc>
      </w:tr>
    </w:tbl>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0"/>
          <w:szCs w:val="20"/>
          <w:highlight w:val="none"/>
          <w:shd w:val="clear" w:color="auto" w:fill="FFFFFF"/>
        </w:rPr>
        <w:t>*</w:t>
      </w:r>
      <w:r>
        <w:rPr>
          <w:rFonts w:hint="eastAsia" w:cs="宋体" w:asciiTheme="minorEastAsia" w:hAnsiTheme="minorEastAsia" w:eastAsiaTheme="minorEastAsia"/>
          <w:b/>
          <w:sz w:val="24"/>
          <w:highlight w:val="none"/>
        </w:rPr>
        <w:t>备注：</w:t>
      </w:r>
      <w:r>
        <w:rPr>
          <w:rFonts w:hint="eastAsia" w:cs="宋体" w:asciiTheme="minorEastAsia" w:hAnsiTheme="minorEastAsia" w:eastAsiaTheme="minorEastAsia"/>
          <w:sz w:val="24"/>
          <w:highlight w:val="none"/>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32"/>
          <w:highlight w:val="none"/>
        </w:rPr>
        <w:t>一、评标方法</w:t>
      </w:r>
    </w:p>
    <w:p>
      <w:pPr>
        <w:adjustRightInd/>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1.本项目采用综合评分法。</w:t>
      </w:r>
      <w:r>
        <w:rPr>
          <w:rFonts w:hint="eastAsia" w:cs="宋体"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 w:val="32"/>
          <w:highlight w:val="none"/>
        </w:rPr>
        <w:t>二、评标标准</w:t>
      </w:r>
    </w:p>
    <w:p>
      <w:pPr>
        <w:spacing w:line="360" w:lineRule="auto"/>
        <w:ind w:firstLine="472" w:firstLineChars="196"/>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评标标准：</w:t>
      </w:r>
      <w:r>
        <w:rPr>
          <w:rFonts w:hint="eastAsia" w:cs="宋体" w:asciiTheme="minorEastAsia" w:hAnsiTheme="minorEastAsia" w:eastAsiaTheme="minorEastAsia"/>
          <w:kern w:val="0"/>
          <w:sz w:val="24"/>
          <w:highlight w:val="none"/>
        </w:rPr>
        <w:t>见评标办法前附表。</w:t>
      </w:r>
    </w:p>
    <w:p>
      <w:pPr>
        <w:spacing w:line="360" w:lineRule="auto"/>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三、评标程序</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3.1符合性审查。</w:t>
      </w:r>
      <w:r>
        <w:rPr>
          <w:rFonts w:hint="eastAsia" w:cs="宋体" w:asciiTheme="minorEastAsia" w:hAnsiTheme="minorEastAsia" w:eastAsia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3.2 比较与评价。</w:t>
      </w:r>
      <w:r>
        <w:rPr>
          <w:rFonts w:hint="eastAsia" w:cs="宋体"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3.3汇总商务技术得分。</w:t>
      </w:r>
      <w:r>
        <w:rPr>
          <w:rFonts w:hint="eastAsia" w:cs="宋体"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3.4报价评审。</w:t>
      </w:r>
    </w:p>
    <w:p>
      <w:pPr>
        <w:pStyle w:val="131"/>
        <w:spacing w:before="0"/>
        <w:ind w:firstLine="508" w:firstLineChars="212"/>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3.4.1投标文件报价出现前后不一致的，按照下列规定修正：</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3.4.1.2大写金额和小写金额不一致的，以大写金额为准;</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3.4.1.3单价金额小数点或者百分比有明显错位的，以开标一览表的总价为准，并修改单价;</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3.4.1.4总价金额与按单价汇总金额不一致的，以单价金额计算结果为准。</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3.4.3投标报价超过招标文件中规定的预算金额或者最高限价的，投标无效。</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3.4.4评标委员会认为投标人的报价明显低于其他通过符合性审查投标人的报价，有可能影响产品</w:t>
      </w:r>
      <w:r>
        <w:rPr>
          <w:rFonts w:hint="eastAsia" w:cs="宋体" w:asciiTheme="minorEastAsia" w:hAnsiTheme="minorEastAsia" w:eastAsiaTheme="minorEastAsia"/>
          <w:kern w:val="0"/>
          <w:szCs w:val="24"/>
          <w:highlight w:val="none"/>
          <w:lang w:eastAsia="zh-CN"/>
        </w:rPr>
        <w:t>（服务）</w:t>
      </w:r>
      <w:r>
        <w:rPr>
          <w:rFonts w:hint="eastAsia" w:cs="宋体" w:asciiTheme="minorEastAsia" w:hAnsiTheme="minorEastAsia" w:eastAsiaTheme="minorEastAsia"/>
          <w:kern w:val="0"/>
          <w:szCs w:val="24"/>
          <w:highlight w:val="none"/>
        </w:rPr>
        <w:t>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highlight w:val="none"/>
        </w:rPr>
        <w:t>20%</w:t>
      </w:r>
      <w:r>
        <w:rPr>
          <w:rFonts w:hint="eastAsia" w:cs="宋体" w:asciiTheme="minorEastAsia" w:hAnsiTheme="minorEastAsia" w:eastAsiaTheme="minorEastAsia"/>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highlight w:val="none"/>
        </w:rPr>
        <w:t>6%</w:t>
      </w:r>
      <w:r>
        <w:rPr>
          <w:rFonts w:hint="eastAsia" w:cs="宋体" w:asciiTheme="minorEastAsia" w:hAnsiTheme="minorEastAsia" w:eastAsia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3.5排序与推荐。</w:t>
      </w:r>
      <w:r>
        <w:rPr>
          <w:rFonts w:hint="eastAsia" w:cs="宋体"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highlight w:val="none"/>
        </w:rPr>
      </w:pPr>
      <w:r>
        <w:rPr>
          <w:rFonts w:hint="eastAsia" w:cs="宋体"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3.6编写评标报告。</w:t>
      </w:r>
      <w:r>
        <w:rPr>
          <w:rFonts w:hint="eastAsia" w:cs="宋体" w:asciiTheme="minorEastAsia" w:hAnsiTheme="minorEastAsia" w:eastAsia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四、评标中的其他事项</w:t>
      </w:r>
    </w:p>
    <w:p>
      <w:pPr>
        <w:pStyle w:val="131"/>
        <w:spacing w:before="0"/>
        <w:ind w:firstLine="472" w:firstLineChars="196"/>
        <w:rPr>
          <w:rFonts w:cs="宋体" w:asciiTheme="minorEastAsia" w:hAnsiTheme="minorEastAsia" w:eastAsiaTheme="minorEastAsia"/>
          <w:kern w:val="0"/>
          <w:szCs w:val="24"/>
          <w:highlight w:val="none"/>
        </w:rPr>
      </w:pPr>
      <w:r>
        <w:rPr>
          <w:rFonts w:hint="eastAsia" w:cs="宋体" w:asciiTheme="minorEastAsia" w:hAnsiTheme="minorEastAsia" w:eastAsiaTheme="minorEastAsia"/>
          <w:b/>
          <w:kern w:val="0"/>
          <w:szCs w:val="24"/>
          <w:highlight w:val="none"/>
        </w:rPr>
        <w:t>4.1投标人澄清、说明或者补正。</w:t>
      </w:r>
      <w:r>
        <w:rPr>
          <w:rFonts w:hint="eastAsia" w:cs="宋体"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asciiTheme="minorEastAsia" w:hAnsiTheme="minorEastAsia" w:eastAsiaTheme="minorEastAsia"/>
          <w:szCs w:val="21"/>
          <w:highlight w:val="none"/>
        </w:rPr>
      </w:pPr>
      <w:r>
        <w:rPr>
          <w:rFonts w:hint="eastAsia" w:cs="宋体" w:asciiTheme="minorEastAsia" w:hAnsiTheme="minorEastAsia" w:eastAsiaTheme="minorEastAsia"/>
          <w:b/>
          <w:kern w:val="0"/>
          <w:highlight w:val="none"/>
        </w:rPr>
        <w:t>4.2投标无效。</w:t>
      </w:r>
      <w:r>
        <w:rPr>
          <w:rFonts w:hint="eastAsia" w:cs="宋体" w:asciiTheme="minorEastAsia" w:hAnsiTheme="minorEastAsia" w:eastAsiaTheme="minorEastAsia"/>
          <w:szCs w:val="21"/>
          <w:highlight w:val="none"/>
        </w:rPr>
        <w:t>有下列情形之一的，投标无效：</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4.2.8报价明显低于其他通过符合性审查投标人的报价，有可能影响产品</w:t>
      </w:r>
      <w:r>
        <w:rPr>
          <w:rFonts w:hint="eastAsia" w:cs="宋体" w:asciiTheme="minorEastAsia" w:hAnsiTheme="minorEastAsia" w:eastAsiaTheme="minorEastAsia"/>
          <w:kern w:val="0"/>
          <w:sz w:val="24"/>
          <w:highlight w:val="none"/>
          <w:lang w:eastAsia="zh-CN"/>
        </w:rPr>
        <w:t>（服务）</w:t>
      </w:r>
      <w:r>
        <w:rPr>
          <w:rFonts w:hint="eastAsia" w:cs="宋体" w:asciiTheme="minorEastAsia" w:hAnsiTheme="minorEastAsia" w:eastAsiaTheme="minorEastAsia"/>
          <w:kern w:val="0"/>
          <w:sz w:val="24"/>
          <w:highlight w:val="none"/>
        </w:rPr>
        <w:t>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4.2.12投标人仅提交备份投标文件，未在电子交易平台传输递交投标文件的，投标无效；</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4.2.13投标人未提供样品或提供的样品不满足采购需求实质性条件的，投标无效；</w:t>
      </w:r>
    </w:p>
    <w:p>
      <w:pPr>
        <w:pStyle w:val="2"/>
        <w:pageBreakBefore w:val="0"/>
        <w:widowControl w:val="0"/>
        <w:kinsoku/>
        <w:wordWrap/>
        <w:overflowPunct/>
        <w:topLinePunct w:val="0"/>
        <w:autoSpaceDE/>
        <w:autoSpaceDN/>
        <w:bidi w:val="0"/>
        <w:adjustRightInd w:val="0"/>
        <w:snapToGrid w:val="0"/>
        <w:ind w:left="430" w:leftChars="205" w:firstLine="0" w:firstLineChars="0"/>
        <w:textAlignment w:val="auto"/>
        <w:rPr>
          <w:rFonts w:hint="eastAsia" w:cs="宋体" w:asciiTheme="minorEastAsia" w:hAnsiTheme="minorEastAsia" w:eastAsiaTheme="minorEastAsia"/>
          <w:b w:val="0"/>
          <w:bCs w:val="0"/>
          <w:kern w:val="0"/>
          <w:sz w:val="24"/>
          <w:szCs w:val="24"/>
          <w:highlight w:val="none"/>
          <w:lang w:val="en-US"/>
        </w:rPr>
      </w:pPr>
      <w:r>
        <w:rPr>
          <w:rFonts w:hint="eastAsia" w:cs="宋体" w:asciiTheme="minorEastAsia" w:hAnsiTheme="minorEastAsia" w:eastAsiaTheme="minorEastAsia"/>
          <w:b w:val="0"/>
          <w:bCs w:val="0"/>
          <w:kern w:val="0"/>
          <w:sz w:val="24"/>
          <w:szCs w:val="24"/>
          <w:highlight w:val="none"/>
          <w:lang w:val="en-US"/>
        </w:rPr>
        <w:t>4.2.1</w:t>
      </w:r>
      <w:r>
        <w:rPr>
          <w:rFonts w:hint="default" w:cs="宋体" w:asciiTheme="minorEastAsia" w:hAnsiTheme="minorEastAsia" w:eastAsiaTheme="minorEastAsia"/>
          <w:b w:val="0"/>
          <w:bCs w:val="0"/>
          <w:kern w:val="0"/>
          <w:sz w:val="24"/>
          <w:szCs w:val="24"/>
          <w:highlight w:val="none"/>
          <w:lang w:val="en-US"/>
        </w:rPr>
        <w:t>4</w:t>
      </w:r>
      <w:r>
        <w:rPr>
          <w:rFonts w:hint="eastAsia" w:cs="宋体" w:asciiTheme="minorEastAsia" w:hAnsiTheme="minorEastAsia" w:eastAsiaTheme="minorEastAsia"/>
          <w:b w:val="0"/>
          <w:bCs w:val="0"/>
          <w:kern w:val="0"/>
          <w:sz w:val="24"/>
          <w:szCs w:val="24"/>
          <w:highlight w:val="none"/>
          <w:lang w:val="en-US"/>
        </w:rPr>
        <w:t>投标文件不满足招标文件的其它实质性要求的；</w:t>
      </w:r>
    </w:p>
    <w:p>
      <w:pPr>
        <w:pStyle w:val="2"/>
        <w:keepNext/>
        <w:keepLines/>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cs="宋体" w:asciiTheme="minorEastAsia" w:hAnsiTheme="minorEastAsia" w:eastAsiaTheme="minorEastAsia"/>
          <w:b w:val="0"/>
          <w:bCs w:val="0"/>
          <w:kern w:val="0"/>
          <w:sz w:val="24"/>
          <w:szCs w:val="24"/>
          <w:highlight w:val="none"/>
          <w:lang w:val="en-US" w:eastAsia="zh-CN" w:bidi="ar-SA"/>
        </w:rPr>
      </w:pPr>
      <w:r>
        <w:rPr>
          <w:rFonts w:hint="eastAsia" w:cs="宋体" w:asciiTheme="minorEastAsia" w:hAnsiTheme="minorEastAsia" w:eastAsiaTheme="minorEastAsia"/>
          <w:b w:val="0"/>
          <w:bCs w:val="0"/>
          <w:kern w:val="0"/>
          <w:sz w:val="24"/>
          <w:szCs w:val="24"/>
          <w:highlight w:val="none"/>
          <w:lang w:val="en-US" w:eastAsia="zh-CN" w:bidi="ar-SA"/>
        </w:rPr>
        <w:t>4.2.1</w:t>
      </w:r>
      <w:r>
        <w:rPr>
          <w:rFonts w:hint="default" w:cs="宋体" w:asciiTheme="minorEastAsia" w:hAnsiTheme="minorEastAsia" w:eastAsiaTheme="minorEastAsia"/>
          <w:b w:val="0"/>
          <w:bCs w:val="0"/>
          <w:kern w:val="0"/>
          <w:sz w:val="24"/>
          <w:szCs w:val="24"/>
          <w:highlight w:val="none"/>
          <w:lang w:val="en-US" w:eastAsia="zh-CN" w:bidi="ar-SA"/>
        </w:rPr>
        <w:t>5</w:t>
      </w:r>
      <w:r>
        <w:rPr>
          <w:rFonts w:hint="eastAsia" w:cs="宋体" w:asciiTheme="minorEastAsia" w:hAnsiTheme="minorEastAsia" w:eastAsiaTheme="minorEastAsia"/>
          <w:b w:val="0"/>
          <w:bCs w:val="0"/>
          <w:kern w:val="0"/>
          <w:sz w:val="24"/>
          <w:szCs w:val="24"/>
          <w:highlight w:val="none"/>
          <w:lang w:val="en-US" w:eastAsia="zh-CN" w:bidi="ar-SA"/>
        </w:rPr>
        <w:t>法律、法规、规章（适用本市的）及省级以上规范性文件（适用本市的）规定的其他无效情形。</w:t>
      </w:r>
    </w:p>
    <w:p>
      <w:pPr>
        <w:pStyle w:val="26"/>
        <w:snapToGrid w:val="0"/>
        <w:spacing w:line="360" w:lineRule="auto"/>
        <w:ind w:firstLine="472" w:firstLineChars="196"/>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5.废标。</w:t>
      </w:r>
      <w:r>
        <w:rPr>
          <w:rFonts w:hint="eastAsia" w:cs="宋体" w:asciiTheme="minorEastAsia" w:hAnsiTheme="minorEastAsia" w:eastAsiaTheme="minorEastAsia"/>
          <w:highlight w:val="none"/>
        </w:rPr>
        <w:t>根据《中华人民共和国政府采购法》第三十六条之规定，在采购中，出现下列情形之一的，应予废标：</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5.1符合专业条件的供应商或者对招标文件作实质响应的供应商不足3家的；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5.2出现影响采购公正的违法、违规行为的；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5.3投标人的报价均超过了采购预算，采购人不能支付的；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5.4因重大变故，采购任务取消的。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废标后，采购机构应当将废标理由通知所有投标人。</w:t>
      </w:r>
    </w:p>
    <w:p>
      <w:pPr>
        <w:pStyle w:val="26"/>
        <w:snapToGrid w:val="0"/>
        <w:spacing w:line="360" w:lineRule="auto"/>
        <w:ind w:firstLine="590" w:firstLineChars="245"/>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6.修改招标文件，重新组织采购活动。</w:t>
      </w:r>
      <w:r>
        <w:rPr>
          <w:rFonts w:hint="eastAsia" w:cs="宋体"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asciiTheme="minorEastAsia" w:hAnsiTheme="minorEastAsia" w:eastAsiaTheme="minorEastAsia"/>
          <w:highlight w:val="none"/>
        </w:rPr>
      </w:pPr>
      <w:r>
        <w:rPr>
          <w:rFonts w:hint="eastAsia" w:cs="宋体" w:asciiTheme="minorEastAsia" w:hAnsiTheme="minorEastAsia" w:eastAsiaTheme="minorEastAsia"/>
          <w:b/>
          <w:kern w:val="0"/>
          <w:highlight w:val="none"/>
        </w:rPr>
        <w:t>7.重新开展采购。</w:t>
      </w:r>
      <w:r>
        <w:rPr>
          <w:rFonts w:hint="eastAsia" w:cs="宋体" w:asciiTheme="minorEastAsia" w:hAnsiTheme="minorEastAsia" w:eastAsiaTheme="minorEastAsia"/>
          <w:highlight w:val="none"/>
        </w:rPr>
        <w:t>有政府采购法第七十一条、第七十二条规定的违法行为之一，影响或者可能影响中标结果的，依照下列规定处理：</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7.1未确定中标供应商的，终止本次政府采购活动，重新开展政府采购活动。</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7.4政府采购合同已经履行，给采购人、供应商造成损失的，由责任人承担赔偿责任。</w:t>
      </w:r>
    </w:p>
    <w:p>
      <w:pPr>
        <w:pStyle w:val="26"/>
        <w:snapToGrid w:val="0"/>
        <w:spacing w:line="360" w:lineRule="auto"/>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15"/>
      <w:bookmarkStart w:id="394" w:name="第五部分"/>
      <w:bookmarkStart w:id="395" w:name="_Toc86217003"/>
    </w:p>
    <w:p>
      <w:pPr>
        <w:pStyle w:val="27"/>
        <w:rPr>
          <w:rFonts w:hint="eastAsia" w:cs="宋体" w:asciiTheme="minorEastAsia" w:hAnsiTheme="minorEastAsia" w:eastAsiaTheme="minorEastAsia"/>
          <w:highlight w:val="none"/>
        </w:rPr>
      </w:pPr>
    </w:p>
    <w:p>
      <w:pPr>
        <w:pStyle w:val="39"/>
        <w:rPr>
          <w:rFonts w:hint="eastAsia" w:cs="宋体" w:asciiTheme="minorEastAsia" w:hAnsiTheme="minorEastAsia" w:eastAsiaTheme="minorEastAsia"/>
          <w:highlight w:val="none"/>
        </w:rPr>
      </w:pPr>
    </w:p>
    <w:p>
      <w:pPr>
        <w:pStyle w:val="39"/>
        <w:rPr>
          <w:rFonts w:hint="eastAsia" w:cs="宋体" w:asciiTheme="minorEastAsia" w:hAnsiTheme="minorEastAsia" w:eastAsiaTheme="minorEastAsia"/>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2"/>
        <w:ind w:firstLine="3084" w:firstLineChars="12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tabs>
          <w:tab w:val="left" w:pos="432"/>
        </w:tabs>
        <w:outlineLvl w:val="9"/>
        <w:rPr>
          <w:color w:val="auto"/>
          <w:highlight w:val="none"/>
        </w:rPr>
      </w:pPr>
    </w:p>
    <w:p>
      <w:pPr>
        <w:spacing w:before="120" w:line="22" w:lineRule="atLeast"/>
        <w:ind w:left="960"/>
        <w:rPr>
          <w:rFonts w:ascii="宋体" w:hAnsi="宋体" w:cs="宋体"/>
          <w:b/>
          <w:bCs/>
          <w:color w:val="auto"/>
          <w:sz w:val="24"/>
          <w:highlight w:val="none"/>
        </w:rPr>
      </w:pPr>
      <w:r>
        <w:rPr>
          <w:rFonts w:hint="eastAsia" w:ascii="宋体" w:hAnsi="宋体" w:cs="宋体"/>
          <w:b/>
          <w:bCs/>
          <w:color w:val="auto"/>
          <w:sz w:val="24"/>
          <w:highlight w:val="none"/>
        </w:rPr>
        <w:t>项目名称：杭州市西湖区应急管理局自然灾害风险普查成果深化应用系统（二期）项目</w:t>
      </w:r>
    </w:p>
    <w:p>
      <w:pPr>
        <w:pStyle w:val="599"/>
        <w:spacing w:before="120" w:line="22" w:lineRule="atLeast"/>
        <w:rPr>
          <w:rFonts w:hint="default" w:ascii="宋体" w:hAnsi="宋体" w:eastAsia="宋体" w:cs="宋体"/>
          <w:b/>
          <w:bCs/>
          <w:color w:val="auto"/>
          <w:szCs w:val="24"/>
          <w:highlight w:val="none"/>
          <w:lang w:val="en-US" w:eastAsia="zh-CN"/>
        </w:rPr>
      </w:pPr>
      <w:r>
        <w:rPr>
          <w:rFonts w:hint="eastAsia" w:ascii="宋体" w:hAnsi="宋体" w:eastAsia="宋体" w:cs="宋体"/>
          <w:b/>
          <w:bCs/>
          <w:color w:val="auto"/>
          <w:szCs w:val="24"/>
          <w:highlight w:val="none"/>
          <w:lang w:val="en-US" w:eastAsia="zh-CN"/>
        </w:rPr>
        <w:t xml:space="preserve">        项目编号：XHZFCG-2024-G-15</w:t>
      </w:r>
    </w:p>
    <w:p>
      <w:pPr>
        <w:pStyle w:val="599"/>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680" w:right="1417" w:bottom="680" w:left="1417" w:header="851" w:footer="851" w:gutter="0"/>
          <w:cols w:space="720" w:num="1"/>
        </w:sect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zh-CN"/>
        </w:rPr>
        <w:t>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zh-CN"/>
        </w:rPr>
        <w:t>月</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hint="eastAsia" w:ascii="宋体" w:hAnsi="宋体" w:cs="宋体"/>
          <w:color w:val="auto"/>
          <w:sz w:val="24"/>
          <w:highlight w:val="none"/>
          <w:u w:val="single"/>
        </w:rPr>
        <w:t>杭州市西湖区应急管理局</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hint="eastAsia" w:ascii="宋体" w:hAnsi="宋体"/>
          <w:color w:val="auto"/>
          <w:sz w:val="24"/>
          <w:highlight w:val="none"/>
          <w:u w:val="single"/>
          <w:lang w:val="en-US" w:eastAsia="zh-CN"/>
        </w:rPr>
        <w:t xml:space="preserve"> </w:t>
      </w:r>
      <w:r>
        <w:rPr>
          <w:rFonts w:hint="eastAsia" w:ascii="宋体" w:hAnsi="宋体" w:cs="宋体"/>
          <w:color w:val="auto"/>
          <w:sz w:val="24"/>
          <w:highlight w:val="none"/>
          <w:u w:val="single"/>
        </w:rPr>
        <w:t>杭州市西湖区应急管理局自然灾害风险普查成果深化应用系统（二期）</w:t>
      </w:r>
      <w:r>
        <w:rPr>
          <w:rFonts w:hint="eastAsia" w:ascii="宋体" w:hAnsi="宋体" w:cs="宋体"/>
          <w:color w:val="auto"/>
          <w:sz w:val="24"/>
          <w:highlight w:val="none"/>
          <w:u w:val="single"/>
          <w:lang w:eastAsia="zh-CN"/>
        </w:rPr>
        <w:t>项目</w:t>
      </w:r>
      <w:r>
        <w:rPr>
          <w:rFonts w:hint="eastAsia" w:ascii="宋体" w:hAnsi="宋体" w:cs="宋体"/>
          <w:color w:val="auto"/>
          <w:sz w:val="24"/>
          <w:highlight w:val="none"/>
          <w:u w:val="single"/>
        </w:rPr>
        <w:t xml:space="preserve">  </w:t>
      </w:r>
      <w:r>
        <w:rPr>
          <w:rFonts w:hint="eastAsia" w:ascii="宋体" w:hAnsi="宋体"/>
          <w:color w:val="auto"/>
          <w:sz w:val="24"/>
          <w:highlight w:val="none"/>
        </w:rPr>
        <w:t>进行采购。经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杭州市西湖区政府采购中心</w:t>
      </w:r>
      <w:r>
        <w:rPr>
          <w:rFonts w:ascii="宋体" w:hAnsi="宋体"/>
          <w:color w:val="auto"/>
          <w:sz w:val="24"/>
          <w:highlight w:val="none"/>
          <w:u w:val="single"/>
        </w:rPr>
        <w:t xml:space="preserve">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olor w:val="auto"/>
          <w:sz w:val="24"/>
          <w:highlight w:val="none"/>
          <w:u w:val="single"/>
          <w:lang w:val="en-US" w:eastAsia="zh-CN"/>
        </w:rPr>
        <w:t xml:space="preserve"> </w:t>
      </w:r>
      <w:r>
        <w:rPr>
          <w:rFonts w:hint="eastAsia" w:ascii="宋体" w:hAnsi="宋体" w:cs="宋体"/>
          <w:color w:val="auto"/>
          <w:sz w:val="24"/>
          <w:highlight w:val="none"/>
          <w:u w:val="single"/>
        </w:rPr>
        <w:t>杭州市西湖区应急管理局</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360" w:lineRule="auto"/>
        <w:ind w:firstLine="482" w:firstLineChars="200"/>
        <w:outlineLvl w:val="0"/>
        <w:rPr>
          <w:rFonts w:asciiTheme="minorEastAsia" w:hAnsiTheme="minorEastAsia" w:eastAsiaTheme="minorEastAsia"/>
          <w:sz w:val="24"/>
        </w:rPr>
      </w:pPr>
      <w:bookmarkStart w:id="396" w:name="_Toc28855"/>
      <w:bookmarkStart w:id="397" w:name="_Toc19273"/>
      <w:bookmarkStart w:id="398" w:name="_Toc15367"/>
      <w:bookmarkStart w:id="399" w:name="_Toc22967"/>
      <w:bookmarkStart w:id="400" w:name="_Toc20421"/>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96"/>
      <w:bookmarkEnd w:id="397"/>
      <w:bookmarkEnd w:id="398"/>
      <w:bookmarkEnd w:id="399"/>
      <w:bookmarkEnd w:id="400"/>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360" w:lineRule="auto"/>
        <w:ind w:firstLine="482" w:firstLineChars="200"/>
        <w:outlineLvl w:val="0"/>
        <w:rPr>
          <w:rFonts w:asciiTheme="minorEastAsia" w:hAnsiTheme="minorEastAsia" w:eastAsiaTheme="minorEastAsia"/>
          <w:b/>
          <w:sz w:val="24"/>
        </w:rPr>
      </w:pPr>
      <w:bookmarkStart w:id="401" w:name="_Toc2918"/>
      <w:bookmarkStart w:id="402" w:name="_Toc6773"/>
      <w:bookmarkStart w:id="403" w:name="_Toc6311"/>
      <w:bookmarkStart w:id="404" w:name="_Toc18585"/>
      <w:bookmarkStart w:id="405" w:name="_Toc22185"/>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1"/>
      <w:bookmarkEnd w:id="402"/>
      <w:bookmarkEnd w:id="403"/>
      <w:bookmarkEnd w:id="404"/>
      <w:bookmarkEnd w:id="405"/>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06" w:name="_Toc1386"/>
      <w:bookmarkStart w:id="407" w:name="_Toc21124"/>
      <w:bookmarkStart w:id="408" w:name="_Toc4929"/>
      <w:bookmarkStart w:id="409" w:name="_Toc5635"/>
      <w:bookmarkStart w:id="410" w:name="_Toc13918"/>
      <w:r>
        <w:rPr>
          <w:rFonts w:asciiTheme="minorEastAsia" w:hAnsiTheme="minorEastAsia" w:eastAsiaTheme="minorEastAsia"/>
          <w:b/>
          <w:sz w:val="24"/>
        </w:rPr>
        <w:t>1.3 价款</w:t>
      </w:r>
      <w:bookmarkEnd w:id="406"/>
      <w:bookmarkEnd w:id="407"/>
      <w:bookmarkEnd w:id="408"/>
      <w:bookmarkEnd w:id="409"/>
      <w:bookmarkEnd w:id="41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20"/>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360" w:lineRule="auto"/>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bl>
    <w:p>
      <w:pPr>
        <w:spacing w:line="360" w:lineRule="auto"/>
        <w:ind w:firstLine="482" w:firstLineChars="200"/>
        <w:outlineLvl w:val="0"/>
        <w:rPr>
          <w:rFonts w:asciiTheme="minorEastAsia" w:hAnsiTheme="minorEastAsia" w:eastAsiaTheme="minorEastAsia"/>
          <w:b/>
          <w:sz w:val="24"/>
        </w:rPr>
      </w:pPr>
      <w:bookmarkStart w:id="411" w:name="_Toc30158"/>
      <w:bookmarkStart w:id="412" w:name="_Toc26916"/>
      <w:bookmarkStart w:id="413" w:name="_Toc14993"/>
      <w:bookmarkStart w:id="414" w:name="_Toc30506"/>
      <w:bookmarkStart w:id="415" w:name="_Toc3654"/>
      <w:r>
        <w:rPr>
          <w:rFonts w:asciiTheme="minorEastAsia" w:hAnsiTheme="minorEastAsia" w:eastAsiaTheme="minorEastAsia"/>
          <w:b/>
          <w:sz w:val="24"/>
        </w:rPr>
        <w:t>1.4 付款方式和发票开具方式</w:t>
      </w:r>
      <w:bookmarkEnd w:id="411"/>
      <w:bookmarkEnd w:id="412"/>
      <w:bookmarkEnd w:id="413"/>
      <w:bookmarkEnd w:id="414"/>
      <w:bookmarkEnd w:id="415"/>
    </w:p>
    <w:p>
      <w:pPr>
        <w:pStyle w:val="960"/>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360" w:lineRule="auto"/>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16" w:name="_Toc3625"/>
      <w:bookmarkStart w:id="417" w:name="_Toc31421"/>
      <w:bookmarkStart w:id="418" w:name="_Toc11108"/>
      <w:bookmarkStart w:id="419" w:name="_Toc8772"/>
      <w:bookmarkStart w:id="420" w:name="_Toc4760"/>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6"/>
      <w:bookmarkEnd w:id="417"/>
      <w:bookmarkEnd w:id="418"/>
      <w:bookmarkEnd w:id="419"/>
      <w:bookmarkEnd w:id="420"/>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sz w:val="24"/>
          <w:u w:val="single"/>
        </w:rPr>
      </w:pPr>
      <w:bookmarkStart w:id="421" w:name="_Toc24662"/>
      <w:bookmarkStart w:id="422" w:name="_Toc3079"/>
      <w:bookmarkStart w:id="423" w:name="_Toc2375"/>
      <w:bookmarkStart w:id="424" w:name="_Toc8586"/>
      <w:bookmarkStart w:id="425" w:name="_Toc5698"/>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1"/>
      <w:bookmarkEnd w:id="422"/>
      <w:bookmarkEnd w:id="423"/>
      <w:bookmarkEnd w:id="424"/>
      <w:bookmarkEnd w:id="425"/>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360" w:lineRule="auto"/>
        <w:ind w:firstLine="482" w:firstLineChars="200"/>
        <w:outlineLvl w:val="0"/>
        <w:rPr>
          <w:rFonts w:asciiTheme="minorEastAsia" w:hAnsiTheme="minorEastAsia" w:eastAsiaTheme="minorEastAsia"/>
          <w:b/>
          <w:sz w:val="24"/>
        </w:rPr>
      </w:pPr>
      <w:bookmarkStart w:id="426" w:name="_Toc9497"/>
      <w:bookmarkStart w:id="427" w:name="_Toc18683"/>
      <w:bookmarkStart w:id="428" w:name="_Toc30329"/>
      <w:bookmarkStart w:id="429" w:name="_Toc32454"/>
      <w:bookmarkStart w:id="430" w:name="_Toc26807"/>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6"/>
      <w:bookmarkEnd w:id="427"/>
      <w:bookmarkEnd w:id="428"/>
      <w:bookmarkEnd w:id="429"/>
      <w:bookmarkEnd w:id="430"/>
    </w:p>
    <w:p>
      <w:pPr>
        <w:spacing w:line="360" w:lineRule="auto"/>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360" w:lineRule="auto"/>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360" w:lineRule="auto"/>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360" w:lineRule="auto"/>
        <w:ind w:firstLine="241" w:firstLineChars="100"/>
        <w:outlineLvl w:val="0"/>
        <w:rPr>
          <w:rFonts w:asciiTheme="minorEastAsia" w:hAnsiTheme="minorEastAsia" w:eastAsiaTheme="minorEastAsia"/>
          <w:b/>
          <w:sz w:val="24"/>
        </w:rPr>
      </w:pPr>
      <w:bookmarkStart w:id="431" w:name="_Toc23784"/>
      <w:bookmarkStart w:id="432" w:name="_Toc26227"/>
      <w:bookmarkStart w:id="433" w:name="_Toc16417"/>
      <w:bookmarkStart w:id="434" w:name="_Toc15827"/>
      <w:bookmarkStart w:id="435" w:name="_Toc12273"/>
      <w:r>
        <w:rPr>
          <w:rFonts w:asciiTheme="minorEastAsia" w:hAnsiTheme="minorEastAsia" w:eastAsiaTheme="minorEastAsia"/>
          <w:b/>
          <w:sz w:val="24"/>
        </w:rPr>
        <w:t>1.8 合同生效</w:t>
      </w:r>
      <w:bookmarkEnd w:id="431"/>
      <w:bookmarkEnd w:id="432"/>
      <w:bookmarkEnd w:id="433"/>
      <w:bookmarkEnd w:id="434"/>
      <w:bookmarkEnd w:id="435"/>
    </w:p>
    <w:p>
      <w:pPr>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360" w:lineRule="auto"/>
        <w:rPr>
          <w:rFonts w:asciiTheme="minorEastAsia" w:hAnsiTheme="minorEastAsia" w:eastAsiaTheme="minorEastAsia"/>
          <w:sz w:val="24"/>
          <w:lang w:val="zh-CN"/>
        </w:rPr>
      </w:pP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360" w:lineRule="auto"/>
        <w:rPr>
          <w:rFonts w:asciiTheme="minorEastAsia" w:hAnsiTheme="minorEastAsia" w:eastAsiaTheme="minorEastAsia"/>
          <w:sz w:val="24"/>
          <w:lang w:val="zh-CN"/>
        </w:rPr>
      </w:pP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360" w:lineRule="auto"/>
        <w:jc w:val="left"/>
        <w:rPr>
          <w:rFonts w:asciiTheme="minorEastAsia" w:hAnsiTheme="minorEastAsia" w:eastAsiaTheme="minorEastAsia"/>
          <w:b/>
          <w:sz w:val="24"/>
        </w:rPr>
      </w:pPr>
    </w:p>
    <w:p>
      <w:pPr>
        <w:widowControl/>
        <w:adjustRightInd/>
        <w:spacing w:line="360" w:lineRule="auto"/>
        <w:jc w:val="left"/>
        <w:rPr>
          <w:rFonts w:asciiTheme="minorEastAsia" w:hAnsiTheme="minorEastAsia" w:eastAsiaTheme="minorEastAsia"/>
          <w:b/>
          <w:sz w:val="24"/>
        </w:rPr>
      </w:pPr>
      <w:r>
        <w:rPr>
          <w:rFonts w:asciiTheme="minorEastAsia" w:hAnsiTheme="minorEastAsia" w:eastAsiaTheme="minorEastAsia"/>
          <w:b/>
        </w:rPr>
        <w:br w:type="page"/>
      </w:r>
    </w:p>
    <w:p>
      <w:pPr>
        <w:pStyle w:val="702"/>
        <w:spacing w:line="360" w:lineRule="auto"/>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360" w:lineRule="auto"/>
        <w:ind w:firstLine="482" w:firstLineChars="200"/>
        <w:outlineLvl w:val="0"/>
        <w:rPr>
          <w:rFonts w:asciiTheme="minorEastAsia" w:hAnsiTheme="minorEastAsia" w:eastAsiaTheme="minorEastAsia"/>
          <w:b/>
          <w:sz w:val="24"/>
        </w:rPr>
      </w:pPr>
      <w:bookmarkStart w:id="436" w:name="_Toc14021"/>
      <w:bookmarkStart w:id="437" w:name="_Toc31297"/>
      <w:bookmarkStart w:id="438" w:name="_Toc5228"/>
      <w:bookmarkStart w:id="439" w:name="_Toc25079"/>
      <w:bookmarkStart w:id="440" w:name="_Toc19680"/>
      <w:r>
        <w:rPr>
          <w:rFonts w:asciiTheme="minorEastAsia" w:hAnsiTheme="minorEastAsia" w:eastAsiaTheme="minorEastAsia"/>
          <w:b/>
          <w:sz w:val="24"/>
        </w:rPr>
        <w:t>2.1 定义</w:t>
      </w:r>
      <w:bookmarkEnd w:id="436"/>
      <w:bookmarkEnd w:id="437"/>
      <w:bookmarkEnd w:id="438"/>
      <w:bookmarkEnd w:id="439"/>
      <w:bookmarkEnd w:id="44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360" w:lineRule="auto"/>
        <w:ind w:firstLine="482" w:firstLineChars="200"/>
        <w:outlineLvl w:val="0"/>
        <w:rPr>
          <w:rFonts w:asciiTheme="minorEastAsia" w:hAnsiTheme="minorEastAsia" w:eastAsiaTheme="minorEastAsia"/>
          <w:b/>
          <w:sz w:val="24"/>
        </w:rPr>
      </w:pPr>
      <w:bookmarkStart w:id="441" w:name="_Toc3769"/>
      <w:bookmarkStart w:id="442" w:name="_Toc19539"/>
      <w:bookmarkStart w:id="443" w:name="_Toc23289"/>
      <w:bookmarkStart w:id="444" w:name="_Toc16752"/>
      <w:bookmarkStart w:id="445" w:name="_Toc31402"/>
      <w:r>
        <w:rPr>
          <w:rFonts w:asciiTheme="minorEastAsia" w:hAnsiTheme="minorEastAsia" w:eastAsiaTheme="minorEastAsia"/>
          <w:b/>
          <w:sz w:val="24"/>
        </w:rPr>
        <w:t>2.2 技术规范</w:t>
      </w:r>
      <w:bookmarkEnd w:id="441"/>
      <w:bookmarkEnd w:id="442"/>
      <w:bookmarkEnd w:id="443"/>
      <w:bookmarkEnd w:id="444"/>
      <w:bookmarkEnd w:id="445"/>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360" w:lineRule="auto"/>
        <w:ind w:firstLine="482" w:firstLineChars="200"/>
        <w:outlineLvl w:val="0"/>
        <w:rPr>
          <w:rFonts w:asciiTheme="minorEastAsia" w:hAnsiTheme="minorEastAsia" w:eastAsiaTheme="minorEastAsia"/>
          <w:b/>
          <w:sz w:val="24"/>
        </w:rPr>
      </w:pPr>
      <w:bookmarkStart w:id="446" w:name="_Toc4133"/>
      <w:bookmarkStart w:id="447" w:name="_Toc27945"/>
      <w:bookmarkStart w:id="448" w:name="_Toc9161"/>
      <w:bookmarkStart w:id="449" w:name="_Toc12412"/>
      <w:bookmarkStart w:id="450" w:name="_Toc13673"/>
      <w:r>
        <w:rPr>
          <w:rFonts w:asciiTheme="minorEastAsia" w:hAnsiTheme="minorEastAsia" w:eastAsiaTheme="minorEastAsia"/>
          <w:b/>
          <w:sz w:val="24"/>
        </w:rPr>
        <w:t>2.3 知识产权</w:t>
      </w:r>
      <w:bookmarkEnd w:id="446"/>
      <w:bookmarkEnd w:id="447"/>
      <w:bookmarkEnd w:id="448"/>
      <w:bookmarkEnd w:id="449"/>
      <w:bookmarkEnd w:id="45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Theme="minorEastAsia" w:hAnsiTheme="minorEastAsia" w:eastAsiaTheme="minorEastAsia"/>
          <w:b/>
          <w:sz w:val="24"/>
        </w:rPr>
      </w:pPr>
      <w:bookmarkStart w:id="451" w:name="_Toc26555"/>
      <w:bookmarkStart w:id="452" w:name="_Toc31233"/>
      <w:bookmarkStart w:id="453" w:name="_Toc15447"/>
      <w:bookmarkStart w:id="454" w:name="_Toc22011"/>
      <w:bookmarkStart w:id="455" w:name="_Toc32670"/>
      <w:r>
        <w:rPr>
          <w:rFonts w:asciiTheme="minorEastAsia" w:hAnsiTheme="minorEastAsia" w:eastAsiaTheme="minorEastAsia"/>
          <w:b/>
          <w:sz w:val="24"/>
        </w:rPr>
        <w:t>2.5 结算方式和付款条件</w:t>
      </w:r>
      <w:bookmarkEnd w:id="451"/>
      <w:bookmarkEnd w:id="452"/>
      <w:bookmarkEnd w:id="453"/>
      <w:bookmarkEnd w:id="454"/>
      <w:bookmarkEnd w:id="455"/>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56" w:name="_Toc13154"/>
      <w:bookmarkStart w:id="457" w:name="_Toc13467"/>
      <w:bookmarkStart w:id="458" w:name="_Toc30507"/>
      <w:bookmarkStart w:id="459" w:name="_Toc18990"/>
      <w:bookmarkStart w:id="460" w:name="_Toc16163"/>
      <w:r>
        <w:rPr>
          <w:rFonts w:asciiTheme="minorEastAsia" w:hAnsiTheme="minorEastAsia" w:eastAsiaTheme="minorEastAsia"/>
          <w:b/>
          <w:sz w:val="24"/>
        </w:rPr>
        <w:t>2.6 技术资料和保密义务</w:t>
      </w:r>
      <w:bookmarkEnd w:id="456"/>
      <w:bookmarkEnd w:id="457"/>
      <w:bookmarkEnd w:id="458"/>
      <w:bookmarkEnd w:id="459"/>
      <w:bookmarkEnd w:id="46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Theme="minorEastAsia" w:hAnsiTheme="minorEastAsia" w:eastAsiaTheme="minorEastAsia"/>
          <w:b/>
          <w:sz w:val="24"/>
        </w:rPr>
      </w:pPr>
      <w:bookmarkStart w:id="461"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1"/>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Theme="minorEastAsia" w:hAnsiTheme="minorEastAsia" w:eastAsiaTheme="minorEastAsia"/>
          <w:b/>
          <w:sz w:val="24"/>
        </w:rPr>
      </w:pPr>
      <w:bookmarkStart w:id="462"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2"/>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360" w:lineRule="auto"/>
        <w:ind w:firstLine="482" w:firstLineChars="200"/>
        <w:outlineLvl w:val="0"/>
        <w:rPr>
          <w:rFonts w:asciiTheme="minorEastAsia" w:hAnsiTheme="minorEastAsia" w:eastAsiaTheme="minorEastAsia"/>
          <w:b/>
          <w:sz w:val="24"/>
        </w:rPr>
      </w:pPr>
      <w:bookmarkStart w:id="463"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3"/>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Theme="minorEastAsia" w:hAnsiTheme="minorEastAsia" w:eastAsiaTheme="minorEastAsia"/>
          <w:b/>
          <w:sz w:val="24"/>
        </w:rPr>
      </w:pPr>
      <w:bookmarkStart w:id="464" w:name="_Toc21830"/>
      <w:bookmarkStart w:id="465" w:name="_Toc42"/>
      <w:bookmarkStart w:id="466" w:name="_Toc10663"/>
      <w:bookmarkStart w:id="467" w:name="_Toc26689"/>
      <w:bookmarkStart w:id="468" w:name="_Toc23368"/>
      <w:r>
        <w:rPr>
          <w:rFonts w:asciiTheme="minorEastAsia" w:hAnsiTheme="minorEastAsia" w:eastAsiaTheme="minorEastAsia"/>
          <w:b/>
          <w:sz w:val="24"/>
        </w:rPr>
        <w:t>2.10 合同转让和分包</w:t>
      </w:r>
      <w:bookmarkEnd w:id="464"/>
      <w:bookmarkEnd w:id="465"/>
      <w:bookmarkEnd w:id="466"/>
      <w:bookmarkEnd w:id="467"/>
      <w:bookmarkEnd w:id="468"/>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360" w:lineRule="auto"/>
        <w:ind w:firstLine="482" w:firstLineChars="200"/>
        <w:outlineLvl w:val="0"/>
        <w:rPr>
          <w:rFonts w:asciiTheme="minorEastAsia" w:hAnsiTheme="minorEastAsia" w:eastAsiaTheme="minorEastAsia"/>
          <w:b/>
          <w:sz w:val="24"/>
        </w:rPr>
      </w:pPr>
      <w:bookmarkStart w:id="469" w:name="_Toc14371"/>
      <w:bookmarkStart w:id="470" w:name="_Toc32494"/>
      <w:bookmarkStart w:id="471" w:name="_Toc26633"/>
      <w:bookmarkStart w:id="472" w:name="_Toc4720"/>
      <w:bookmarkStart w:id="473" w:name="_Toc25571"/>
      <w:r>
        <w:rPr>
          <w:rFonts w:asciiTheme="minorEastAsia" w:hAnsiTheme="minorEastAsia" w:eastAsiaTheme="minorEastAsia"/>
          <w:b/>
          <w:sz w:val="24"/>
        </w:rPr>
        <w:t>2.11 不可抗力</w:t>
      </w:r>
      <w:bookmarkEnd w:id="469"/>
      <w:bookmarkEnd w:id="470"/>
      <w:bookmarkEnd w:id="471"/>
      <w:bookmarkEnd w:id="472"/>
      <w:bookmarkEnd w:id="473"/>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74" w:name="_Toc24465"/>
      <w:bookmarkStart w:id="475" w:name="_Toc23854"/>
      <w:bookmarkStart w:id="476" w:name="_Toc3638"/>
      <w:bookmarkStart w:id="477" w:name="_Toc14115"/>
      <w:bookmarkStart w:id="478" w:name="_Toc25783"/>
      <w:r>
        <w:rPr>
          <w:rFonts w:asciiTheme="minorEastAsia" w:hAnsiTheme="minorEastAsia" w:eastAsiaTheme="minorEastAsia"/>
          <w:b/>
          <w:sz w:val="24"/>
        </w:rPr>
        <w:t>2.12 税费</w:t>
      </w:r>
      <w:bookmarkEnd w:id="474"/>
      <w:bookmarkEnd w:id="475"/>
      <w:bookmarkEnd w:id="476"/>
      <w:bookmarkEnd w:id="477"/>
      <w:bookmarkEnd w:id="478"/>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360" w:lineRule="auto"/>
        <w:ind w:firstLine="482" w:firstLineChars="200"/>
        <w:outlineLvl w:val="0"/>
        <w:rPr>
          <w:rFonts w:asciiTheme="minorEastAsia" w:hAnsiTheme="minorEastAsia" w:eastAsiaTheme="minorEastAsia"/>
          <w:b/>
          <w:sz w:val="24"/>
        </w:rPr>
      </w:pPr>
      <w:bookmarkStart w:id="479" w:name="_Toc30105"/>
      <w:bookmarkStart w:id="480" w:name="_Toc14814"/>
      <w:bookmarkStart w:id="481" w:name="_Toc7315"/>
      <w:bookmarkStart w:id="482" w:name="_Toc26883"/>
      <w:bookmarkStart w:id="483" w:name="_Toc25525"/>
      <w:r>
        <w:rPr>
          <w:rFonts w:asciiTheme="minorEastAsia" w:hAnsiTheme="minorEastAsia" w:eastAsiaTheme="minorEastAsia"/>
          <w:b/>
          <w:sz w:val="24"/>
        </w:rPr>
        <w:t>2.13 乙方破产</w:t>
      </w:r>
      <w:bookmarkEnd w:id="479"/>
      <w:bookmarkEnd w:id="480"/>
      <w:bookmarkEnd w:id="481"/>
      <w:bookmarkEnd w:id="482"/>
      <w:bookmarkEnd w:id="483"/>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84" w:name="_Toc1123"/>
      <w:bookmarkStart w:id="485" w:name="_Toc2016"/>
      <w:bookmarkStart w:id="486" w:name="_Toc23323"/>
      <w:r>
        <w:rPr>
          <w:rFonts w:asciiTheme="minorEastAsia" w:hAnsiTheme="minorEastAsia" w:eastAsiaTheme="minorEastAsia"/>
          <w:b/>
          <w:sz w:val="24"/>
        </w:rPr>
        <w:t>2.14 合同中止、终止</w:t>
      </w:r>
      <w:bookmarkEnd w:id="484"/>
      <w:bookmarkEnd w:id="485"/>
      <w:bookmarkEnd w:id="486"/>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Theme="minorEastAsia" w:hAnsiTheme="minorEastAsia" w:eastAsiaTheme="minorEastAsia"/>
          <w:b/>
          <w:sz w:val="24"/>
        </w:rPr>
      </w:pPr>
      <w:bookmarkStart w:id="487" w:name="_Toc14525"/>
      <w:bookmarkStart w:id="488" w:name="_Toc17363"/>
      <w:bookmarkStart w:id="489" w:name="_Toc1969"/>
      <w:r>
        <w:rPr>
          <w:rFonts w:asciiTheme="minorEastAsia" w:hAnsiTheme="minorEastAsia" w:eastAsiaTheme="minorEastAsia"/>
          <w:b/>
          <w:sz w:val="24"/>
        </w:rPr>
        <w:t>2.15 检验和验收</w:t>
      </w:r>
      <w:bookmarkEnd w:id="487"/>
      <w:bookmarkEnd w:id="488"/>
      <w:bookmarkEnd w:id="489"/>
    </w:p>
    <w:p>
      <w:pPr>
        <w:tabs>
          <w:tab w:val="left" w:pos="360"/>
          <w:tab w:val="left" w:pos="540"/>
          <w:tab w:val="left" w:pos="1080"/>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360" w:lineRule="auto"/>
        <w:ind w:firstLine="482" w:firstLineChars="200"/>
        <w:outlineLvl w:val="0"/>
        <w:rPr>
          <w:rFonts w:asciiTheme="minorEastAsia" w:hAnsiTheme="minorEastAsia" w:eastAsiaTheme="minorEastAsia"/>
          <w:b/>
          <w:sz w:val="24"/>
        </w:rPr>
      </w:pPr>
      <w:bookmarkStart w:id="490" w:name="_Toc9808"/>
      <w:bookmarkStart w:id="491" w:name="_Toc2308"/>
      <w:bookmarkStart w:id="492" w:name="_Toc25198"/>
      <w:bookmarkStart w:id="493" w:name="_Toc12666"/>
      <w:bookmarkStart w:id="494" w:name="_Toc31892"/>
      <w:r>
        <w:rPr>
          <w:rFonts w:asciiTheme="minorEastAsia" w:hAnsiTheme="minorEastAsia" w:eastAsiaTheme="minorEastAsia"/>
          <w:b/>
          <w:sz w:val="24"/>
        </w:rPr>
        <w:t>2.16 通知和送达</w:t>
      </w:r>
      <w:bookmarkEnd w:id="490"/>
      <w:bookmarkEnd w:id="491"/>
      <w:bookmarkEnd w:id="492"/>
      <w:bookmarkEnd w:id="493"/>
      <w:bookmarkEnd w:id="494"/>
    </w:p>
    <w:p>
      <w:pPr>
        <w:spacing w:line="360" w:lineRule="auto"/>
        <w:ind w:firstLine="480" w:firstLineChars="200"/>
        <w:rPr>
          <w:rFonts w:asciiTheme="minorEastAsia" w:hAnsiTheme="minorEastAsia" w:eastAsiaTheme="minorEastAsia"/>
          <w:sz w:val="24"/>
        </w:rPr>
      </w:pPr>
      <w:bookmarkStart w:id="495" w:name="_Toc18401"/>
      <w:bookmarkStart w:id="496" w:name="_Toc27674"/>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5"/>
      <w:bookmarkEnd w:id="496"/>
    </w:p>
    <w:p>
      <w:pPr>
        <w:spacing w:line="360" w:lineRule="auto"/>
        <w:ind w:firstLine="482" w:firstLineChars="200"/>
        <w:outlineLvl w:val="0"/>
        <w:rPr>
          <w:rFonts w:asciiTheme="minorEastAsia" w:hAnsiTheme="minorEastAsia" w:eastAsiaTheme="minorEastAsia"/>
          <w:b/>
          <w:sz w:val="24"/>
        </w:rPr>
      </w:pPr>
      <w:bookmarkStart w:id="497" w:name="_Toc27644"/>
      <w:bookmarkStart w:id="498" w:name="_Toc28906"/>
      <w:bookmarkStart w:id="499" w:name="_Toc12254"/>
      <w:bookmarkStart w:id="500" w:name="_Toc20808"/>
      <w:bookmarkStart w:id="501" w:name="_Toc5063"/>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7"/>
      <w:bookmarkEnd w:id="498"/>
      <w:bookmarkEnd w:id="499"/>
      <w:bookmarkEnd w:id="500"/>
      <w:bookmarkEnd w:id="501"/>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360" w:lineRule="auto"/>
        <w:ind w:firstLine="482" w:firstLineChars="200"/>
        <w:outlineLvl w:val="0"/>
        <w:rPr>
          <w:rFonts w:asciiTheme="minorEastAsia" w:hAnsiTheme="minorEastAsia" w:eastAsiaTheme="minorEastAsia"/>
          <w:b/>
          <w:sz w:val="24"/>
        </w:rPr>
      </w:pPr>
      <w:bookmarkStart w:id="502" w:name="_Toc22266"/>
      <w:bookmarkStart w:id="503" w:name="_Toc27127"/>
      <w:bookmarkStart w:id="504" w:name="_Toc1492"/>
      <w:bookmarkStart w:id="505" w:name="_Toc27403"/>
      <w:bookmarkStart w:id="506" w:name="_Toc30096"/>
      <w:r>
        <w:rPr>
          <w:rFonts w:asciiTheme="minorEastAsia" w:hAnsiTheme="minorEastAsia" w:eastAsiaTheme="minorEastAsia"/>
          <w:b/>
          <w:sz w:val="24"/>
        </w:rPr>
        <w:t>2.18 履约保证金</w:t>
      </w:r>
      <w:bookmarkEnd w:id="502"/>
      <w:bookmarkEnd w:id="503"/>
      <w:bookmarkEnd w:id="504"/>
      <w:bookmarkEnd w:id="505"/>
      <w:bookmarkEnd w:id="506"/>
    </w:p>
    <w:p>
      <w:pPr>
        <w:pStyle w:val="960"/>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7" w:name="_Toc331685784"/>
      <w:r>
        <w:rPr>
          <w:rFonts w:hint="eastAsia" w:ascii="宋体" w:hAnsi="宋体" w:cs="宋体"/>
          <w:b/>
          <w:sz w:val="24"/>
        </w:rPr>
        <w:t xml:space="preserve"> </w:t>
      </w:r>
      <w:bookmarkEnd w:id="507"/>
      <w:r>
        <w:rPr>
          <w:rFonts w:hint="eastAsia" w:ascii="宋体" w:hAnsi="宋体" w:cs="宋体"/>
          <w:b/>
          <w:sz w:val="24"/>
        </w:rPr>
        <w:t>第三部分  合同专用条款</w:t>
      </w:r>
    </w:p>
    <w:p>
      <w:pPr>
        <w:spacing w:line="360" w:lineRule="auto"/>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jc w:val="left"/>
              <w:rPr>
                <w:rFonts w:hint="eastAsia" w:ascii="宋体" w:hAnsi="宋体" w:cs="宋体"/>
                <w:sz w:val="24"/>
                <w:lang w:val="en-US" w:eastAsia="zh-CN"/>
              </w:rPr>
            </w:pPr>
            <w:r>
              <w:rPr>
                <w:rFonts w:hint="eastAsia" w:ascii="宋体" w:hAnsi="宋体" w:cs="宋体"/>
                <w:sz w:val="24"/>
                <w:lang w:eastAsia="zh-CN"/>
              </w:rPr>
              <w:t>第一期支付（作预付款）</w:t>
            </w:r>
            <w:r>
              <w:rPr>
                <w:rFonts w:hint="eastAsia" w:ascii="宋体" w:hAnsi="宋体" w:cs="宋体"/>
                <w:sz w:val="24"/>
                <w:lang w:val="en-US" w:eastAsia="zh-CN"/>
              </w:rPr>
              <w:t>：</w:t>
            </w:r>
            <w:r>
              <w:rPr>
                <w:rFonts w:hint="eastAsia" w:ascii="宋体" w:hAnsi="宋体" w:cs="宋体"/>
                <w:sz w:val="24"/>
                <w:lang w:eastAsia="zh-CN"/>
              </w:rPr>
              <w:t>在合同生效以及具备实施条件后的</w:t>
            </w:r>
            <w:r>
              <w:rPr>
                <w:rFonts w:hint="eastAsia" w:ascii="宋体" w:hAnsi="宋体" w:cs="宋体"/>
                <w:sz w:val="24"/>
                <w:lang w:val="en-US" w:eastAsia="zh-CN"/>
              </w:rPr>
              <w:t>5个工作日内，支付合同总额的50%；同时乙方开具增值税普通发票；计人民币</w:t>
            </w:r>
            <w:r>
              <w:rPr>
                <w:rFonts w:hint="eastAsia" w:ascii="宋体" w:hAnsi="宋体" w:cs="宋体"/>
                <w:sz w:val="24"/>
                <w:u w:val="single"/>
                <w:lang w:val="en-US" w:eastAsia="zh-CN"/>
              </w:rPr>
              <w:t xml:space="preserve">     </w:t>
            </w:r>
            <w:r>
              <w:rPr>
                <w:rFonts w:hint="eastAsia" w:ascii="宋体" w:hAnsi="宋体" w:cs="宋体"/>
                <w:sz w:val="24"/>
                <w:lang w:val="en-US" w:eastAsia="zh-CN"/>
              </w:rPr>
              <w:t>元整（</w:t>
            </w:r>
            <w:r>
              <w:rPr>
                <w:rFonts w:hint="eastAsia" w:ascii="宋体" w:hAnsi="宋体" w:eastAsia="宋体" w:cs="宋体"/>
                <w:sz w:val="24"/>
                <w:lang w:val="en-US" w:eastAsia="zh-CN"/>
              </w:rPr>
              <w:t>￥</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w:t>
            </w:r>
            <w:r>
              <w:rPr>
                <w:rFonts w:hint="eastAsia" w:ascii="宋体" w:hAnsi="宋体" w:cs="宋体"/>
                <w:sz w:val="24"/>
                <w:lang w:val="en-US" w:eastAsia="zh-CN"/>
              </w:rPr>
              <w:t>）。</w:t>
            </w:r>
          </w:p>
          <w:p>
            <w:pPr>
              <w:spacing w:line="360" w:lineRule="auto"/>
              <w:jc w:val="left"/>
              <w:rPr>
                <w:rFonts w:hint="default"/>
                <w:lang w:val="en-US" w:eastAsia="zh-CN"/>
              </w:rPr>
            </w:pPr>
            <w:r>
              <w:rPr>
                <w:rFonts w:hint="eastAsia" w:ascii="宋体" w:hAnsi="宋体" w:eastAsia="宋体" w:cs="宋体"/>
                <w:b w:val="0"/>
                <w:bCs w:val="0"/>
                <w:sz w:val="24"/>
                <w:lang w:val="en-US" w:eastAsia="zh-CN"/>
              </w:rPr>
              <w:t>第</w:t>
            </w:r>
            <w:r>
              <w:rPr>
                <w:rFonts w:hint="eastAsia" w:ascii="宋体" w:hAnsi="宋体" w:cs="宋体"/>
                <w:b w:val="0"/>
                <w:bCs w:val="0"/>
                <w:sz w:val="24"/>
                <w:lang w:val="en-US" w:eastAsia="zh-CN"/>
              </w:rPr>
              <w:t>二</w:t>
            </w:r>
            <w:r>
              <w:rPr>
                <w:rFonts w:hint="eastAsia" w:ascii="宋体" w:hAnsi="宋体" w:eastAsia="宋体" w:cs="宋体"/>
                <w:b w:val="0"/>
                <w:bCs w:val="0"/>
                <w:sz w:val="24"/>
                <w:lang w:val="en-US" w:eastAsia="zh-CN"/>
              </w:rPr>
              <w:t>期支付：项目经验收合格且收到中标人开具的符合要求的验收报告和票据等材料后的10个工作日内，由采购人支付合同总金额的</w:t>
            </w:r>
            <w:r>
              <w:rPr>
                <w:rFonts w:hint="eastAsia" w:ascii="宋体" w:hAnsi="宋体" w:cs="宋体"/>
                <w:b w:val="0"/>
                <w:bCs w:val="0"/>
                <w:sz w:val="24"/>
                <w:lang w:val="en-US" w:eastAsia="zh-CN"/>
              </w:rPr>
              <w:t>5</w:t>
            </w:r>
            <w:r>
              <w:rPr>
                <w:rFonts w:hint="eastAsia" w:ascii="宋体" w:hAnsi="宋体" w:eastAsia="宋体" w:cs="宋体"/>
                <w:b w:val="0"/>
                <w:bCs w:val="0"/>
                <w:sz w:val="24"/>
                <w:lang w:val="en-US" w:eastAsia="zh-CN"/>
              </w:rPr>
              <w:t>0%，</w:t>
            </w:r>
            <w:r>
              <w:rPr>
                <w:rFonts w:hint="eastAsia" w:ascii="宋体" w:hAnsi="宋体" w:cs="宋体"/>
                <w:sz w:val="24"/>
                <w:lang w:val="en-US" w:eastAsia="zh-CN"/>
              </w:rPr>
              <w:t>计人民币</w:t>
            </w:r>
            <w:r>
              <w:rPr>
                <w:rFonts w:hint="eastAsia" w:ascii="宋体" w:hAnsi="宋体" w:cs="宋体"/>
                <w:sz w:val="24"/>
                <w:u w:val="single"/>
                <w:lang w:val="en-US" w:eastAsia="zh-CN"/>
              </w:rPr>
              <w:t xml:space="preserve">     </w:t>
            </w:r>
            <w:r>
              <w:rPr>
                <w:rFonts w:hint="eastAsia" w:ascii="宋体" w:hAnsi="宋体" w:cs="宋体"/>
                <w:sz w:val="24"/>
                <w:lang w:val="en-US" w:eastAsia="zh-CN"/>
              </w:rPr>
              <w:t>元整（</w:t>
            </w:r>
            <w:r>
              <w:rPr>
                <w:rFonts w:hint="eastAsia" w:ascii="宋体" w:hAnsi="宋体" w:eastAsia="宋体" w:cs="宋体"/>
                <w:sz w:val="24"/>
                <w:lang w:val="en-US" w:eastAsia="zh-CN"/>
              </w:rPr>
              <w:t>￥</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元</w:t>
            </w: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pStyle w:val="131"/>
              <w:keepNext w:val="0"/>
              <w:keepLines w:val="0"/>
              <w:pageBreakBefore w:val="0"/>
              <w:kinsoku/>
              <w:wordWrap/>
              <w:overflowPunct/>
              <w:topLinePunct w:val="0"/>
              <w:autoSpaceDE/>
              <w:autoSpaceDN/>
              <w:bidi w:val="0"/>
              <w:adjustRightInd w:val="0"/>
              <w:spacing w:before="0" w:line="360" w:lineRule="auto"/>
              <w:ind w:left="0" w:leftChars="0" w:firstLine="0" w:firstLineChars="0"/>
              <w:textAlignment w:val="auto"/>
              <w:outlineLvl w:val="2"/>
              <w:rPr>
                <w:rFonts w:hint="default" w:ascii="宋体" w:hAnsi="宋体" w:eastAsia="宋体" w:cs="宋体"/>
                <w:sz w:val="24"/>
                <w:lang w:val="en-US" w:eastAsia="zh-CN"/>
              </w:rPr>
            </w:pPr>
            <w:r>
              <w:rPr>
                <w:rFonts w:hint="eastAsia" w:ascii="宋体" w:hAnsi="宋体" w:eastAsia="宋体" w:cs="宋体"/>
                <w:sz w:val="24"/>
                <w:lang w:eastAsia="zh-CN"/>
              </w:rPr>
              <w:t>自合同签订之日起</w:t>
            </w:r>
            <w:r>
              <w:rPr>
                <w:rFonts w:hint="eastAsia" w:ascii="宋体" w:hAnsi="宋体" w:eastAsia="宋体" w:cs="宋体"/>
                <w:sz w:val="24"/>
                <w:lang w:val="en-US" w:eastAsia="zh-CN"/>
              </w:rPr>
              <w:t>60天，试运行15天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r>
              <w:rPr>
                <w:rFonts w:hint="eastAsia" w:ascii="宋体" w:hAnsi="宋体" w:cs="宋体"/>
                <w:sz w:val="24"/>
                <w:lang w:eastAsia="zh-CN"/>
              </w:rPr>
              <w:t>甲方指定的地点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eastAsia="zh-CN"/>
              </w:rPr>
              <w:t>项目建设完成且通过验收合格后，</w:t>
            </w:r>
            <w:r>
              <w:rPr>
                <w:rFonts w:hint="eastAsia" w:ascii="宋体" w:hAnsi="宋体" w:cs="宋体"/>
                <w:sz w:val="24"/>
                <w:lang w:val="en-US" w:eastAsia="zh-CN"/>
              </w:rPr>
              <w:t>1年维护期结束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本合同项下所有乙方应支付的违约金，甲方有权直接从未支付的合同金额中予以扣除，若未支付的合同金额不足以支付违约金的，则由乙方另行补足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r>
              <w:rPr>
                <w:rFonts w:hint="eastAsia" w:ascii="宋体" w:hAnsi="宋体" w:cs="宋体"/>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cs="宋体"/>
                <w:sz w:val="24"/>
              </w:rPr>
              <w:t>甲方住所地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hint="eastAsia" w:ascii="宋体" w:hAnsi="宋体" w:eastAsia="宋体" w:cs="宋体"/>
                <w:sz w:val="24"/>
                <w:lang w:eastAsia="zh-CN"/>
              </w:rPr>
            </w:pPr>
            <w:r>
              <w:rPr>
                <w:rFonts w:hint="eastAsia" w:ascii="宋体" w:hAnsi="宋体" w:cs="宋体"/>
                <w:sz w:val="24"/>
                <w:lang w:eastAsia="zh-CN"/>
              </w:rPr>
              <w:t>归属于甲方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同1.4.4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napToGrid w:val="0"/>
                <w:kern w:val="0"/>
                <w:sz w:val="24"/>
              </w:rPr>
              <w:t>因不可抗力致使合同有变更必要的，双方当事人应在</w:t>
            </w:r>
            <w:r>
              <w:rPr>
                <w:rFonts w:hint="eastAsia" w:ascii="宋体" w:hAnsi="宋体" w:cs="宋体"/>
                <w:snapToGrid w:val="0"/>
                <w:kern w:val="0"/>
                <w:sz w:val="24"/>
                <w:u w:val="single"/>
              </w:rPr>
              <w:t>30日</w:t>
            </w:r>
            <w:r>
              <w:rPr>
                <w:rFonts w:hint="eastAsia" w:ascii="宋体" w:hAnsi="宋体" w:cs="宋体"/>
                <w:snapToGrid w:val="0"/>
                <w:kern w:val="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spacing w:line="360" w:lineRule="auto"/>
              <w:rPr>
                <w:rFonts w:ascii="宋体" w:hAnsi="宋体" w:cs="宋体"/>
                <w:sz w:val="24"/>
              </w:rPr>
            </w:pPr>
            <w:r>
              <w:rPr>
                <w:rFonts w:hint="eastAsia" w:ascii="宋体" w:hAnsi="宋体" w:cs="宋体"/>
                <w:snapToGrid w:val="0"/>
                <w:kern w:val="0"/>
                <w:sz w:val="24"/>
              </w:rPr>
              <w:t>受不可抗力影响的一方在不可抗力发生后，应在</w:t>
            </w:r>
            <w:r>
              <w:rPr>
                <w:rFonts w:hint="eastAsia" w:ascii="宋体" w:hAnsi="宋体" w:cs="宋体"/>
                <w:snapToGrid w:val="0"/>
                <w:kern w:val="0"/>
                <w:sz w:val="24"/>
                <w:u w:val="single"/>
              </w:rPr>
              <w:t>15日</w:t>
            </w:r>
            <w:r>
              <w:rPr>
                <w:rFonts w:hint="eastAsia" w:ascii="宋体" w:hAnsi="宋体" w:cs="宋体"/>
                <w:snapToGrid w:val="0"/>
                <w:kern w:val="0"/>
                <w:sz w:val="24"/>
              </w:rPr>
              <w:t>内以书面形式通知对方当事人，并在</w:t>
            </w:r>
            <w:r>
              <w:rPr>
                <w:rFonts w:hint="eastAsia" w:ascii="宋体" w:hAnsi="宋体" w:cs="宋体"/>
                <w:snapToGrid w:val="0"/>
                <w:kern w:val="0"/>
                <w:sz w:val="24"/>
                <w:u w:val="single"/>
              </w:rPr>
              <w:t>15日</w:t>
            </w:r>
            <w:r>
              <w:rPr>
                <w:rFonts w:hint="eastAsia" w:ascii="宋体" w:hAnsi="宋体" w:cs="宋体"/>
                <w:snapToGrid w:val="0"/>
                <w:kern w:val="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spacing w:line="360" w:lineRule="auto"/>
              <w:rPr>
                <w:rFonts w:ascii="宋体" w:hAnsi="宋体" w:cs="宋体"/>
                <w:sz w:val="24"/>
              </w:rPr>
            </w:pPr>
            <w:r>
              <w:rPr>
                <w:rFonts w:hint="eastAsia" w:ascii="宋体" w:hAnsi="宋体" w:cs="宋体"/>
                <w:sz w:val="24"/>
              </w:rPr>
              <w:t>乙方按照</w:t>
            </w:r>
            <w:r>
              <w:rPr>
                <w:rFonts w:hint="eastAsia" w:ascii="宋体" w:hAnsi="宋体" w:cs="宋体"/>
                <w:b w:val="0"/>
                <w:bCs/>
                <w:sz w:val="24"/>
                <w:u w:val="none"/>
              </w:rPr>
              <w:t>双方</w:t>
            </w:r>
            <w:r>
              <w:rPr>
                <w:rFonts w:hint="eastAsia" w:ascii="宋体" w:hAnsi="宋体" w:cs="宋体"/>
                <w:sz w:val="24"/>
              </w:rPr>
              <w:t>约定，定期提交服务报告，甲方</w:t>
            </w:r>
            <w:r>
              <w:rPr>
                <w:rFonts w:hint="eastAsia" w:ascii="宋体" w:hAnsi="宋体" w:cs="宋体"/>
                <w:sz w:val="24"/>
                <w:lang w:eastAsia="zh-CN"/>
              </w:rPr>
              <w:t>在项目建设完成后</w:t>
            </w:r>
            <w:r>
              <w:rPr>
                <w:rFonts w:hint="eastAsia" w:ascii="宋体" w:hAnsi="宋体" w:cs="宋体"/>
                <w:sz w:val="24"/>
                <w:lang w:val="en-US" w:eastAsia="zh-CN"/>
              </w:rPr>
              <w:t>1个月内进行</w:t>
            </w:r>
            <w:r>
              <w:rPr>
                <w:rFonts w:hint="eastAsia" w:ascii="宋体" w:hAnsi="宋体" w:cs="宋体"/>
                <w:sz w:val="24"/>
              </w:rPr>
              <w:t>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color w:val="auto"/>
                <w:sz w:val="24"/>
                <w:highlight w:val="none"/>
              </w:rPr>
              <w:t>详见采购需求</w:t>
            </w:r>
            <w:r>
              <w:rPr>
                <w:rFonts w:hint="eastAsia" w:ascii="宋体" w:hAnsi="宋体" w:cs="宋体"/>
                <w:color w:val="auto"/>
                <w:sz w:val="24"/>
                <w:highlight w:val="none"/>
                <w:lang w:eastAsia="zh-CN"/>
              </w:rPr>
              <w:t>验收</w:t>
            </w:r>
            <w:r>
              <w:rPr>
                <w:rFonts w:hint="eastAsia" w:ascii="宋体" w:hAnsi="宋体" w:cs="宋体"/>
                <w:color w:val="auto"/>
                <w:sz w:val="24"/>
                <w:highlight w:val="none"/>
              </w:rPr>
              <w:t>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4" w:type="pct"/>
            <w:vAlign w:val="center"/>
          </w:tcPr>
          <w:p>
            <w:pPr>
              <w:spacing w:line="360" w:lineRule="auto"/>
              <w:ind w:right="141" w:rightChars="67"/>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履约保证金：</w:t>
            </w:r>
            <w:r>
              <w:rPr>
                <w:rFonts w:hint="eastAsia" w:asciiTheme="minorEastAsia" w:hAnsiTheme="minorEastAsia" w:eastAsiaTheme="minorEastAsia"/>
                <w:b/>
                <w:sz w:val="24"/>
                <w:u w:val="single"/>
                <w:lang w:val="en-US" w:eastAsia="zh-CN"/>
              </w:rPr>
              <w:t>/</w:t>
            </w:r>
          </w:p>
          <w:p>
            <w:pPr>
              <w:spacing w:line="360" w:lineRule="auto"/>
              <w:rPr>
                <w:rFonts w:ascii="宋体" w:hAnsi="宋体" w:cs="宋体"/>
                <w:sz w:val="24"/>
              </w:rPr>
            </w:pPr>
            <w:r>
              <w:rPr>
                <w:rFonts w:hint="eastAsia" w:cs="宋体" w:asciiTheme="minorEastAsia" w:hAnsiTheme="minorEastAsia" w:eastAsiaTheme="minorEastAsia"/>
                <w:kern w:val="0"/>
                <w:sz w:val="24"/>
              </w:rPr>
              <w:t>支付方式：</w:t>
            </w:r>
            <w:r>
              <w:rPr>
                <w:rFonts w:hint="eastAsia" w:asciiTheme="minorEastAsia" w:hAnsiTheme="minorEastAsia" w:eastAsiaTheme="minorEastAsia"/>
                <w:b/>
                <w:sz w:val="24"/>
                <w:u w:val="single"/>
              </w:rPr>
              <w:t>以转账、汇款、支票、汇票、本票或者金融机构、担保机构出具的保函等非现金形式提交，鼓励和支持乙方以银行、保险公司出具的保函形式提供履约保证。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spacing w:line="360" w:lineRule="auto"/>
              <w:rPr>
                <w:rFonts w:ascii="宋体" w:hAnsi="宋体" w:cs="宋体"/>
                <w:sz w:val="24"/>
              </w:rPr>
            </w:pPr>
            <w:r>
              <w:rPr>
                <w:rFonts w:hint="eastAsia" w:ascii="宋体" w:hAnsi="宋体" w:cs="宋体"/>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4" w:type="pct"/>
          </w:tcPr>
          <w:p>
            <w:pPr>
              <w:spacing w:line="360" w:lineRule="auto"/>
              <w:rPr>
                <w:rFonts w:hint="default" w:ascii="宋体" w:hAnsi="宋体" w:eastAsia="宋体" w:cs="宋体"/>
                <w:sz w:val="24"/>
                <w:lang w:val="en-US" w:eastAsia="zh-CN"/>
              </w:rPr>
            </w:pPr>
            <w:r>
              <w:rPr>
                <w:rFonts w:hint="eastAsia" w:ascii="宋体" w:hAnsi="宋体" w:cs="宋体"/>
                <w:sz w:val="24"/>
                <w:lang w:eastAsia="zh-CN"/>
              </w:rPr>
              <w:t>本合同</w:t>
            </w:r>
            <w:r>
              <w:rPr>
                <w:rFonts w:hint="eastAsia" w:ascii="宋体" w:hAnsi="宋体" w:cs="宋体"/>
                <w:sz w:val="24"/>
              </w:rPr>
              <w:t>壹式</w:t>
            </w:r>
            <w:r>
              <w:rPr>
                <w:rFonts w:hint="eastAsia" w:ascii="宋体" w:hAnsi="宋体" w:cs="宋体"/>
                <w:sz w:val="24"/>
                <w:lang w:eastAsia="zh-CN"/>
              </w:rPr>
              <w:t>伍</w:t>
            </w:r>
            <w:r>
              <w:rPr>
                <w:rFonts w:hint="eastAsia" w:ascii="宋体" w:hAnsi="宋体" w:cs="宋体"/>
                <w:sz w:val="24"/>
              </w:rPr>
              <w:t>份，甲方执</w:t>
            </w:r>
            <w:r>
              <w:rPr>
                <w:rFonts w:hint="eastAsia" w:ascii="宋体" w:hAnsi="宋体" w:cs="宋体"/>
                <w:sz w:val="24"/>
                <w:lang w:eastAsia="zh-CN"/>
              </w:rPr>
              <w:t>贰</w:t>
            </w:r>
            <w:r>
              <w:rPr>
                <w:rFonts w:hint="eastAsia" w:ascii="宋体" w:hAnsi="宋体" w:cs="宋体"/>
                <w:sz w:val="24"/>
              </w:rPr>
              <w:t>份，乙方执贰份</w:t>
            </w:r>
            <w:r>
              <w:rPr>
                <w:rFonts w:hint="eastAsia" w:ascii="宋体" w:hAnsi="宋体" w:cs="宋体"/>
                <w:sz w:val="24"/>
                <w:lang w:eastAsia="zh-CN"/>
              </w:rPr>
              <w:t>，采购中心执壹</w:t>
            </w:r>
            <w:r>
              <w:rPr>
                <w:rFonts w:hint="eastAsia" w:ascii="宋体" w:hAnsi="宋体" w:cs="宋体"/>
                <w:sz w:val="24"/>
                <w:lang w:val="en-US" w:eastAsia="zh-CN"/>
              </w:rPr>
              <w:t>份</w:t>
            </w:r>
          </w:p>
        </w:tc>
      </w:tr>
    </w:tbl>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第六部分</w:t>
      </w:r>
      <w:bookmarkEnd w:id="394"/>
      <w:r>
        <w:rPr>
          <w:rFonts w:hint="eastAsia" w:cs="宋体" w:asciiTheme="minorEastAsia" w:hAnsiTheme="minorEastAsia" w:eastAsiaTheme="minorEastAsia"/>
          <w:b/>
          <w:sz w:val="36"/>
          <w:szCs w:val="20"/>
          <w:highlight w:val="none"/>
        </w:rPr>
        <w:t xml:space="preserve"> </w:t>
      </w:r>
      <w:bookmarkEnd w:id="395"/>
      <w:r>
        <w:rPr>
          <w:rFonts w:hint="eastAsia" w:cs="宋体" w:asciiTheme="minorEastAsia" w:hAnsiTheme="minorEastAsia" w:eastAsiaTheme="minorEastAsia"/>
          <w:b/>
          <w:sz w:val="36"/>
          <w:szCs w:val="20"/>
          <w:highlight w:val="none"/>
        </w:rPr>
        <w:t>应提交的有关格式范例</w:t>
      </w:r>
    </w:p>
    <w:p>
      <w:pPr>
        <w:spacing w:line="360" w:lineRule="auto"/>
        <w:jc w:val="center"/>
        <w:outlineLvl w:val="0"/>
        <w:rPr>
          <w:rFonts w:cs="宋体" w:asciiTheme="minorEastAsia" w:hAnsiTheme="minorEastAsia" w:eastAsiaTheme="minorEastAsia"/>
          <w:b/>
          <w:kern w:val="0"/>
          <w:sz w:val="36"/>
          <w:szCs w:val="36"/>
          <w:highlight w:val="none"/>
        </w:r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资格文件部分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（1）符合参加政府采购活动应当具备的一般条件的承诺函……………（页码）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szCs w:val="20"/>
          <w:highlight w:val="none"/>
        </w:rPr>
        <w:t>（2）联合协议</w:t>
      </w:r>
      <w:r>
        <w:rPr>
          <w:rFonts w:hint="eastAsia" w:cs="宋体" w:asciiTheme="minorEastAsia" w:hAnsiTheme="minorEastAsia" w:eastAsiaTheme="minorEastAsia"/>
          <w:sz w:val="24"/>
          <w:highlight w:val="none"/>
        </w:rPr>
        <w:t>………………………………………………………………（页码）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kern w:val="0"/>
          <w:sz w:val="24"/>
          <w:highlight w:val="none"/>
        </w:rPr>
        <w:br w:type="page"/>
      </w:r>
      <w:r>
        <w:rPr>
          <w:rFonts w:hint="eastAsia" w:cs="宋体"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杭州市西湖区应急管理局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投标人名称(电子签名)：</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left"/>
        <w:rPr>
          <w:rFonts w:hint="eastAsia" w:ascii="宋体" w:hAnsi="宋体" w:cs="仿宋_GB2312"/>
          <w:color w:val="auto"/>
          <w:sz w:val="24"/>
          <w:highlight w:val="none"/>
        </w:rPr>
      </w:pPr>
    </w:p>
    <w:p>
      <w:pPr>
        <w:snapToGrid w:val="0"/>
        <w:spacing w:line="360" w:lineRule="auto"/>
        <w:ind w:right="480"/>
        <w:jc w:val="left"/>
        <w:rPr>
          <w:rFonts w:cs="宋体" w:asciiTheme="minorEastAsia" w:hAnsiTheme="minorEastAsia" w:eastAsiaTheme="minorEastAsia"/>
          <w:b/>
          <w:kern w:val="0"/>
          <w:sz w:val="32"/>
          <w:szCs w:val="32"/>
          <w:highlight w:val="none"/>
        </w:rPr>
      </w:pPr>
      <w:r>
        <w:rPr>
          <w:rFonts w:hint="eastAsia" w:ascii="宋体" w:hAnsi="宋体" w:cs="仿宋_GB2312"/>
          <w:color w:val="auto"/>
          <w:sz w:val="24"/>
          <w:highlight w:val="none"/>
        </w:rPr>
        <w:t>注：根据《</w:t>
      </w:r>
      <w:r>
        <w:rPr>
          <w:rFonts w:ascii="宋体" w:hAnsi="宋体" w:cs="仿宋_GB2312"/>
          <w:color w:val="auto"/>
          <w:sz w:val="24"/>
          <w:highlight w:val="none"/>
        </w:rPr>
        <w:t>关于规范政府采购供应商资格设定及资格审查的通知</w:t>
      </w:r>
      <w:r>
        <w:rPr>
          <w:rFonts w:hint="eastAsia" w:ascii="宋体" w:hAnsi="宋体" w:cs="仿宋_GB2312"/>
          <w:color w:val="auto"/>
          <w:sz w:val="24"/>
          <w:highlight w:val="none"/>
        </w:rPr>
        <w:t>》（</w:t>
      </w:r>
      <w:r>
        <w:rPr>
          <w:rFonts w:ascii="宋体" w:hAnsi="宋体" w:cs="仿宋_GB2312"/>
          <w:color w:val="auto"/>
          <w:sz w:val="24"/>
          <w:highlight w:val="none"/>
        </w:rPr>
        <w:t>浙财采监[2013]24号</w:t>
      </w:r>
      <w:r>
        <w:rPr>
          <w:rFonts w:hint="eastAsia" w:ascii="宋体" w:hAnsi="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三、落实政府采购政策需满足的资格要求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（根据招标公告落实政府采购政策需满足的资格要求选择提供相应的材料；未要求的，无需提供）</w:t>
      </w:r>
    </w:p>
    <w:p>
      <w:pPr>
        <w:spacing w:line="360" w:lineRule="auto"/>
        <w:ind w:firstLine="723" w:firstLineChars="300"/>
        <w:rPr>
          <w:rFonts w:ascii="宋体" w:hAnsi="宋体" w:cs="宋体"/>
          <w:b/>
          <w:bCs/>
          <w:sz w:val="24"/>
          <w:highlight w:val="none"/>
        </w:rPr>
      </w:pPr>
      <w:r>
        <w:rPr>
          <w:rFonts w:hint="eastAsia" w:ascii="宋体" w:hAnsi="宋体" w:cs="宋体"/>
          <w:b/>
          <w:bCs/>
          <w:sz w:val="24"/>
          <w:highlight w:val="none"/>
          <w:lang w:val="en-US" w:eastAsia="zh-CN"/>
        </w:rPr>
        <w:t>本项目专门面向中小微企业，</w:t>
      </w:r>
      <w:r>
        <w:rPr>
          <w:rFonts w:hint="eastAsia" w:ascii="宋体" w:hAnsi="宋体" w:cs="宋体"/>
          <w:b/>
          <w:bCs/>
          <w:sz w:val="24"/>
          <w:highlight w:val="none"/>
        </w:rPr>
        <w:t>服务全部由符合政策要求的</w:t>
      </w:r>
      <w:r>
        <w:rPr>
          <w:rFonts w:hint="eastAsia" w:ascii="宋体" w:hAnsi="宋体" w:cs="宋体"/>
          <w:b/>
          <w:bCs/>
          <w:sz w:val="24"/>
          <w:highlight w:val="none"/>
          <w:lang w:eastAsia="zh-CN"/>
        </w:rPr>
        <w:t>中小微</w:t>
      </w:r>
      <w:r>
        <w:rPr>
          <w:rFonts w:hint="eastAsia" w:ascii="宋体" w:hAnsi="宋体" w:cs="宋体"/>
          <w:b/>
          <w:bCs/>
          <w:sz w:val="24"/>
          <w:highlight w:val="none"/>
        </w:rPr>
        <w:t>企业承接，提供中小企业声明函</w:t>
      </w:r>
      <w:r>
        <w:rPr>
          <w:rFonts w:hint="eastAsia" w:ascii="宋体" w:hAnsi="宋体" w:cs="宋体"/>
          <w:b/>
          <w:bCs/>
          <w:sz w:val="24"/>
          <w:highlight w:val="none"/>
          <w:lang w:eastAsia="zh-CN"/>
        </w:rPr>
        <w:t>（附件</w:t>
      </w:r>
      <w:r>
        <w:rPr>
          <w:rFonts w:hint="default" w:ascii="宋体" w:hAnsi="宋体" w:cs="宋体"/>
          <w:b/>
          <w:bCs/>
          <w:sz w:val="24"/>
          <w:highlight w:val="none"/>
          <w:lang w:val="en-US" w:eastAsia="zh-CN"/>
        </w:rPr>
        <w:t>7</w:t>
      </w:r>
      <w:r>
        <w:rPr>
          <w:rFonts w:hint="eastAsia" w:ascii="宋体" w:hAnsi="宋体" w:cs="宋体"/>
          <w:b/>
          <w:bCs/>
          <w:sz w:val="24"/>
          <w:highlight w:val="none"/>
          <w:lang w:eastAsia="zh-CN"/>
        </w:rPr>
        <w:t>）</w:t>
      </w:r>
      <w:r>
        <w:rPr>
          <w:rFonts w:hint="eastAsia" w:ascii="宋体" w:hAnsi="宋体" w:cs="宋体"/>
          <w:b/>
          <w:bCs/>
          <w:sz w:val="24"/>
          <w:highlight w:val="none"/>
        </w:rPr>
        <w:t>；</w:t>
      </w:r>
    </w:p>
    <w:p>
      <w:pPr>
        <w:widowControl/>
        <w:spacing w:line="360" w:lineRule="auto"/>
        <w:ind w:firstLine="480"/>
        <w:jc w:val="left"/>
        <w:rPr>
          <w:rFonts w:hint="default" w:ascii="宋体" w:hAnsi="宋体" w:cs="宋体"/>
          <w:sz w:val="24"/>
          <w:highlight w:val="none"/>
          <w:lang w:val="en-US"/>
        </w:rPr>
      </w:pPr>
    </w:p>
    <w:p>
      <w:pPr>
        <w:rPr>
          <w:highlight w:val="none"/>
        </w:rPr>
      </w:pPr>
    </w:p>
    <w:p>
      <w:pPr>
        <w:widowControl/>
        <w:spacing w:line="360" w:lineRule="auto"/>
        <w:ind w:left="15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四、本项目的特定资格要求（如果有）</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（根据招标公告本项目的特定资格要求提供相应的材料；未要求的，无需提供）</w:t>
      </w:r>
    </w:p>
    <w:p>
      <w:pPr>
        <w:rPr>
          <w:rFonts w:cs="宋体" w:asciiTheme="minorEastAsia" w:hAnsiTheme="minorEastAsia" w:eastAsiaTheme="minorEastAsia"/>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6"/>
          <w:szCs w:val="36"/>
          <w:highlight w:val="none"/>
        </w:rPr>
      </w:pPr>
      <w:r>
        <w:rPr>
          <w:rFonts w:cs="宋体" w:asciiTheme="minorEastAsia" w:hAnsiTheme="minorEastAsia" w:eastAsiaTheme="minorEastAsia"/>
          <w:b/>
          <w:kern w:val="0"/>
          <w:sz w:val="36"/>
          <w:szCs w:val="36"/>
          <w:highlight w:val="none"/>
        </w:rPr>
        <w:br w:type="page"/>
      </w:r>
    </w:p>
    <w:p>
      <w:pPr>
        <w:spacing w:line="360" w:lineRule="auto"/>
        <w:ind w:right="420"/>
        <w:jc w:val="center"/>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商务技术文件部分</w:t>
      </w:r>
    </w:p>
    <w:p>
      <w:pPr>
        <w:spacing w:line="360" w:lineRule="auto"/>
        <w:jc w:val="center"/>
        <w:outlineLvl w:val="0"/>
        <w:rPr>
          <w:rFonts w:cs="宋体" w:asciiTheme="minorEastAsia" w:hAnsiTheme="minorEastAsia" w:eastAsiaTheme="minorEastAsia"/>
          <w:b/>
          <w:kern w:val="0"/>
          <w:sz w:val="28"/>
          <w:szCs w:val="28"/>
          <w:highlight w:val="none"/>
        </w:rPr>
      </w:pPr>
      <w:r>
        <w:rPr>
          <w:rFonts w:hint="eastAsia" w:cs="宋体" w:asciiTheme="minorEastAsia" w:hAnsiTheme="minorEastAsia" w:eastAsiaTheme="minorEastAsia"/>
          <w:b/>
          <w:kern w:val="0"/>
          <w:sz w:val="28"/>
          <w:szCs w:val="28"/>
          <w:highlight w:val="none"/>
        </w:rPr>
        <w:t>目录</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（1）投标函</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（2）授权委托书或法定代表人（单位负责人、自然人本人）身份证明</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highlight w:val="none"/>
        </w:rPr>
        <w:t>…………………………………………………………………………（页码）</w:t>
      </w:r>
    </w:p>
    <w:p>
      <w:pPr>
        <w:snapToGrid w:val="0"/>
        <w:spacing w:line="360" w:lineRule="auto"/>
        <w:ind w:firstLine="480" w:firstLineChars="200"/>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r>
        <w:rPr>
          <w:rFonts w:hint="eastAsia" w:cs="宋体" w:asciiTheme="minorEastAsia" w:hAnsiTheme="minorEastAsia" w:eastAsiaTheme="minorEastAsia"/>
          <w:highlight w:val="none"/>
        </w:rPr>
        <w:t>…………………………………………………（页码）</w:t>
      </w:r>
    </w:p>
    <w:p>
      <w:pPr>
        <w:spacing w:line="360" w:lineRule="auto"/>
        <w:jc w:val="center"/>
        <w:outlineLvl w:val="0"/>
        <w:rPr>
          <w:rFonts w:cs="宋体" w:asciiTheme="minorEastAsia" w:hAnsiTheme="minorEastAsia" w:eastAsiaTheme="minorEastAsia"/>
          <w:b/>
          <w:kern w:val="0"/>
          <w:sz w:val="24"/>
          <w:highlight w:val="none"/>
        </w:rPr>
      </w:pPr>
    </w:p>
    <w:p>
      <w:pPr>
        <w:snapToGrid w:val="0"/>
        <w:spacing w:line="360" w:lineRule="auto"/>
        <w:ind w:left="479" w:leftChars="228"/>
        <w:rPr>
          <w:rFonts w:cs="宋体" w:asciiTheme="minorEastAsia" w:hAnsiTheme="minorEastAsia" w:eastAsiaTheme="minorEastAsia"/>
          <w:highlight w:val="none"/>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both"/>
        <w:rPr>
          <w:rFonts w:cs="宋体" w:asciiTheme="minorEastAsia" w:hAnsiTheme="minorEastAsia" w:eastAsiaTheme="minorEastAsia"/>
          <w:b/>
          <w:kern w:val="0"/>
          <w:sz w:val="32"/>
          <w:szCs w:val="32"/>
          <w:highlight w:val="none"/>
          <w:lang w:val="zh-CN"/>
        </w:rPr>
      </w:pPr>
    </w:p>
    <w:p>
      <w:pPr>
        <w:pStyle w:val="4"/>
        <w:rPr>
          <w:rFonts w:cs="宋体" w:asciiTheme="minorEastAsia" w:hAnsiTheme="minorEastAsia" w:eastAsiaTheme="minorEastAsia"/>
          <w:b/>
          <w:kern w:val="0"/>
          <w:sz w:val="32"/>
          <w:szCs w:val="32"/>
          <w:highlight w:val="none"/>
          <w:lang w:val="zh-CN"/>
        </w:rPr>
      </w:pPr>
    </w:p>
    <w:p>
      <w:pPr>
        <w:rPr>
          <w:rFonts w:cs="宋体" w:asciiTheme="minorEastAsia" w:hAnsiTheme="minorEastAsia" w:eastAsiaTheme="minorEastAsia"/>
          <w:b/>
          <w:kern w:val="0"/>
          <w:sz w:val="32"/>
          <w:szCs w:val="32"/>
          <w:highlight w:val="none"/>
          <w:lang w:val="zh-CN"/>
        </w:rPr>
      </w:pPr>
    </w:p>
    <w:p>
      <w:pPr>
        <w:snapToGrid w:val="0"/>
        <w:spacing w:line="360" w:lineRule="auto"/>
        <w:jc w:val="center"/>
        <w:outlineLvl w:val="0"/>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kern w:val="0"/>
          <w:sz w:val="32"/>
          <w:szCs w:val="32"/>
          <w:highlight w:val="none"/>
        </w:rPr>
        <w:t>一、投标</w:t>
      </w:r>
      <w:r>
        <w:rPr>
          <w:rFonts w:hint="eastAsia" w:cs="宋体" w:asciiTheme="minorEastAsia" w:hAnsiTheme="minorEastAsia" w:eastAsiaTheme="minorEastAsia"/>
          <w:b/>
          <w:sz w:val="32"/>
          <w:szCs w:val="32"/>
          <w:highlight w:val="none"/>
        </w:rPr>
        <w:t>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杭州市西湖区应急管理局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我方参加你方组织的</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】招标的有关活动，并对此项目进行投标。为此：</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1、我方承诺投标有效期从提交投标文件的截止之日起</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天（不少于90天）</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2.1.2</w:t>
      </w:r>
      <w:r>
        <w:rPr>
          <w:rFonts w:hint="eastAsia" w:cs="宋体" w:asciiTheme="minorEastAsia" w:hAnsiTheme="minorEastAsia" w:eastAsiaTheme="minorEastAsia"/>
          <w:snapToGrid w:val="0"/>
          <w:kern w:val="28"/>
          <w:sz w:val="24"/>
          <w:szCs w:val="20"/>
          <w:highlight w:val="none"/>
        </w:rPr>
        <w:t>联合协议</w:t>
      </w:r>
      <w:bookmarkStart w:id="508" w:name="_Hlk101257010"/>
      <w:r>
        <w:rPr>
          <w:rFonts w:hint="eastAsia" w:cs="宋体" w:asciiTheme="minorEastAsia" w:hAnsiTheme="minorEastAsia" w:eastAsiaTheme="minorEastAsia"/>
          <w:sz w:val="24"/>
          <w:highlight w:val="none"/>
        </w:rPr>
        <w:t>（如果有)</w:t>
      </w:r>
      <w:bookmarkEnd w:id="508"/>
      <w:r>
        <w:rPr>
          <w:rFonts w:hint="eastAsia" w:cs="宋体" w:asciiTheme="minorEastAsia" w:hAnsiTheme="minorEastAsia" w:eastAsiaTheme="minorEastAsia"/>
          <w:snapToGrid w:val="0"/>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cs="宋体" w:asciiTheme="minorEastAsia" w:hAnsiTheme="minorEastAsia" w:eastAsiaTheme="minorEastAsia"/>
          <w:sz w:val="24"/>
          <w:highlight w:val="none"/>
        </w:rPr>
        <w:t>.1.3</w:t>
      </w:r>
      <w:r>
        <w:rPr>
          <w:rFonts w:hint="eastAsia" w:cs="宋体" w:asciiTheme="minorEastAsia" w:hAnsiTheme="minorEastAsia" w:eastAsiaTheme="minorEastAsia"/>
          <w:sz w:val="24"/>
          <w:highlight w:val="none"/>
        </w:rPr>
        <w:t>落实政府采购政策需满足的资格要求；</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2.2.1投标函；</w:t>
      </w:r>
      <w:r>
        <w:rPr>
          <w:rFonts w:hint="eastAsia" w:cs="宋体" w:asciiTheme="minorEastAsia" w:hAnsiTheme="minorEastAsia" w:eastAsiaTheme="minorEastAsia"/>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3报价文件</w:t>
      </w:r>
    </w:p>
    <w:p>
      <w:pPr>
        <w:snapToGrid w:val="0"/>
        <w:spacing w:line="360" w:lineRule="auto"/>
        <w:ind w:left="420" w:leftChars="200" w:firstLine="480" w:firstLineChars="2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2.3.1开标一览表（报价表）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5、其他补充说明: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p>
    <w:p>
      <w:pPr>
        <w:spacing w:line="360" w:lineRule="auto"/>
        <w:ind w:firstLine="3600" w:firstLineChars="15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投标人名称（电子签名）：                          </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highlight w:val="none"/>
          <w:u w:val="singl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jc w:val="center"/>
        <w:rPr>
          <w:rFonts w:cs="宋体" w:asciiTheme="minorEastAsia" w:hAnsiTheme="minorEastAsia" w:eastAsiaTheme="minorEastAsia"/>
          <w:b/>
          <w:kern w:val="0"/>
          <w:sz w:val="32"/>
          <w:szCs w:val="32"/>
          <w:highlight w:val="none"/>
        </w:rPr>
      </w:pP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pStyle w:val="2"/>
        <w:rPr>
          <w:rFonts w:asciiTheme="minorEastAsia" w:hAnsiTheme="minorEastAsia" w:eastAsiaTheme="minorEastAsia"/>
          <w:highlight w:val="none"/>
          <w:lang w:val="en-US"/>
        </w:rPr>
      </w:pPr>
    </w:p>
    <w:p>
      <w:pPr>
        <w:rPr>
          <w:rFonts w:asciiTheme="minorEastAsia" w:hAnsiTheme="minorEastAsia" w:eastAsiaTheme="minorEastAsia"/>
          <w:highlight w:val="none"/>
          <w:lang w:val="en-US"/>
        </w:rPr>
      </w:pPr>
    </w:p>
    <w:p>
      <w:pPr>
        <w:widowControl/>
        <w:adjustRightInd/>
        <w:jc w:val="left"/>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p>
    <w:p>
      <w:pPr>
        <w:snapToGrid w:val="0"/>
        <w:spacing w:line="360" w:lineRule="auto"/>
        <w:ind w:firstLine="2872" w:firstLineChars="894"/>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lang w:val="zh-CN"/>
        </w:rPr>
        <w:t>授权委托书（适用于非联合体投标）</w:t>
      </w:r>
      <w:r>
        <w:rPr>
          <w:rFonts w:hint="eastAsia" w:cs="宋体" w:asciiTheme="minorEastAsia" w:hAnsiTheme="minorEastAsia" w:eastAsiaTheme="minorEastAsia"/>
          <w:highlight w:val="none"/>
        </w:rPr>
        <w:t xml:space="preserve">                               </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杭州市西湖区应急管理局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投标人名称(电子签名)：</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签发日期：  年  月   日</w:t>
      </w:r>
    </w:p>
    <w:p>
      <w:pPr>
        <w:snapToGrid w:val="0"/>
        <w:spacing w:line="360" w:lineRule="auto"/>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 xml:space="preserve">      </w:t>
      </w:r>
      <w:r>
        <w:rPr>
          <w:rFonts w:hint="eastAsia" w:cs="宋体" w:asciiTheme="minorEastAsia" w:hAnsiTheme="minorEastAsia" w:eastAsiaTheme="minorEastAsia"/>
          <w:b/>
          <w:kern w:val="0"/>
          <w:sz w:val="32"/>
          <w:szCs w:val="32"/>
          <w:highlight w:val="none"/>
        </w:rPr>
        <w:t xml:space="preserve"> </w:t>
      </w: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杭州市西湖区应急管理局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jc w:val="center"/>
        <w:rPr>
          <w:rFonts w:cs="宋体" w:asciiTheme="minorEastAsia" w:hAnsiTheme="minorEastAsia" w:eastAsiaTheme="minorEastAsia"/>
          <w:b/>
          <w:kern w:val="0"/>
          <w:sz w:val="32"/>
          <w:szCs w:val="32"/>
          <w:highlight w:val="none"/>
        </w:rPr>
      </w:pP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hint="eastAsia" w:ascii="宋体" w:hAnsi="宋体" w:cs="宋体"/>
          <w:b/>
          <w:color w:val="auto"/>
          <w:kern w:val="0"/>
          <w:sz w:val="24"/>
          <w:highlight w:val="none"/>
          <w:u w:val="single"/>
          <w:lang w:val="zh-CN"/>
        </w:rPr>
      </w:pPr>
      <w:r>
        <w:rPr>
          <w:rFonts w:hint="eastAsia" w:ascii="宋体" w:hAnsi="宋体" w:cs="宋体"/>
          <w:b/>
          <w:color w:val="auto"/>
          <w:kern w:val="0"/>
          <w:sz w:val="24"/>
          <w:highlight w:val="none"/>
          <w:u w:val="single"/>
          <w:lang w:val="zh-CN"/>
        </w:rPr>
        <w:t>注：▲供应商委派不在本单位缴纳社保的人员作为授权代表（代理人）的，应当在投标（响应）文件中，说明具体原因、授权代表缴纳社保的单位，并附列该授权代表缴纳社保清单。</w:t>
      </w:r>
    </w:p>
    <w:p>
      <w:pPr>
        <w:pStyle w:val="2"/>
        <w:rPr>
          <w:highlight w:val="none"/>
          <w:lang w:val="zh-CN"/>
        </w:rPr>
      </w:pPr>
    </w:p>
    <w:p>
      <w:pPr>
        <w:autoSpaceDE w:val="0"/>
        <w:autoSpaceDN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32"/>
          <w:szCs w:val="32"/>
          <w:highlight w:val="none"/>
          <w:lang w:val="zh-CN"/>
        </w:rPr>
        <w:t>法定代表人、单位负责人或自然人本人</w:t>
      </w:r>
      <w:r>
        <w:rPr>
          <w:rFonts w:hint="eastAsia" w:cs="宋体" w:asciiTheme="minorEastAsia" w:hAnsiTheme="minorEastAsia" w:eastAsiaTheme="minorEastAsia"/>
          <w:b/>
          <w:sz w:val="30"/>
          <w:szCs w:val="30"/>
          <w:highlight w:val="none"/>
        </w:rPr>
        <w:t>的身份证明（适用于法定代表人、单位负责人或者自然人本人代表投标人参加投标）</w:t>
      </w:r>
    </w:p>
    <w:p>
      <w:pPr>
        <w:pStyle w:val="149"/>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正面：                                 反面：</w:t>
            </w:r>
          </w:p>
          <w:p>
            <w:pPr>
              <w:pStyle w:val="149"/>
              <w:adjustRightInd w:val="0"/>
              <w:spacing w:line="360" w:lineRule="auto"/>
              <w:rPr>
                <w:rFonts w:cs="宋体" w:asciiTheme="minorEastAsia" w:hAnsiTheme="minorEastAsia" w:eastAsiaTheme="minorEastAsia"/>
                <w:bCs/>
                <w:sz w:val="24"/>
                <w:highlight w:val="none"/>
              </w:rPr>
            </w:pPr>
          </w:p>
        </w:tc>
      </w:tr>
    </w:tbl>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投标人名称(电子签名)：                              </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中标后以分包方式履行合同的，提供分包意向协议(附件6</w:t>
      </w:r>
      <w:r>
        <w:rPr>
          <w:rFonts w:cs="宋体" w:asciiTheme="minorEastAsia" w:hAnsiTheme="minorEastAsia" w:eastAsiaTheme="minorEastAsia"/>
          <w:b/>
          <w:sz w:val="24"/>
          <w:highlight w:val="none"/>
        </w:rPr>
        <w:t>)</w:t>
      </w:r>
      <w:r>
        <w:rPr>
          <w:rFonts w:hint="eastAsia" w:cs="宋体" w:asciiTheme="minorEastAsia" w:hAnsiTheme="minorEastAsia" w:eastAsiaTheme="minorEastAsia"/>
          <w:b/>
          <w:sz w:val="24"/>
          <w:highlight w:val="none"/>
        </w:rPr>
        <w:t>；采购人不同意分包或者投标人中标后不以分包方式履行合同的，则不需要提供。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kern w:val="0"/>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四、符合性审查资料</w:t>
      </w:r>
    </w:p>
    <w:p>
      <w:pPr>
        <w:jc w:val="center"/>
        <w:rPr>
          <w:rFonts w:cs="宋体" w:asciiTheme="minorEastAsia" w:hAnsiTheme="minorEastAsia" w:eastAsiaTheme="minorEastAsia"/>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投标文件中的</w:t>
            </w:r>
          </w:p>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投标文件按照招标文件要求签署、盖章。</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highlight w:val="none"/>
              </w:rPr>
            </w:pPr>
          </w:p>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见投标文件</w:t>
            </w:r>
          </w:p>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投标函</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投标文件满足招标文件的其它实质性要求。</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rPr>
        <w:t>五、评标标准相应的商务技术资料</w:t>
      </w:r>
    </w:p>
    <w:p>
      <w:pPr>
        <w:snapToGrid w:val="0"/>
        <w:spacing w:line="360" w:lineRule="auto"/>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numPr>
          <w:ilvl w:val="0"/>
          <w:numId w:val="3"/>
        </w:numPr>
        <w:ind w:firstLine="2891" w:firstLineChars="900"/>
        <w:rPr>
          <w:rFonts w:hint="eastAsia"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投标标的清单</w:t>
      </w:r>
    </w:p>
    <w:p>
      <w:pPr>
        <w:pStyle w:val="40"/>
        <w:numPr>
          <w:ilvl w:val="0"/>
          <w:numId w:val="0"/>
        </w:numPr>
        <w:rPr>
          <w:rFonts w:hint="eastAsia" w:cs="宋体" w:asciiTheme="minorEastAsia" w:hAnsiTheme="minorEastAsia" w:eastAsiaTheme="minorEastAsia"/>
          <w:b/>
          <w:kern w:val="2"/>
          <w:sz w:val="24"/>
          <w:szCs w:val="24"/>
          <w:highlight w:val="none"/>
          <w:lang w:val="en-US" w:eastAsia="zh-CN" w:bidi="ar-SA"/>
        </w:rPr>
      </w:pPr>
    </w:p>
    <w:tbl>
      <w:tblPr>
        <w:tblStyle w:val="6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32"/>
        <w:gridCol w:w="1539"/>
        <w:gridCol w:w="2254"/>
        <w:gridCol w:w="1571"/>
        <w:gridCol w:w="850"/>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3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8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p>
            <w:pPr>
              <w:spacing w:line="360" w:lineRule="auto"/>
              <w:jc w:val="center"/>
              <w:rPr>
                <w:rFonts w:hint="eastAsia" w:cs="宋体" w:asciiTheme="minorEastAsia" w:hAnsiTheme="minorEastAsia" w:eastAsiaTheme="minorEastAsia"/>
                <w:b/>
                <w:sz w:val="24"/>
                <w:highlight w:val="none"/>
                <w:lang w:eastAsia="zh-CN"/>
              </w:rPr>
            </w:pPr>
          </w:p>
        </w:tc>
        <w:tc>
          <w:tcPr>
            <w:tcW w:w="121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服务要求</w:t>
            </w: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（质保时间）</w:t>
            </w: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w:t>
            </w: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34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83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34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83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34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83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bl>
    <w:p>
      <w:pPr>
        <w:pStyle w:val="40"/>
        <w:numPr>
          <w:ilvl w:val="0"/>
          <w:numId w:val="0"/>
        </w:numPr>
        <w:rPr>
          <w:rFonts w:hint="eastAsia" w:cs="宋体" w:asciiTheme="minorEastAsia" w:hAnsiTheme="minorEastAsia" w:eastAsiaTheme="minorEastAsia"/>
          <w:b/>
          <w:kern w:val="2"/>
          <w:sz w:val="24"/>
          <w:szCs w:val="24"/>
          <w:highlight w:val="none"/>
          <w:lang w:val="en-US" w:eastAsia="zh-CN" w:bidi="ar-SA"/>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序号</w:t>
            </w:r>
          </w:p>
        </w:tc>
        <w:tc>
          <w:tcPr>
            <w:tcW w:w="3683"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招标文件章节及具体内容</w:t>
            </w:r>
          </w:p>
        </w:tc>
        <w:tc>
          <w:tcPr>
            <w:tcW w:w="354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投标文件章节及具体内容</w:t>
            </w:r>
          </w:p>
        </w:tc>
        <w:tc>
          <w:tcPr>
            <w:tcW w:w="127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bl>
    <w:p>
      <w:pPr>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widowControl/>
        <w:adjustRightInd/>
        <w:jc w:val="left"/>
        <w:rPr>
          <w:rFonts w:cs="宋体" w:asciiTheme="minorEastAsia" w:hAnsiTheme="minorEastAsia" w:eastAsiaTheme="minorEastAsia"/>
          <w:b/>
          <w:bCs/>
          <w:sz w:val="32"/>
          <w:szCs w:val="32"/>
          <w:highlight w:val="none"/>
        </w:rPr>
      </w:pPr>
      <w:r>
        <w:rPr>
          <w:rFonts w:cs="宋体" w:asciiTheme="minorEastAsia" w:hAnsiTheme="minorEastAsia" w:eastAsiaTheme="minorEastAsia"/>
          <w:b/>
          <w:bCs/>
          <w:sz w:val="32"/>
          <w:szCs w:val="32"/>
          <w:highlight w:val="none"/>
        </w:rPr>
        <w:br w:type="page"/>
      </w:r>
    </w:p>
    <w:p>
      <w:pPr>
        <w:ind w:firstLine="1911" w:firstLineChars="595"/>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bCs/>
          <w:sz w:val="32"/>
          <w:szCs w:val="32"/>
          <w:highlight w:val="none"/>
        </w:rPr>
        <w:t>八</w:t>
      </w:r>
      <w:r>
        <w:rPr>
          <w:rFonts w:hint="eastAsia" w:cs="宋体" w:asciiTheme="minorEastAsia" w:hAnsiTheme="minorEastAsia" w:eastAsiaTheme="minorEastAsia"/>
          <w:b/>
          <w:kern w:val="0"/>
          <w:sz w:val="32"/>
          <w:szCs w:val="32"/>
          <w:highlight w:val="none"/>
        </w:rPr>
        <w:t>、</w:t>
      </w:r>
      <w:r>
        <w:rPr>
          <w:rFonts w:hint="eastAsia" w:cs="宋体"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宋体" w:asciiTheme="minorEastAsia" w:hAnsiTheme="minorEastAsia" w:eastAsiaTheme="minorEastAsia"/>
          <w:sz w:val="24"/>
          <w:highlight w:val="none"/>
        </w:rPr>
      </w:pP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杭州市西湖区应急管理局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我单位响应你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六、严格遵守《</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政府采购法》《</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招标投标</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法》</w:t>
      </w:r>
      <w:r>
        <w:rPr>
          <w:rFonts w:hint="eastAsia" w:cs="宋体" w:asciiTheme="minorEastAsia" w:hAnsiTheme="minorEastAsia" w:eastAsiaTheme="minorEastAsia"/>
          <w:sz w:val="24"/>
          <w:highlight w:val="none"/>
          <w:lang w:val="zh-CN"/>
        </w:rPr>
        <w:t>《中华人民共和国民法典》</w:t>
      </w:r>
      <w:r>
        <w:rPr>
          <w:rFonts w:hint="eastAsia" w:cs="宋体" w:asciiTheme="minorEastAsia" w:hAnsiTheme="minorEastAsia" w:eastAsiaTheme="minorEastAsia"/>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如违反上述承诺，你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进行项目建设或其他经营活动，并通报区财政局。由此引起的相应损失均由我单位承担。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投标人名称（</w:t>
      </w:r>
      <w:r>
        <w:rPr>
          <w:rFonts w:hint="eastAsia" w:cs="宋体" w:asciiTheme="minorEastAsia" w:hAnsiTheme="minorEastAsia" w:eastAsiaTheme="minorEastAsia"/>
          <w:sz w:val="24"/>
          <w:highlight w:val="none"/>
        </w:rPr>
        <w:t>电子签名</w:t>
      </w:r>
      <w:r>
        <w:rPr>
          <w:rFonts w:hint="eastAsia" w:cs="宋体" w:asciiTheme="minorEastAsia" w:hAnsiTheme="minorEastAsia" w:eastAsiaTheme="minorEastAsia"/>
          <w:kern w:val="0"/>
          <w:sz w:val="24"/>
          <w:highlight w:val="none"/>
          <w:lang w:val="zh-CN"/>
        </w:rPr>
        <w:t xml:space="preserve">）：                                                                                                                                                                                                               </w:t>
      </w:r>
    </w:p>
    <w:p>
      <w:pPr>
        <w:spacing w:line="360" w:lineRule="auto"/>
        <w:ind w:left="4620" w:leftChars="2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 xml:space="preserve">   年   月   日</w:t>
      </w:r>
    </w:p>
    <w:p>
      <w:pPr>
        <w:spacing w:line="360" w:lineRule="auto"/>
        <w:jc w:val="center"/>
        <w:rPr>
          <w:rFonts w:cs="宋体" w:asciiTheme="minorEastAsia" w:hAnsiTheme="minorEastAsia" w:eastAsiaTheme="minorEastAsia"/>
          <w:b/>
          <w:bCs/>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pacing w:line="360" w:lineRule="auto"/>
        <w:jc w:val="center"/>
        <w:rPr>
          <w:rFonts w:cs="宋体" w:asciiTheme="minorEastAsia" w:hAnsiTheme="minorEastAsia" w:eastAsiaTheme="minorEastAsia"/>
          <w:b/>
          <w:bCs/>
          <w:sz w:val="24"/>
          <w:highlight w:val="none"/>
        </w:rPr>
        <w:sectPr>
          <w:headerReference r:id="rId9" w:type="first"/>
          <w:footerReference r:id="rId11" w:type="first"/>
          <w:headerReference r:id="rId8" w:type="default"/>
          <w:footerReference r:id="rId10" w:type="default"/>
          <w:pgSz w:w="11905" w:h="16838"/>
          <w:pgMar w:top="680" w:right="1417" w:bottom="680" w:left="1417" w:header="851" w:footer="992" w:gutter="0"/>
          <w:cols w:space="0" w:num="1"/>
          <w:rtlGutter w:val="0"/>
          <w:docGrid w:linePitch="312" w:charSpace="0"/>
        </w:sect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报价文件部分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（1）开标一览表（报价表）………………………………………………………（页码）</w:t>
      </w:r>
    </w:p>
    <w:p>
      <w:pPr>
        <w:snapToGrid w:val="0"/>
        <w:spacing w:line="360" w:lineRule="auto"/>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val="en-US" w:eastAsia="zh-CN"/>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报价情况说明</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如果有</w:t>
      </w:r>
      <w:r>
        <w:rPr>
          <w:rFonts w:hint="eastAsia" w:cs="宋体" w:asciiTheme="minorEastAsia" w:hAnsiTheme="minorEastAsia" w:eastAsiaTheme="minorEastAsia"/>
          <w:sz w:val="24"/>
          <w:highlight w:val="none"/>
        </w:rPr>
        <w:t>）……………………………………………………（页码）</w:t>
      </w:r>
    </w:p>
    <w:p>
      <w:pPr>
        <w:pStyle w:val="2"/>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pStyle w:val="693"/>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headerReference r:id="rId13" w:type="first"/>
          <w:footerReference r:id="rId15" w:type="first"/>
          <w:headerReference r:id="rId12" w:type="default"/>
          <w:footerReference r:id="rId14" w:type="default"/>
          <w:pgSz w:w="11905" w:h="16838"/>
          <w:pgMar w:top="680" w:right="1417" w:bottom="680" w:left="1417" w:header="851" w:footer="992" w:gutter="0"/>
          <w:cols w:space="0" w:num="1"/>
          <w:rtlGutter w:val="0"/>
          <w:docGrid w:linePitch="312" w:charSpace="0"/>
        </w:sectPr>
      </w:pPr>
    </w:p>
    <w:p>
      <w:pPr>
        <w:pStyle w:val="693"/>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r>
        <w:rPr>
          <w:rFonts w:hint="eastAsia" w:cs="宋体" w:asciiTheme="minorEastAsia" w:hAnsiTheme="minorEastAsia" w:eastAsiaTheme="minorEastAsia"/>
          <w:kern w:val="2"/>
          <w:sz w:val="32"/>
          <w:szCs w:val="32"/>
          <w:highlight w:val="none"/>
        </w:rPr>
        <w:t>一、开标一览表（报价表）</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杭州市西湖区应急管理局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482"/>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kern w:val="0"/>
          <w:sz w:val="24"/>
          <w:highlight w:val="none"/>
          <w:lang w:val="zh-CN"/>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】的实施</w:t>
      </w: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开标一览表（报价表）(单位均为人民币元)</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424"/>
        <w:gridCol w:w="1557"/>
        <w:gridCol w:w="2222"/>
        <w:gridCol w:w="1949"/>
        <w:gridCol w:w="1949"/>
        <w:gridCol w:w="1949"/>
        <w:gridCol w:w="194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36" w:type="pct"/>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54" w:type="pct"/>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496" w:type="pct"/>
          </w:tcPr>
          <w:p>
            <w:pPr>
              <w:spacing w:line="360" w:lineRule="auto"/>
              <w:jc w:val="center"/>
              <w:rPr>
                <w:rFonts w:cs="宋体" w:asciiTheme="minorEastAsia" w:hAnsiTheme="minorEastAsia" w:eastAsiaTheme="minorEastAsia"/>
                <w:b/>
                <w:sz w:val="24"/>
                <w:highlight w:val="none"/>
              </w:rPr>
            </w:pPr>
          </w:p>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w:t>
            </w:r>
            <w:r>
              <w:rPr>
                <w:rFonts w:hint="eastAsia" w:cs="宋体" w:asciiTheme="minorEastAsia" w:hAnsiTheme="minorEastAsia" w:eastAsiaTheme="minorEastAsia"/>
                <w:b/>
                <w:sz w:val="24"/>
                <w:highlight w:val="none"/>
                <w:lang w:eastAsia="zh-CN"/>
              </w:rPr>
              <w:t>内容</w:t>
            </w:r>
          </w:p>
        </w:tc>
        <w:tc>
          <w:tcPr>
            <w:tcW w:w="706" w:type="pct"/>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数量</w:t>
            </w:r>
          </w:p>
        </w:tc>
        <w:tc>
          <w:tcPr>
            <w:tcW w:w="621" w:type="pct"/>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单位</w:t>
            </w:r>
          </w:p>
        </w:tc>
        <w:tc>
          <w:tcPr>
            <w:tcW w:w="621" w:type="pct"/>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单价（元）</w:t>
            </w:r>
          </w:p>
        </w:tc>
        <w:tc>
          <w:tcPr>
            <w:tcW w:w="621" w:type="pct"/>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总价（元）</w:t>
            </w:r>
          </w:p>
        </w:tc>
        <w:tc>
          <w:tcPr>
            <w:tcW w:w="621" w:type="pct"/>
            <w:vAlign w:val="center"/>
          </w:tcPr>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tc>
        <w:tc>
          <w:tcPr>
            <w:tcW w:w="621" w:type="pct"/>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6" w:type="pct"/>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54" w:type="pct"/>
            <w:vAlign w:val="center"/>
          </w:tcPr>
          <w:p>
            <w:pPr>
              <w:snapToGrid w:val="0"/>
              <w:spacing w:line="360" w:lineRule="auto"/>
              <w:jc w:val="center"/>
              <w:rPr>
                <w:rFonts w:hint="default" w:cs="宋体" w:asciiTheme="minorEastAsia" w:hAnsiTheme="minorEastAsia" w:eastAsiaTheme="minorEastAsia"/>
                <w:sz w:val="24"/>
                <w:highlight w:val="none"/>
                <w:lang w:val="en-US" w:eastAsia="zh-CN"/>
              </w:rPr>
            </w:pPr>
          </w:p>
        </w:tc>
        <w:tc>
          <w:tcPr>
            <w:tcW w:w="496" w:type="pct"/>
            <w:vAlign w:val="center"/>
          </w:tcPr>
          <w:p>
            <w:pPr>
              <w:snapToGrid w:val="0"/>
              <w:spacing w:line="360" w:lineRule="auto"/>
              <w:jc w:val="center"/>
              <w:rPr>
                <w:rFonts w:cs="宋体" w:asciiTheme="minorEastAsia" w:hAnsiTheme="minorEastAsia" w:eastAsiaTheme="minorEastAsia"/>
                <w:sz w:val="24"/>
                <w:highlight w:val="none"/>
              </w:rPr>
            </w:pPr>
          </w:p>
        </w:tc>
        <w:tc>
          <w:tcPr>
            <w:tcW w:w="706" w:type="pct"/>
            <w:vAlign w:val="center"/>
          </w:tcPr>
          <w:p>
            <w:pPr>
              <w:snapToGrid w:val="0"/>
              <w:spacing w:line="360" w:lineRule="auto"/>
              <w:jc w:val="center"/>
              <w:rPr>
                <w:rFonts w:hint="default" w:cs="宋体" w:asciiTheme="minorEastAsia" w:hAnsiTheme="minorEastAsia" w:eastAsiaTheme="minorEastAsia"/>
                <w:sz w:val="24"/>
                <w:highlight w:val="none"/>
                <w:lang w:val="en-US" w:eastAsia="zh-CN"/>
              </w:rPr>
            </w:pPr>
          </w:p>
        </w:tc>
        <w:tc>
          <w:tcPr>
            <w:tcW w:w="621" w:type="pct"/>
            <w:vAlign w:val="center"/>
          </w:tcPr>
          <w:p>
            <w:pPr>
              <w:spacing w:line="360" w:lineRule="auto"/>
              <w:jc w:val="center"/>
              <w:rPr>
                <w:rFonts w:hint="default" w:cs="宋体" w:asciiTheme="minorEastAsia" w:hAnsiTheme="minorEastAsia" w:eastAsiaTheme="minorEastAsia"/>
                <w:sz w:val="24"/>
                <w:highlight w:val="none"/>
                <w:lang w:val="en-US" w:eastAsia="zh-CN"/>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hint="default" w:cs="宋体" w:asciiTheme="minorEastAsia" w:hAnsiTheme="minorEastAsia" w:eastAsiaTheme="minorEastAsia"/>
                <w:sz w:val="24"/>
                <w:highlight w:val="none"/>
                <w:lang w:val="en-US"/>
              </w:rPr>
            </w:pPr>
            <w:r>
              <w:rPr>
                <w:rFonts w:hint="default" w:cs="宋体" w:asciiTheme="minorEastAsia" w:hAnsiTheme="minorEastAsia" w:eastAsiaTheme="minorEastAsia"/>
                <w:sz w:val="24"/>
                <w:highlight w:val="none"/>
                <w:lang w:val="en-US"/>
              </w:rPr>
              <w:t>2</w:t>
            </w:r>
          </w:p>
        </w:tc>
        <w:tc>
          <w:tcPr>
            <w:tcW w:w="454" w:type="pct"/>
            <w:vAlign w:val="center"/>
          </w:tcPr>
          <w:p>
            <w:pPr>
              <w:snapToGrid w:val="0"/>
              <w:spacing w:line="360" w:lineRule="auto"/>
              <w:jc w:val="center"/>
              <w:rPr>
                <w:rFonts w:hint="default" w:cs="宋体" w:asciiTheme="minorEastAsia" w:hAnsiTheme="minorEastAsia" w:eastAsiaTheme="minorEastAsia"/>
                <w:sz w:val="24"/>
                <w:highlight w:val="none"/>
                <w:lang w:val="en-US" w:eastAsia="zh-CN"/>
              </w:rPr>
            </w:pPr>
          </w:p>
        </w:tc>
        <w:tc>
          <w:tcPr>
            <w:tcW w:w="496" w:type="pct"/>
            <w:vAlign w:val="center"/>
          </w:tcPr>
          <w:p>
            <w:pPr>
              <w:snapToGrid w:val="0"/>
              <w:spacing w:line="360" w:lineRule="auto"/>
              <w:jc w:val="center"/>
              <w:rPr>
                <w:rFonts w:cs="宋体" w:asciiTheme="minorEastAsia" w:hAnsiTheme="minorEastAsia" w:eastAsiaTheme="minorEastAsia"/>
                <w:sz w:val="24"/>
                <w:highlight w:val="none"/>
              </w:rPr>
            </w:pPr>
          </w:p>
        </w:tc>
        <w:tc>
          <w:tcPr>
            <w:tcW w:w="706" w:type="pct"/>
            <w:vAlign w:val="center"/>
          </w:tcPr>
          <w:p>
            <w:pPr>
              <w:snapToGrid w:val="0"/>
              <w:spacing w:line="360" w:lineRule="auto"/>
              <w:jc w:val="center"/>
              <w:rPr>
                <w:rFonts w:hint="default" w:cs="宋体" w:asciiTheme="minorEastAsia" w:hAnsiTheme="minorEastAsia" w:eastAsiaTheme="minorEastAsia"/>
                <w:sz w:val="24"/>
                <w:highlight w:val="none"/>
                <w:lang w:val="en-US"/>
              </w:rPr>
            </w:pPr>
          </w:p>
        </w:tc>
        <w:tc>
          <w:tcPr>
            <w:tcW w:w="621" w:type="pct"/>
            <w:vAlign w:val="center"/>
          </w:tcPr>
          <w:p>
            <w:pPr>
              <w:spacing w:line="360" w:lineRule="auto"/>
              <w:jc w:val="center"/>
              <w:rPr>
                <w:rFonts w:hint="eastAsia" w:cs="宋体" w:asciiTheme="minorEastAsia" w:hAnsiTheme="minorEastAsia" w:eastAsiaTheme="minorEastAsia"/>
                <w:sz w:val="24"/>
                <w:highlight w:val="none"/>
                <w:lang w:eastAsia="zh-CN"/>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hint="default"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lang w:val="en-US" w:eastAsia="zh-CN"/>
              </w:rPr>
              <w:t>……</w:t>
            </w:r>
          </w:p>
        </w:tc>
        <w:tc>
          <w:tcPr>
            <w:tcW w:w="454" w:type="pct"/>
            <w:vAlign w:val="center"/>
          </w:tcPr>
          <w:p>
            <w:pPr>
              <w:snapToGrid w:val="0"/>
              <w:spacing w:line="360" w:lineRule="auto"/>
              <w:jc w:val="center"/>
              <w:rPr>
                <w:rFonts w:hint="eastAsia" w:cs="宋体" w:asciiTheme="minorEastAsia" w:hAnsiTheme="minorEastAsia" w:eastAsiaTheme="minorEastAsia"/>
                <w:sz w:val="24"/>
                <w:highlight w:val="none"/>
                <w:lang w:eastAsia="zh-CN"/>
              </w:rPr>
            </w:pPr>
          </w:p>
        </w:tc>
        <w:tc>
          <w:tcPr>
            <w:tcW w:w="496" w:type="pct"/>
            <w:vAlign w:val="center"/>
          </w:tcPr>
          <w:p>
            <w:pPr>
              <w:snapToGrid w:val="0"/>
              <w:spacing w:line="360" w:lineRule="auto"/>
              <w:jc w:val="center"/>
              <w:rPr>
                <w:rFonts w:cs="宋体" w:asciiTheme="minorEastAsia" w:hAnsiTheme="minorEastAsia" w:eastAsiaTheme="minorEastAsia"/>
                <w:sz w:val="24"/>
                <w:highlight w:val="none"/>
              </w:rPr>
            </w:pPr>
          </w:p>
        </w:tc>
        <w:tc>
          <w:tcPr>
            <w:tcW w:w="706" w:type="pct"/>
            <w:vAlign w:val="center"/>
          </w:tcPr>
          <w:p>
            <w:pPr>
              <w:snapToGrid w:val="0"/>
              <w:spacing w:line="360" w:lineRule="auto"/>
              <w:jc w:val="center"/>
              <w:rPr>
                <w:rFonts w:hint="default" w:cs="宋体" w:asciiTheme="minorEastAsia" w:hAnsiTheme="minorEastAsia" w:eastAsiaTheme="minorEastAsia"/>
                <w:sz w:val="24"/>
                <w:highlight w:val="none"/>
                <w:lang w:val="en-US"/>
              </w:rPr>
            </w:pPr>
          </w:p>
        </w:tc>
        <w:tc>
          <w:tcPr>
            <w:tcW w:w="621" w:type="pct"/>
            <w:vAlign w:val="center"/>
          </w:tcPr>
          <w:p>
            <w:pPr>
              <w:spacing w:line="360" w:lineRule="auto"/>
              <w:jc w:val="center"/>
              <w:rPr>
                <w:rFonts w:hint="default" w:cs="宋体" w:asciiTheme="minorEastAsia" w:hAnsiTheme="minorEastAsia" w:eastAsiaTheme="minorEastAsia"/>
                <w:sz w:val="24"/>
                <w:highlight w:val="none"/>
                <w:lang w:val="en-US" w:eastAsia="zh-CN"/>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hint="default" w:cs="宋体" w:asciiTheme="minorEastAsia" w:hAnsiTheme="minorEastAsia" w:eastAsiaTheme="minorEastAsia"/>
                <w:sz w:val="24"/>
                <w:highlight w:val="none"/>
                <w:lang w:val="en-US"/>
              </w:rPr>
            </w:pPr>
          </w:p>
        </w:tc>
        <w:tc>
          <w:tcPr>
            <w:tcW w:w="454" w:type="pct"/>
            <w:vAlign w:val="center"/>
          </w:tcPr>
          <w:p>
            <w:pPr>
              <w:snapToGrid w:val="0"/>
              <w:spacing w:line="360" w:lineRule="auto"/>
              <w:jc w:val="center"/>
              <w:rPr>
                <w:rFonts w:hint="eastAsia" w:asciiTheme="minorEastAsia" w:hAnsiTheme="minorEastAsia" w:eastAsiaTheme="minorEastAsia"/>
                <w:sz w:val="24"/>
                <w:highlight w:val="none"/>
                <w:lang w:eastAsia="zh-CN"/>
              </w:rPr>
            </w:pPr>
          </w:p>
        </w:tc>
        <w:tc>
          <w:tcPr>
            <w:tcW w:w="496" w:type="pct"/>
            <w:vAlign w:val="center"/>
          </w:tcPr>
          <w:p>
            <w:pPr>
              <w:snapToGrid w:val="0"/>
              <w:spacing w:line="360" w:lineRule="auto"/>
              <w:jc w:val="center"/>
              <w:rPr>
                <w:rFonts w:cs="宋体" w:asciiTheme="minorEastAsia" w:hAnsiTheme="minorEastAsia" w:eastAsiaTheme="minorEastAsia"/>
                <w:sz w:val="24"/>
                <w:highlight w:val="none"/>
              </w:rPr>
            </w:pPr>
          </w:p>
        </w:tc>
        <w:tc>
          <w:tcPr>
            <w:tcW w:w="706" w:type="pct"/>
            <w:vAlign w:val="center"/>
          </w:tcPr>
          <w:p>
            <w:pPr>
              <w:snapToGrid w:val="0"/>
              <w:spacing w:line="360" w:lineRule="auto"/>
              <w:jc w:val="center"/>
              <w:rPr>
                <w:rFonts w:hint="default" w:cs="宋体" w:asciiTheme="minorEastAsia" w:hAnsiTheme="minorEastAsia" w:eastAsiaTheme="minorEastAsia"/>
                <w:sz w:val="24"/>
                <w:highlight w:val="none"/>
                <w:lang w:val="en-US"/>
              </w:rPr>
            </w:pPr>
          </w:p>
        </w:tc>
        <w:tc>
          <w:tcPr>
            <w:tcW w:w="621" w:type="pct"/>
            <w:vAlign w:val="center"/>
          </w:tcPr>
          <w:p>
            <w:pPr>
              <w:spacing w:line="360" w:lineRule="auto"/>
              <w:jc w:val="center"/>
              <w:rPr>
                <w:rFonts w:hint="default" w:cs="宋体" w:asciiTheme="minorEastAsia" w:hAnsiTheme="minorEastAsia" w:eastAsiaTheme="minorEastAsia"/>
                <w:sz w:val="24"/>
                <w:highlight w:val="none"/>
                <w:lang w:val="en-US" w:eastAsia="zh-CN"/>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hint="default" w:cs="宋体" w:asciiTheme="minorEastAsia" w:hAnsiTheme="minorEastAsia" w:eastAsiaTheme="minorEastAsia"/>
                <w:sz w:val="24"/>
                <w:highlight w:val="none"/>
                <w:lang w:val="en-US"/>
              </w:rPr>
            </w:pPr>
          </w:p>
        </w:tc>
        <w:tc>
          <w:tcPr>
            <w:tcW w:w="454" w:type="pct"/>
            <w:vAlign w:val="center"/>
          </w:tcPr>
          <w:p>
            <w:pPr>
              <w:snapToGrid w:val="0"/>
              <w:spacing w:line="360" w:lineRule="auto"/>
              <w:jc w:val="center"/>
              <w:rPr>
                <w:rFonts w:hint="eastAsia" w:asciiTheme="minorEastAsia" w:hAnsiTheme="minorEastAsia" w:eastAsiaTheme="minorEastAsia"/>
                <w:sz w:val="24"/>
                <w:highlight w:val="none"/>
                <w:lang w:eastAsia="zh-CN"/>
              </w:rPr>
            </w:pPr>
          </w:p>
        </w:tc>
        <w:tc>
          <w:tcPr>
            <w:tcW w:w="496" w:type="pct"/>
            <w:vAlign w:val="center"/>
          </w:tcPr>
          <w:p>
            <w:pPr>
              <w:snapToGrid w:val="0"/>
              <w:spacing w:line="360" w:lineRule="auto"/>
              <w:jc w:val="center"/>
              <w:rPr>
                <w:rFonts w:cs="宋体" w:asciiTheme="minorEastAsia" w:hAnsiTheme="minorEastAsia" w:eastAsiaTheme="minorEastAsia"/>
                <w:sz w:val="24"/>
                <w:highlight w:val="none"/>
              </w:rPr>
            </w:pPr>
          </w:p>
        </w:tc>
        <w:tc>
          <w:tcPr>
            <w:tcW w:w="706" w:type="pct"/>
            <w:vAlign w:val="center"/>
          </w:tcPr>
          <w:p>
            <w:pPr>
              <w:snapToGrid w:val="0"/>
              <w:spacing w:line="360" w:lineRule="auto"/>
              <w:jc w:val="center"/>
              <w:rPr>
                <w:rFonts w:hint="default" w:cs="宋体" w:asciiTheme="minorEastAsia" w:hAnsiTheme="minorEastAsia" w:eastAsiaTheme="minorEastAsia"/>
                <w:sz w:val="24"/>
                <w:highlight w:val="none"/>
                <w:lang w:val="en-US"/>
              </w:rPr>
            </w:pPr>
          </w:p>
        </w:tc>
        <w:tc>
          <w:tcPr>
            <w:tcW w:w="621" w:type="pct"/>
            <w:vAlign w:val="center"/>
          </w:tcPr>
          <w:p>
            <w:pPr>
              <w:spacing w:line="360" w:lineRule="auto"/>
              <w:jc w:val="center"/>
              <w:rPr>
                <w:rFonts w:hint="eastAsia" w:cs="宋体" w:asciiTheme="minorEastAsia" w:hAnsiTheme="minorEastAsia" w:eastAsiaTheme="minorEastAsia"/>
                <w:sz w:val="24"/>
                <w:highlight w:val="none"/>
                <w:lang w:eastAsia="zh-CN"/>
              </w:rPr>
            </w:pPr>
          </w:p>
        </w:tc>
        <w:tc>
          <w:tcPr>
            <w:tcW w:w="621" w:type="pct"/>
            <w:vAlign w:val="center"/>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tcPr>
          <w:p>
            <w:pPr>
              <w:spacing w:line="360" w:lineRule="auto"/>
              <w:jc w:val="center"/>
              <w:rPr>
                <w:rFonts w:cs="宋体" w:asciiTheme="minorEastAsia" w:hAnsiTheme="minorEastAsia" w:eastAsiaTheme="minorEastAsia"/>
                <w:sz w:val="24"/>
                <w:highlight w:val="none"/>
              </w:rPr>
            </w:pPr>
          </w:p>
        </w:tc>
        <w:tc>
          <w:tcPr>
            <w:tcW w:w="621" w:type="pct"/>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94" w:type="pct"/>
            <w:gridSpan w:val="4"/>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投标报价（小写）</w:t>
            </w:r>
          </w:p>
        </w:tc>
        <w:tc>
          <w:tcPr>
            <w:tcW w:w="3105" w:type="pct"/>
            <w:gridSpan w:val="5"/>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94" w:type="pct"/>
            <w:gridSpan w:val="4"/>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投标报价（大写）</w:t>
            </w:r>
          </w:p>
        </w:tc>
        <w:tc>
          <w:tcPr>
            <w:tcW w:w="3105" w:type="pct"/>
            <w:gridSpan w:val="5"/>
            <w:vAlign w:val="center"/>
          </w:tcPr>
          <w:p>
            <w:pPr>
              <w:spacing w:line="360" w:lineRule="auto"/>
              <w:jc w:val="center"/>
              <w:rPr>
                <w:rFonts w:cs="宋体" w:asciiTheme="minorEastAsia" w:hAnsiTheme="minorEastAsia" w:eastAsiaTheme="minorEastAsia"/>
                <w:sz w:val="24"/>
                <w:highlight w:val="none"/>
              </w:rPr>
            </w:pPr>
          </w:p>
        </w:tc>
      </w:tr>
    </w:tbl>
    <w:p>
      <w:pPr>
        <w:snapToGrid w:val="0"/>
        <w:spacing w:line="360" w:lineRule="auto"/>
        <w:ind w:left="48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注：</w:t>
      </w:r>
      <w:r>
        <w:rPr>
          <w:rFonts w:hint="default" w:cs="宋体" w:asciiTheme="minorEastAsia" w:hAnsiTheme="minorEastAsia" w:eastAsiaTheme="minorEastAsia"/>
          <w:b w:val="0"/>
          <w:bCs/>
          <w:kern w:val="0"/>
          <w:sz w:val="24"/>
          <w:highlight w:val="none"/>
          <w:lang w:val="en-US"/>
        </w:rPr>
        <w:t>1</w:t>
      </w:r>
      <w:r>
        <w:rPr>
          <w:rFonts w:hint="eastAsia" w:cs="宋体" w:asciiTheme="minorEastAsia" w:hAnsiTheme="minorEastAsia" w:eastAsiaTheme="minorEastAsia"/>
          <w:b w:val="0"/>
          <w:bCs/>
          <w:kern w:val="0"/>
          <w:sz w:val="24"/>
          <w:highlight w:val="none"/>
          <w:lang w:val="zh-CN"/>
        </w:rPr>
        <w:t>、</w:t>
      </w:r>
      <w:r>
        <w:rPr>
          <w:rFonts w:hint="eastAsia" w:cs="宋体" w:asciiTheme="minorEastAsia" w:hAnsiTheme="minorEastAsia" w:eastAsiaTheme="minorEastAsia"/>
          <w:kern w:val="0"/>
          <w:sz w:val="24"/>
          <w:highlight w:val="none"/>
          <w:lang w:val="zh-CN"/>
        </w:rPr>
        <w:t>投标人需按本表格式填写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投标文件含有采购人不能接受的附加条件，投标无效</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kern w:val="0"/>
          <w:sz w:val="24"/>
          <w:highlight w:val="none"/>
          <w:lang w:val="zh-CN"/>
        </w:rPr>
        <w:t>。</w:t>
      </w:r>
    </w:p>
    <w:p>
      <w:pPr>
        <w:spacing w:line="360" w:lineRule="auto"/>
        <w:ind w:firstLine="480" w:firstLineChars="200"/>
        <w:rPr>
          <w:rFonts w:hint="eastAsia" w:ascii="宋体" w:hAnsi="宋体" w:cs="宋体"/>
          <w:b/>
          <w:color w:val="auto"/>
          <w:kern w:val="0"/>
          <w:sz w:val="24"/>
          <w:highlight w:val="none"/>
          <w:lang w:val="zh-CN"/>
        </w:rPr>
      </w:pPr>
      <w:r>
        <w:rPr>
          <w:rFonts w:hint="default" w:ascii="宋体" w:hAnsi="宋体" w:cs="宋体"/>
          <w:color w:val="auto"/>
          <w:kern w:val="0"/>
          <w:sz w:val="24"/>
          <w:highlight w:val="none"/>
          <w:lang w:val="en-US"/>
        </w:rPr>
        <w:t>2</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有关本项目实施所涉及的一切费用均计入报价</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pStyle w:val="2"/>
        <w:rPr>
          <w:rFonts w:hint="eastAsia" w:ascii="宋体" w:hAnsi="宋体" w:eastAsia="宋体" w:cs="宋体"/>
          <w:b/>
          <w:bCs/>
          <w:color w:val="auto"/>
          <w:kern w:val="0"/>
          <w:sz w:val="24"/>
          <w:szCs w:val="24"/>
          <w:highlight w:val="none"/>
          <w:lang w:val="en-US" w:eastAsia="zh-CN" w:bidi="ar-SA"/>
        </w:rPr>
      </w:pPr>
      <w:r>
        <w:rPr>
          <w:rFonts w:hint="default" w:ascii="宋体" w:hAnsi="宋体" w:cs="宋体"/>
          <w:b/>
          <w:color w:val="auto"/>
          <w:sz w:val="24"/>
          <w:highlight w:val="none"/>
          <w:lang w:val="en-US"/>
        </w:rPr>
        <w:t xml:space="preserve">    3</w:t>
      </w:r>
      <w:r>
        <w:rPr>
          <w:rFonts w:hint="eastAsia" w:ascii="宋体" w:hAnsi="宋体" w:cs="宋体"/>
          <w:b/>
          <w:color w:val="auto"/>
          <w:sz w:val="24"/>
          <w:highlight w:val="none"/>
          <w:lang w:val="en-US" w:eastAsia="zh-CN"/>
        </w:rPr>
        <w:t>、</w:t>
      </w:r>
      <w:r>
        <w:rPr>
          <w:rFonts w:hint="eastAsia" w:ascii="宋体" w:hAnsi="宋体" w:eastAsia="宋体" w:cs="宋体"/>
          <w:b/>
          <w:bCs/>
          <w:color w:val="auto"/>
          <w:kern w:val="0"/>
          <w:sz w:val="24"/>
          <w:szCs w:val="24"/>
          <w:highlight w:val="none"/>
          <w:lang w:val="en-US" w:eastAsia="zh-CN" w:bidi="ar-SA"/>
        </w:rPr>
        <w:t>特别说明</w:t>
      </w:r>
      <w:r>
        <w:rPr>
          <w:rFonts w:hint="eastAsia" w:ascii="宋体" w:hAnsi="宋体" w:cs="宋体"/>
          <w:b/>
          <w:color w:val="auto"/>
          <w:sz w:val="24"/>
          <w:highlight w:val="none"/>
          <w:lang w:val="en-US" w:eastAsia="zh-CN"/>
        </w:rPr>
        <w:t>：▲</w:t>
      </w:r>
      <w:r>
        <w:rPr>
          <w:rFonts w:hint="eastAsia" w:ascii="宋体" w:hAnsi="宋体" w:eastAsia="宋体" w:cs="宋体"/>
          <w:b/>
          <w:bCs/>
          <w:color w:val="auto"/>
          <w:kern w:val="0"/>
          <w:sz w:val="24"/>
          <w:szCs w:val="24"/>
          <w:highlight w:val="none"/>
          <w:lang w:val="en-US" w:eastAsia="zh-CN" w:bidi="ar-SA"/>
        </w:rPr>
        <w:t>供应商报价低于项目预算50%的，应当在报价文件中详细阐述不影响产品质量或者诚信履约的具体原因。</w:t>
      </w:r>
    </w:p>
    <w:p>
      <w:pPr>
        <w:snapToGrid w:val="0"/>
        <w:spacing w:line="360" w:lineRule="auto"/>
        <w:ind w:firstLine="482" w:firstLineChars="200"/>
        <w:jc w:val="left"/>
        <w:rPr>
          <w:rFonts w:hint="default"/>
          <w:color w:val="auto"/>
          <w:highlight w:val="none"/>
          <w:lang w:val="en-US"/>
        </w:rPr>
      </w:pPr>
      <w:r>
        <w:rPr>
          <w:rFonts w:hint="default" w:ascii="宋体" w:hAnsi="宋体" w:cs="宋体"/>
          <w:b/>
          <w:bCs/>
          <w:color w:val="auto"/>
          <w:kern w:val="0"/>
          <w:sz w:val="24"/>
          <w:highlight w:val="none"/>
          <w:lang w:val="en-US"/>
        </w:rPr>
        <w:t>4</w:t>
      </w:r>
      <w:r>
        <w:rPr>
          <w:rFonts w:hint="eastAsia" w:ascii="宋体" w:hAnsi="宋体" w:cs="宋体"/>
          <w:b/>
          <w:bCs/>
          <w:color w:val="auto"/>
          <w:kern w:val="0"/>
          <w:sz w:val="24"/>
          <w:highlight w:val="none"/>
          <w:lang w:val="zh-CN"/>
        </w:rPr>
        <w:t>、特别提示：采购机构将对项目名称和项目编号，中标供应商名称、地址和中标金额，主要中标标的名称、品牌、规格型号、数量、单价等予以公示。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default" w:ascii="宋体" w:hAnsi="宋体" w:cs="宋体"/>
          <w:color w:val="auto"/>
          <w:kern w:val="0"/>
          <w:sz w:val="24"/>
          <w:szCs w:val="22"/>
          <w:highlight w:val="none"/>
          <w:lang w:val="en-US"/>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6480" w:firstLineChars="27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firstLine="1920" w:firstLineChars="800"/>
        <w:rPr>
          <w:rFonts w:hint="eastAsia" w:ascii="宋体" w:hAnsi="宋体" w:eastAsia="宋体" w:cs="宋体"/>
          <w:color w:val="auto"/>
          <w:kern w:val="0"/>
          <w:sz w:val="24"/>
          <w:highlight w:val="none"/>
          <w:lang w:val="en-US" w:eastAsia="zh-CN"/>
        </w:rPr>
        <w:sectPr>
          <w:pgSz w:w="16838" w:h="11905" w:orient="landscape"/>
          <w:pgMar w:top="1417" w:right="680" w:bottom="1417" w:left="680"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w:t>
      </w:r>
      <w:r>
        <w:rPr>
          <w:rFonts w:hint="default" w:ascii="宋体" w:hAnsi="宋体" w:cs="宋体"/>
          <w:color w:val="auto"/>
          <w:kern w:val="0"/>
          <w:sz w:val="24"/>
          <w:highlight w:val="none"/>
          <w:lang w:val="en-US"/>
        </w:rPr>
        <w:t xml:space="preserve">  </w:t>
      </w:r>
      <w:r>
        <w:rPr>
          <w:rFonts w:hint="eastAsia" w:ascii="宋体" w:hAnsi="宋体" w:cs="宋体"/>
          <w:color w:val="auto"/>
          <w:kern w:val="0"/>
          <w:sz w:val="24"/>
          <w:highlight w:val="none"/>
          <w:lang w:val="en-US" w:eastAsia="zh-CN"/>
        </w:rPr>
        <w:t>日</w:t>
      </w:r>
    </w:p>
    <w:p>
      <w:pPr>
        <w:pStyle w:val="693"/>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二、报价情况说明（如果有）</w:t>
      </w:r>
    </w:p>
    <w:p>
      <w:pPr>
        <w:pStyle w:val="693"/>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color w:val="auto"/>
          <w:kern w:val="2"/>
          <w:sz w:val="24"/>
          <w:szCs w:val="24"/>
          <w:highlight w:val="none"/>
        </w:rPr>
        <w:t>，否则投标无效</w:t>
      </w:r>
      <w:r>
        <w:rPr>
          <w:rFonts w:hint="eastAsia" w:ascii="宋体" w:hAnsi="宋体" w:eastAsia="宋体" w:cs="宋体"/>
          <w:b/>
          <w:bCs w:val="0"/>
          <w:color w:val="auto"/>
          <w:kern w:val="2"/>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spacing w:line="360" w:lineRule="auto"/>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rPr>
      </w:pPr>
    </w:p>
    <w:p>
      <w:pPr>
        <w:pStyle w:val="2"/>
        <w:rPr>
          <w:rFonts w:hint="eastAsia"/>
        </w:rPr>
      </w:pPr>
    </w:p>
    <w:p>
      <w:pPr>
        <w:rPr>
          <w:rFonts w:hint="eastAsia"/>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cs="宋体" w:asciiTheme="minorEastAsia" w:hAnsiTheme="minorEastAsia" w:eastAsiaTheme="minorEastAsia"/>
          <w:b/>
          <w:spacing w:val="6"/>
          <w:sz w:val="32"/>
          <w:szCs w:val="32"/>
          <w:highlight w:val="none"/>
        </w:rPr>
      </w:pPr>
    </w:p>
    <w:p>
      <w:pPr>
        <w:rPr>
          <w:rFonts w:hint="eastAsia" w:cs="宋体" w:asciiTheme="minorEastAsia" w:hAnsiTheme="minorEastAsia" w:eastAsiaTheme="minorEastAsia"/>
          <w:b/>
          <w:spacing w:val="6"/>
          <w:sz w:val="32"/>
          <w:szCs w:val="32"/>
          <w:highlight w:val="none"/>
        </w:rPr>
      </w:pPr>
    </w:p>
    <w:p>
      <w:pPr>
        <w:pStyle w:val="2"/>
        <w:rPr>
          <w:rFonts w:hint="eastAsia"/>
        </w:rPr>
      </w:pPr>
    </w:p>
    <w:p>
      <w:pPr>
        <w:rPr>
          <w:rFonts w:hint="eastAsia"/>
        </w:rPr>
      </w:pPr>
    </w:p>
    <w:p>
      <w:pPr>
        <w:rPr>
          <w:rFonts w:hint="eastAsia"/>
        </w:rPr>
      </w:pPr>
    </w:p>
    <w:p>
      <w:pPr>
        <w:spacing w:line="360" w:lineRule="auto"/>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附件1：</w:t>
      </w:r>
    </w:p>
    <w:p>
      <w:pPr>
        <w:spacing w:line="360" w:lineRule="auto"/>
        <w:jc w:val="center"/>
        <w:rPr>
          <w:rFonts w:cs="宋体" w:asciiTheme="minorEastAsia" w:hAnsiTheme="minorEastAsia" w:eastAsiaTheme="minorEastAsia"/>
          <w:b/>
          <w:spacing w:val="6"/>
          <w:sz w:val="32"/>
          <w:szCs w:val="32"/>
          <w:highlight w:val="none"/>
        </w:rPr>
      </w:pPr>
      <w:bookmarkStart w:id="509" w:name="OLE_LINK13"/>
      <w:bookmarkStart w:id="510" w:name="OLE_LINK14"/>
      <w:r>
        <w:rPr>
          <w:rFonts w:hint="eastAsia" w:cs="宋体" w:asciiTheme="minorEastAsia" w:hAnsiTheme="minorEastAsia" w:eastAsiaTheme="minorEastAsia"/>
          <w:b/>
          <w:spacing w:val="6"/>
          <w:sz w:val="32"/>
          <w:szCs w:val="32"/>
          <w:highlight w:val="none"/>
        </w:rPr>
        <w:t>残疾人福利性单位声明函</w:t>
      </w:r>
    </w:p>
    <w:bookmarkEnd w:id="509"/>
    <w:bookmarkEnd w:id="510"/>
    <w:p>
      <w:pPr>
        <w:spacing w:line="360" w:lineRule="auto"/>
        <w:rPr>
          <w:rFonts w:cs="宋体" w:asciiTheme="minorEastAsia" w:hAnsiTheme="minorEastAsia" w:eastAsiaTheme="minorEastAsia"/>
          <w:b/>
          <w:spacing w:val="6"/>
          <w:sz w:val="30"/>
          <w:szCs w:val="30"/>
          <w:highlight w:val="none"/>
        </w:rPr>
      </w:pP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highlight w:val="none"/>
          <w:u w:val="single"/>
          <w:lang w:eastAsia="zh-CN"/>
        </w:rPr>
        <w:t>杭州市西湖区应急管理局</w:t>
      </w:r>
      <w:r>
        <w:rPr>
          <w:rFonts w:hint="eastAsia" w:cs="宋体" w:asciiTheme="minorEastAsia" w:hAnsiTheme="minorEastAsia" w:eastAsiaTheme="minorEastAsia"/>
          <w:sz w:val="24"/>
          <w:highlight w:val="none"/>
        </w:rPr>
        <w:t>_单位的_</w:t>
      </w:r>
      <w:r>
        <w:rPr>
          <w:rFonts w:hint="eastAsia" w:cs="宋体" w:asciiTheme="minorEastAsia" w:hAnsiTheme="minorEastAsia" w:eastAsiaTheme="minorEastAsia"/>
          <w:sz w:val="24"/>
          <w:highlight w:val="none"/>
          <w:u w:val="single"/>
          <w:lang w:eastAsia="zh-CN"/>
        </w:rPr>
        <w:t>杭州市西湖区应急管理局自然灾害风险普查成果深化应用系统（二期）项目的</w:t>
      </w:r>
      <w:r>
        <w:rPr>
          <w:rFonts w:hint="eastAsia" w:cs="宋体"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kern w:val="0"/>
          <w:sz w:val="24"/>
          <w:highlight w:val="none"/>
          <w:lang w:val="zh-CN"/>
        </w:rPr>
        <w:t>投标人名称（电子签名）</w:t>
      </w:r>
      <w:r>
        <w:rPr>
          <w:rFonts w:hint="eastAsia" w:cs="宋体"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  期：</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pStyle w:val="4"/>
        <w:rPr>
          <w:rFonts w:cs="宋体" w:asciiTheme="minorEastAsia" w:hAnsiTheme="minorEastAsia" w:eastAsiaTheme="minorEastAsia"/>
          <w:b/>
          <w:sz w:val="24"/>
          <w:highlight w:val="none"/>
        </w:rPr>
      </w:pPr>
    </w:p>
    <w:p>
      <w:pPr>
        <w:rPr>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附件2：质疑函范本及制作说明</w:t>
      </w: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质疑函范本</w:t>
      </w:r>
    </w:p>
    <w:p>
      <w:pPr>
        <w:snapToGrid w:val="0"/>
        <w:spacing w:before="240" w:beforeLines="100"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一、质疑供应商基本信息</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质疑供应商：</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地址：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地址： </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二、质疑项目基本情况</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采购文件获取日期：</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三、质疑事项具体内容</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质疑事项1：</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质疑事项2</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四、与质疑事项相关的质疑请求</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jc w:val="center"/>
        <w:rPr>
          <w:rFonts w:cs="宋体" w:asciiTheme="minorEastAsia" w:hAnsiTheme="minorEastAsia" w:eastAsiaTheme="minorEastAsia"/>
          <w:b/>
          <w:bCs/>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质疑函制作说明：</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hint="eastAsia"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附件3：投诉书范本及制作说明</w:t>
      </w:r>
    </w:p>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投诉书范本</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一、投诉相关主体基本情况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tabs>
          <w:tab w:val="left" w:pos="6510"/>
        </w:tabs>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法定代表人/主要负责人：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tabs>
          <w:tab w:val="left" w:pos="6510"/>
        </w:tabs>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被投诉人1：</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被投诉人2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相关供应商：</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二、投诉项目基本情况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采购项目名称：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采购项目编号：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代理机构名称：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采购文件公告: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采购结果公告: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三、质疑基本情况</w:t>
      </w:r>
    </w:p>
    <w:p>
      <w:pPr>
        <w:spacing w:line="360" w:lineRule="auto"/>
        <w:ind w:firstLine="480" w:firstLineChars="200"/>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日,向</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提出质疑，质疑事项为：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采购人/代理机构</w:t>
      </w:r>
      <w:r>
        <w:rPr>
          <w:rFonts w:hint="eastAsia" w:cs="宋体" w:asciiTheme="minorEastAsia" w:hAnsiTheme="minorEastAsia" w:eastAsiaTheme="minorEastAsia"/>
          <w:sz w:val="24"/>
          <w:highlight w:val="none"/>
        </w:rPr>
        <w:t>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日,就质疑事项作出了答复/没有在法定期限内作出答复。</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四、投诉事项具体内容</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投诉事项 1：</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投诉事项2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五、与投诉事项相关的投诉请求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2"/>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bCs/>
          <w:sz w:val="32"/>
          <w:szCs w:val="32"/>
          <w:highlight w:val="none"/>
        </w:rPr>
      </w:pPr>
      <w:r>
        <w:rPr>
          <w:rFonts w:hint="eastAsia" w:cs="宋体" w:asciiTheme="minorEastAsia" w:hAnsiTheme="minorEastAsia" w:eastAsiaTheme="minorEastAsia"/>
          <w:b/>
          <w:spacing w:val="6"/>
          <w:sz w:val="32"/>
          <w:szCs w:val="32"/>
          <w:highlight w:val="none"/>
        </w:rPr>
        <w:t>附件4：</w:t>
      </w:r>
      <w:r>
        <w:rPr>
          <w:rFonts w:hint="eastAsia" w:cs="宋体" w:asciiTheme="minorEastAsia" w:hAnsiTheme="minorEastAsia" w:eastAsiaTheme="minorEastAsia"/>
          <w:b/>
          <w:bCs/>
          <w:sz w:val="32"/>
          <w:szCs w:val="32"/>
          <w:highlight w:val="none"/>
        </w:rPr>
        <w:t>业务专用章使用说明函</w:t>
      </w:r>
    </w:p>
    <w:p>
      <w:pPr>
        <w:spacing w:line="360" w:lineRule="auto"/>
        <w:rPr>
          <w:rFonts w:cs="宋体" w:asciiTheme="minorEastAsia" w:hAnsiTheme="minorEastAsia" w:eastAsiaTheme="minorEastAsia"/>
          <w:sz w:val="24"/>
          <w:highlight w:val="none"/>
          <w:u w:val="single"/>
        </w:rPr>
      </w:pP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single"/>
          <w:lang w:eastAsia="zh-CN"/>
        </w:rPr>
        <w:t>杭州市西湖区应急管理局</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u w:val="single"/>
          <w:lang w:eastAsia="zh-CN"/>
        </w:rPr>
        <w:t>杭州市西湖区政府采购中心</w:t>
      </w:r>
      <w:r>
        <w:rPr>
          <w:rFonts w:hint="eastAsia" w:cs="宋体" w:asciiTheme="minorEastAsia" w:hAnsiTheme="minorEastAsia" w:eastAsiaTheme="minorEastAsia"/>
          <w:sz w:val="24"/>
          <w:highlight w:val="none"/>
          <w:u w:val="singl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我方</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sz w:val="24"/>
          <w:highlight w:val="none"/>
        </w:rPr>
        <w:t>(投标人全称)是中华人民共和国依法登记注册的合法企业，</w:t>
      </w:r>
      <w:r>
        <w:rPr>
          <w:rFonts w:hint="eastAsia" w:cs="宋体" w:asciiTheme="minorEastAsia" w:hAnsiTheme="minorEastAsia" w:eastAsiaTheme="minorEastAsia"/>
          <w:bCs/>
          <w:sz w:val="24"/>
          <w:highlight w:val="none"/>
        </w:rPr>
        <w:t>在参加</w:t>
      </w:r>
      <w:r>
        <w:rPr>
          <w:rFonts w:hint="eastAsia" w:cs="宋体" w:asciiTheme="minorEastAsia" w:hAnsiTheme="minorEastAsia" w:eastAsiaTheme="minorEastAsia"/>
          <w:sz w:val="24"/>
          <w:highlight w:val="none"/>
        </w:rPr>
        <w:t>你方组织的</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hint="eastAsia" w:cs="宋体" w:asciiTheme="minorEastAsia" w:hAnsiTheme="minorEastAsia" w:eastAsiaTheme="minorEastAsia"/>
          <w:b/>
          <w:spacing w:val="6"/>
          <w:sz w:val="32"/>
          <w:szCs w:val="32"/>
          <w:highlight w:val="none"/>
        </w:rPr>
      </w:pPr>
    </w:p>
    <w:p>
      <w:pPr>
        <w:autoSpaceDE w:val="0"/>
        <w:autoSpaceDN w:val="0"/>
        <w:jc w:val="center"/>
        <w:rPr>
          <w:rFonts w:hint="eastAsia"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5</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组成一个联合体，以一个投标人的身份</w:t>
      </w:r>
      <w:r>
        <w:rPr>
          <w:rFonts w:hint="eastAsia" w:cs="宋体" w:asciiTheme="minorEastAsia" w:hAnsiTheme="minorEastAsia" w:eastAsiaTheme="minorEastAsia"/>
          <w:kern w:val="0"/>
          <w:sz w:val="24"/>
          <w:highlight w:val="none"/>
        </w:rPr>
        <w:t>参加</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投标。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，代表所有联合体成员负责投标和合同实施阶段的主办、协调工作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三、本次联合投标中，分工如下：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511"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511"/>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512" w:name="_Hlk101133598"/>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bookmarkEnd w:id="512"/>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513"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513"/>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五、如果中标，</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napToGrid w:val="0"/>
        <w:spacing w:line="360" w:lineRule="auto"/>
        <w:ind w:firstLine="3666" w:firstLineChars="1100"/>
        <w:rPr>
          <w:rFonts w:cs="宋体" w:asciiTheme="minorEastAsia" w:hAnsiTheme="minorEastAsia" w:eastAsiaTheme="minorEastAsia"/>
          <w:b/>
          <w:spacing w:val="6"/>
          <w:sz w:val="32"/>
          <w:szCs w:val="32"/>
          <w:highlight w:val="none"/>
        </w:rPr>
      </w:pPr>
    </w:p>
    <w:p>
      <w:pPr>
        <w:widowControl/>
        <w:adjustRightInd/>
        <w:jc w:val="left"/>
        <w:rPr>
          <w:rFonts w:cs="宋体" w:asciiTheme="minorEastAsia" w:hAnsiTheme="minorEastAsia" w:eastAsiaTheme="minorEastAsia"/>
          <w:b/>
          <w:spacing w:val="6"/>
          <w:sz w:val="32"/>
          <w:szCs w:val="32"/>
          <w:highlight w:val="none"/>
        </w:rPr>
      </w:pPr>
      <w:r>
        <w:rPr>
          <w:rFonts w:cs="宋体" w:asciiTheme="minorEastAsia" w:hAnsiTheme="minorEastAsia" w:eastAsiaTheme="minorEastAsia"/>
          <w:b/>
          <w:spacing w:val="6"/>
          <w:sz w:val="32"/>
          <w:szCs w:val="32"/>
          <w:highlight w:val="none"/>
        </w:rPr>
        <w:br w:type="page"/>
      </w:r>
    </w:p>
    <w:p>
      <w:pPr>
        <w:snapToGrid w:val="0"/>
        <w:spacing w:line="360" w:lineRule="auto"/>
        <w:ind w:firstLine="3666"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6</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XHZFCG-2024-G-15</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的中标供应商，将依法采取分包方式履行合同。</w:t>
      </w: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投标人名称(电子签名)：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pacing w:line="360" w:lineRule="auto"/>
        <w:jc w:val="left"/>
        <w:outlineLvl w:val="0"/>
        <w:rPr>
          <w:rFonts w:hint="eastAsia" w:cs="宋体" w:asciiTheme="minorEastAsia" w:hAnsiTheme="minorEastAsia" w:eastAsiaTheme="minorEastAsia"/>
          <w:b/>
          <w:sz w:val="36"/>
          <w:szCs w:val="20"/>
          <w:highlight w:val="none"/>
        </w:rPr>
      </w:pP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附件</w:t>
      </w:r>
      <w:r>
        <w:rPr>
          <w:rFonts w:cs="宋体" w:asciiTheme="minorEastAsia" w:hAnsiTheme="minorEastAsia" w:eastAsiaTheme="minorEastAsia"/>
          <w:b/>
          <w:sz w:val="36"/>
          <w:szCs w:val="20"/>
          <w:highlight w:val="none"/>
        </w:rPr>
        <w:t>7</w:t>
      </w:r>
      <w:r>
        <w:rPr>
          <w:rFonts w:hint="eastAsia" w:cs="宋体" w:asciiTheme="minorEastAsia" w:hAnsiTheme="minorEastAsia" w:eastAsiaTheme="minorEastAsia"/>
          <w:b/>
          <w:sz w:val="36"/>
          <w:szCs w:val="20"/>
          <w:highlight w:val="none"/>
        </w:rPr>
        <w:t>：中小企业声明函</w:t>
      </w:r>
    </w:p>
    <w:p>
      <w:pPr>
        <w:spacing w:line="360" w:lineRule="auto"/>
        <w:jc w:val="center"/>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lang w:eastAsia="zh-CN"/>
        </w:rPr>
        <w:t>杭州市西湖区应急管理局</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杭州市西湖区应急管理局自然灾害风险普查成果深化应用系统（二期）项目</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采购活动，服务全部由符合政策要求的中小企业承接。相关企业（含联合体中的中小企业、签订分包意向协议的中小企业）的具体情况如下：</w:t>
      </w:r>
    </w:p>
    <w:p>
      <w:pPr>
        <w:numPr>
          <w:ilvl w:val="0"/>
          <w:numId w:val="4"/>
        </w:numPr>
        <w:spacing w:line="360" w:lineRule="auto"/>
        <w:ind w:firstLine="480" w:firstLineChars="200"/>
        <w:jc w:val="left"/>
        <w:rPr>
          <w:rFonts w:hint="eastAsia" w:cs="宋体" w:asciiTheme="minorEastAsia" w:hAnsiTheme="minorEastAsia" w:eastAsiaTheme="minorEastAsia"/>
          <w:sz w:val="24"/>
          <w:highlight w:val="none"/>
        </w:rPr>
      </w:pPr>
      <w:r>
        <w:rPr>
          <w:rFonts w:hint="eastAsia" w:ascii="宋体" w:hAnsi="宋体" w:cs="宋体"/>
          <w:kern w:val="0"/>
          <w:sz w:val="24"/>
          <w:highlight w:val="none"/>
          <w:u w:val="singl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kern w:val="0"/>
          <w:sz w:val="24"/>
          <w:highlight w:val="none"/>
          <w:u w:val="single"/>
        </w:rPr>
        <w:t>软件和信息技术服务业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 xml:space="preserve"> </w:t>
      </w:r>
      <w:r>
        <w:rPr>
          <w:rFonts w:hint="eastAsia" w:ascii="宋体" w:hAnsi="宋体" w:cs="宋体"/>
          <w:kern w:val="0"/>
          <w:sz w:val="24"/>
          <w:highlight w:val="none"/>
          <w:u w:val="single"/>
          <w:lang w:eastAsia="zh-CN"/>
        </w:rPr>
        <w:t>杭州市西湖区应急管理局自然灾害风险普查成果深化应用系统（二期）项目</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kern w:val="0"/>
          <w:sz w:val="24"/>
          <w:highlight w:val="none"/>
          <w:u w:val="single"/>
        </w:rPr>
        <w:t>软件和信息技术服务业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pStyle w:val="2"/>
        <w:numPr>
          <w:ilvl w:val="0"/>
          <w:numId w:val="0"/>
        </w:numPr>
        <w:ind w:leftChars="0"/>
        <w:rPr>
          <w:rFonts w:hint="default"/>
          <w:b w:val="0"/>
          <w:bCs w:val="0"/>
          <w:sz w:val="24"/>
          <w:szCs w:val="24"/>
          <w:highlight w:val="none"/>
          <w:lang w:val="en-US"/>
        </w:rPr>
      </w:pPr>
      <w:r>
        <w:rPr>
          <w:rFonts w:hint="default"/>
          <w:b w:val="0"/>
          <w:bCs w:val="0"/>
          <w:sz w:val="24"/>
          <w:szCs w:val="24"/>
          <w:highlight w:val="none"/>
          <w:lang w:val="en-US"/>
        </w:rPr>
        <w:t>......</w:t>
      </w:r>
    </w:p>
    <w:p>
      <w:pPr>
        <w:rPr>
          <w:rFonts w:hint="default"/>
          <w:highlight w:val="none"/>
          <w:lang w:val="en-US"/>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17" w:type="first"/>
      <w:footerReference r:id="rId20" w:type="first"/>
      <w:headerReference r:id="rId16" w:type="default"/>
      <w:footerReference r:id="rId18" w:type="default"/>
      <w:footerReference r:id="rId19" w:type="even"/>
      <w:pgSz w:w="11905" w:h="16838"/>
      <w:pgMar w:top="680" w:right="1417" w:bottom="680" w:left="141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514" w:name="_Toc36110187"/>
    <w:bookmarkStart w:id="515" w:name="_Toc131845147"/>
    <w:bookmarkStart w:id="516" w:name="_Toc164085800"/>
    <w:bookmarkStart w:id="517" w:name="_Toc91899912"/>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4"/>
      </w:pBdr>
      <w:jc w:val="right"/>
      <w:rPr>
        <w:rFonts w:ascii="仿宋_GB2312" w:eastAsia="仿宋_GB2312"/>
        <w:b w:val="0"/>
        <w:i/>
        <w:sz w:val="18"/>
        <w:u w:val="single"/>
        <w:lang w:val="en-US"/>
      </w:rPr>
    </w:pPr>
    <w:r>
      <w:t></w:t>
    </w:r>
    <w:r>
      <w:rPr>
        <w:rFonts w:hint="eastAsia"/>
      </w:rPr>
      <w:t xml:space="preserve"> </w:t>
    </w:r>
    <w:r>
      <w:rPr>
        <w:rFonts w:hint="eastAsia"/>
        <w:sz w:val="18"/>
        <w:szCs w:val="18"/>
        <w:lang w:val="en-US" w:eastAsia="zh-CN"/>
      </w:rPr>
      <w:t>西湖区</w:t>
    </w:r>
    <w:r>
      <w:rPr>
        <w:sz w:val="18"/>
        <w:szCs w:val="18"/>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sz w:val="21"/>
        <w:szCs w:val="21"/>
      </w:rPr>
    </w:pPr>
    <w:r>
      <w:rPr>
        <w:rFonts w:hint="eastAsia" w:ascii="宋体" w:hAnsi="宋体" w:eastAsia="宋体" w:cs="宋体"/>
        <w:sz w:val="21"/>
        <w:szCs w:val="21"/>
        <w:lang w:val="en-US" w:eastAsia="zh-CN"/>
      </w:rPr>
      <w:t>西湖区</w:t>
    </w:r>
    <w:r>
      <w:rPr>
        <w:rFonts w:hint="eastAsia" w:ascii="宋体" w:hAnsi="宋体" w:eastAsia="宋体" w:cs="宋体"/>
        <w:sz w:val="21"/>
        <w:szCs w:val="21"/>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西湖区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A329A"/>
    <w:multiLevelType w:val="singleLevel"/>
    <w:tmpl w:val="292A329A"/>
    <w:lvl w:ilvl="0" w:tentative="0">
      <w:start w:val="1"/>
      <w:numFmt w:val="decimal"/>
      <w:suff w:val="space"/>
      <w:lvlText w:val="%1."/>
      <w:lvlJc w:val="left"/>
    </w:lvl>
  </w:abstractNum>
  <w:abstractNum w:abstractNumId="1">
    <w:nsid w:val="3119DA04"/>
    <w:multiLevelType w:val="singleLevel"/>
    <w:tmpl w:val="3119DA04"/>
    <w:lvl w:ilvl="0" w:tentative="0">
      <w:start w:val="1"/>
      <w:numFmt w:val="decimal"/>
      <w:lvlText w:val="%1"/>
      <w:lvlJc w:val="left"/>
      <w:pPr>
        <w:tabs>
          <w:tab w:val="left" w:pos="420"/>
        </w:tabs>
        <w:ind w:left="425" w:leftChars="0" w:hanging="425" w:firstLineChars="0"/>
      </w:pPr>
      <w:rPr>
        <w:rFonts w:hint="default"/>
      </w:rPr>
    </w:lvl>
  </w:abstractNum>
  <w:abstractNum w:abstractNumId="2">
    <w:nsid w:val="37D28565"/>
    <w:multiLevelType w:val="singleLevel"/>
    <w:tmpl w:val="37D28565"/>
    <w:lvl w:ilvl="0" w:tentative="0">
      <w:start w:val="6"/>
      <w:numFmt w:val="chineseCounting"/>
      <w:suff w:val="nothing"/>
      <w:lvlText w:val="%1、"/>
      <w:lvlJc w:val="left"/>
      <w:rPr>
        <w:rFonts w:hint="eastAsia"/>
      </w:rPr>
    </w:lvl>
  </w:abstractNum>
  <w:abstractNum w:abstractNumId="3">
    <w:nsid w:val="57134892"/>
    <w:multiLevelType w:val="multilevel"/>
    <w:tmpl w:val="57134892"/>
    <w:lvl w:ilvl="0" w:tentative="0">
      <w:start w:val="1"/>
      <w:numFmt w:val="japaneseCounting"/>
      <w:lvlText w:val="%1、"/>
      <w:lvlJc w:val="left"/>
      <w:pPr>
        <w:ind w:left="744" w:hanging="7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99999990"/>
  <w:displayHorizont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zU5YTA2MzMxZWVjMzc3MjliYjBlMzRjMzZhYm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75FE"/>
    <w:rsid w:val="019F7441"/>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609D8"/>
    <w:rsid w:val="03DD35E4"/>
    <w:rsid w:val="03E134CB"/>
    <w:rsid w:val="04076900"/>
    <w:rsid w:val="0414681E"/>
    <w:rsid w:val="041A5A3B"/>
    <w:rsid w:val="04222EE7"/>
    <w:rsid w:val="042311BA"/>
    <w:rsid w:val="042B157A"/>
    <w:rsid w:val="048F763B"/>
    <w:rsid w:val="049F330E"/>
    <w:rsid w:val="04AA775C"/>
    <w:rsid w:val="04AF1889"/>
    <w:rsid w:val="04ED7DD8"/>
    <w:rsid w:val="04F66F48"/>
    <w:rsid w:val="0519699F"/>
    <w:rsid w:val="05251E14"/>
    <w:rsid w:val="053026F6"/>
    <w:rsid w:val="055D3402"/>
    <w:rsid w:val="05A16594"/>
    <w:rsid w:val="05A7762D"/>
    <w:rsid w:val="060E5941"/>
    <w:rsid w:val="06110FAF"/>
    <w:rsid w:val="06130AF1"/>
    <w:rsid w:val="06493CA7"/>
    <w:rsid w:val="065A6178"/>
    <w:rsid w:val="066F1CF3"/>
    <w:rsid w:val="06930BB8"/>
    <w:rsid w:val="07245D42"/>
    <w:rsid w:val="07264C62"/>
    <w:rsid w:val="075E0091"/>
    <w:rsid w:val="07650629"/>
    <w:rsid w:val="076F1182"/>
    <w:rsid w:val="0779354C"/>
    <w:rsid w:val="08061376"/>
    <w:rsid w:val="08452D77"/>
    <w:rsid w:val="086401F8"/>
    <w:rsid w:val="08751CAA"/>
    <w:rsid w:val="087E4C40"/>
    <w:rsid w:val="08A871D0"/>
    <w:rsid w:val="08D66AD6"/>
    <w:rsid w:val="08DA33A3"/>
    <w:rsid w:val="08DB7EA3"/>
    <w:rsid w:val="08E80F13"/>
    <w:rsid w:val="08F55A0C"/>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71FF"/>
    <w:rsid w:val="0A5B7E63"/>
    <w:rsid w:val="0AA374A5"/>
    <w:rsid w:val="0AAB7649"/>
    <w:rsid w:val="0ABC5606"/>
    <w:rsid w:val="0B30404E"/>
    <w:rsid w:val="0B481A3F"/>
    <w:rsid w:val="0B4C6C14"/>
    <w:rsid w:val="0B547599"/>
    <w:rsid w:val="0B631A88"/>
    <w:rsid w:val="0B683D45"/>
    <w:rsid w:val="0B7F3F11"/>
    <w:rsid w:val="0B884417"/>
    <w:rsid w:val="0BCB0FBA"/>
    <w:rsid w:val="0BF6188C"/>
    <w:rsid w:val="0BF73C91"/>
    <w:rsid w:val="0C170175"/>
    <w:rsid w:val="0C571A41"/>
    <w:rsid w:val="0C5C1171"/>
    <w:rsid w:val="0C5E1CBC"/>
    <w:rsid w:val="0C615B50"/>
    <w:rsid w:val="0C7018CB"/>
    <w:rsid w:val="0C8445DA"/>
    <w:rsid w:val="0C87121B"/>
    <w:rsid w:val="0CA10B23"/>
    <w:rsid w:val="0CC007F7"/>
    <w:rsid w:val="0CC617AC"/>
    <w:rsid w:val="0CE618DF"/>
    <w:rsid w:val="0CFE707A"/>
    <w:rsid w:val="0D063BDA"/>
    <w:rsid w:val="0D08375F"/>
    <w:rsid w:val="0D0859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20CC"/>
    <w:rsid w:val="10646583"/>
    <w:rsid w:val="107D4B15"/>
    <w:rsid w:val="108A3C80"/>
    <w:rsid w:val="10A10625"/>
    <w:rsid w:val="10C26171"/>
    <w:rsid w:val="10F33360"/>
    <w:rsid w:val="10FC16EA"/>
    <w:rsid w:val="110F1D40"/>
    <w:rsid w:val="11266F33"/>
    <w:rsid w:val="118963A1"/>
    <w:rsid w:val="11917F2C"/>
    <w:rsid w:val="11C6522A"/>
    <w:rsid w:val="11E104CC"/>
    <w:rsid w:val="11E20309"/>
    <w:rsid w:val="12255233"/>
    <w:rsid w:val="12530213"/>
    <w:rsid w:val="127723A9"/>
    <w:rsid w:val="12783358"/>
    <w:rsid w:val="12862074"/>
    <w:rsid w:val="12883966"/>
    <w:rsid w:val="129E45B4"/>
    <w:rsid w:val="129E5ADA"/>
    <w:rsid w:val="12B0506E"/>
    <w:rsid w:val="12D81596"/>
    <w:rsid w:val="13072A44"/>
    <w:rsid w:val="135F4BE2"/>
    <w:rsid w:val="139627F8"/>
    <w:rsid w:val="139B1A0A"/>
    <w:rsid w:val="139D25C7"/>
    <w:rsid w:val="13BF3CE4"/>
    <w:rsid w:val="141008D8"/>
    <w:rsid w:val="14125FE6"/>
    <w:rsid w:val="146D271E"/>
    <w:rsid w:val="14863278"/>
    <w:rsid w:val="14982588"/>
    <w:rsid w:val="149A5AD9"/>
    <w:rsid w:val="14A7619D"/>
    <w:rsid w:val="14BA10E4"/>
    <w:rsid w:val="150536C3"/>
    <w:rsid w:val="150C1963"/>
    <w:rsid w:val="151447A0"/>
    <w:rsid w:val="154A6454"/>
    <w:rsid w:val="15762120"/>
    <w:rsid w:val="16A8729C"/>
    <w:rsid w:val="16B33777"/>
    <w:rsid w:val="16BC70A7"/>
    <w:rsid w:val="16C6339E"/>
    <w:rsid w:val="171E77F9"/>
    <w:rsid w:val="172F2D79"/>
    <w:rsid w:val="17557BEF"/>
    <w:rsid w:val="17D349C1"/>
    <w:rsid w:val="1830729E"/>
    <w:rsid w:val="1870062C"/>
    <w:rsid w:val="18817102"/>
    <w:rsid w:val="18830A15"/>
    <w:rsid w:val="18852B28"/>
    <w:rsid w:val="188B5321"/>
    <w:rsid w:val="18C45665"/>
    <w:rsid w:val="196B7D23"/>
    <w:rsid w:val="19932372"/>
    <w:rsid w:val="19A20DD5"/>
    <w:rsid w:val="19AE03F1"/>
    <w:rsid w:val="1A071A03"/>
    <w:rsid w:val="1A1F16AE"/>
    <w:rsid w:val="1A3B5C77"/>
    <w:rsid w:val="1A984BAD"/>
    <w:rsid w:val="1AB8220E"/>
    <w:rsid w:val="1AC24A97"/>
    <w:rsid w:val="1AE4166C"/>
    <w:rsid w:val="1AF06CFB"/>
    <w:rsid w:val="1AF11B8D"/>
    <w:rsid w:val="1B11359C"/>
    <w:rsid w:val="1B2A271F"/>
    <w:rsid w:val="1B530544"/>
    <w:rsid w:val="1B713184"/>
    <w:rsid w:val="1BA209CF"/>
    <w:rsid w:val="1BB4777D"/>
    <w:rsid w:val="1BD75AB8"/>
    <w:rsid w:val="1C0459C2"/>
    <w:rsid w:val="1C1B3B4A"/>
    <w:rsid w:val="1C2245B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4E48BC"/>
    <w:rsid w:val="206162AC"/>
    <w:rsid w:val="208921B3"/>
    <w:rsid w:val="20973DEB"/>
    <w:rsid w:val="20B26522"/>
    <w:rsid w:val="20B44310"/>
    <w:rsid w:val="20F26836"/>
    <w:rsid w:val="211116EB"/>
    <w:rsid w:val="216133FC"/>
    <w:rsid w:val="21D56769"/>
    <w:rsid w:val="21E52EF3"/>
    <w:rsid w:val="21FB5D7B"/>
    <w:rsid w:val="22015E94"/>
    <w:rsid w:val="220B1C3D"/>
    <w:rsid w:val="221D1D20"/>
    <w:rsid w:val="22334A87"/>
    <w:rsid w:val="22BE6801"/>
    <w:rsid w:val="233500BF"/>
    <w:rsid w:val="23377FF7"/>
    <w:rsid w:val="235F2FFB"/>
    <w:rsid w:val="236B425F"/>
    <w:rsid w:val="237B7658"/>
    <w:rsid w:val="23836192"/>
    <w:rsid w:val="23901F29"/>
    <w:rsid w:val="239C0061"/>
    <w:rsid w:val="23B908A4"/>
    <w:rsid w:val="23E95BEF"/>
    <w:rsid w:val="23FD0064"/>
    <w:rsid w:val="24131E7D"/>
    <w:rsid w:val="245375B0"/>
    <w:rsid w:val="24642C0A"/>
    <w:rsid w:val="24B22173"/>
    <w:rsid w:val="24B95AD9"/>
    <w:rsid w:val="24BE24DA"/>
    <w:rsid w:val="24CF5825"/>
    <w:rsid w:val="24D663E6"/>
    <w:rsid w:val="24D77F2B"/>
    <w:rsid w:val="24F64A26"/>
    <w:rsid w:val="258B00E2"/>
    <w:rsid w:val="25A917A6"/>
    <w:rsid w:val="25BE27CC"/>
    <w:rsid w:val="25CF593E"/>
    <w:rsid w:val="25F74A5C"/>
    <w:rsid w:val="2628662C"/>
    <w:rsid w:val="262D45DE"/>
    <w:rsid w:val="26871DC8"/>
    <w:rsid w:val="26A53EF9"/>
    <w:rsid w:val="26A94201"/>
    <w:rsid w:val="26AC274F"/>
    <w:rsid w:val="26C3139C"/>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872A8"/>
    <w:rsid w:val="2BBF00EC"/>
    <w:rsid w:val="2BC37CFD"/>
    <w:rsid w:val="2BD5237F"/>
    <w:rsid w:val="2BE536CE"/>
    <w:rsid w:val="2BE758D9"/>
    <w:rsid w:val="2C09049E"/>
    <w:rsid w:val="2C0A653C"/>
    <w:rsid w:val="2C191F85"/>
    <w:rsid w:val="2C1F33CD"/>
    <w:rsid w:val="2CA458C6"/>
    <w:rsid w:val="2CE82D6F"/>
    <w:rsid w:val="2D343236"/>
    <w:rsid w:val="2DD15014"/>
    <w:rsid w:val="2DF72DE4"/>
    <w:rsid w:val="2E0220AF"/>
    <w:rsid w:val="2E4B082A"/>
    <w:rsid w:val="2E5D4E86"/>
    <w:rsid w:val="2E5D790B"/>
    <w:rsid w:val="2E6E7A12"/>
    <w:rsid w:val="2E9A3C18"/>
    <w:rsid w:val="2EBB0FEE"/>
    <w:rsid w:val="2EC63002"/>
    <w:rsid w:val="2EFC4BC9"/>
    <w:rsid w:val="2F0A6B38"/>
    <w:rsid w:val="2F946CCB"/>
    <w:rsid w:val="2FD25781"/>
    <w:rsid w:val="2FDC745C"/>
    <w:rsid w:val="2FFD7934"/>
    <w:rsid w:val="30244583"/>
    <w:rsid w:val="30733ACD"/>
    <w:rsid w:val="307D4CAC"/>
    <w:rsid w:val="308C3862"/>
    <w:rsid w:val="309379D8"/>
    <w:rsid w:val="30A270F7"/>
    <w:rsid w:val="30DF1478"/>
    <w:rsid w:val="30EC586F"/>
    <w:rsid w:val="3166565D"/>
    <w:rsid w:val="319C6071"/>
    <w:rsid w:val="31AC537E"/>
    <w:rsid w:val="31E3679B"/>
    <w:rsid w:val="31E732FD"/>
    <w:rsid w:val="32517576"/>
    <w:rsid w:val="32BE5C2C"/>
    <w:rsid w:val="32FB6478"/>
    <w:rsid w:val="33263B3F"/>
    <w:rsid w:val="334D1663"/>
    <w:rsid w:val="336963EB"/>
    <w:rsid w:val="33816EEB"/>
    <w:rsid w:val="33CA1BD7"/>
    <w:rsid w:val="33E505BB"/>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9225B7"/>
    <w:rsid w:val="37ED5AF6"/>
    <w:rsid w:val="37EE7094"/>
    <w:rsid w:val="38296C89"/>
    <w:rsid w:val="383002EB"/>
    <w:rsid w:val="38586797"/>
    <w:rsid w:val="38BC0149"/>
    <w:rsid w:val="38D87D1C"/>
    <w:rsid w:val="39636459"/>
    <w:rsid w:val="396B7F6C"/>
    <w:rsid w:val="39B417A9"/>
    <w:rsid w:val="39FC5695"/>
    <w:rsid w:val="3A006D8E"/>
    <w:rsid w:val="3A3651E5"/>
    <w:rsid w:val="3A5628DE"/>
    <w:rsid w:val="3A744481"/>
    <w:rsid w:val="3A8C7BEF"/>
    <w:rsid w:val="3A906246"/>
    <w:rsid w:val="3B2349B7"/>
    <w:rsid w:val="3B616CFF"/>
    <w:rsid w:val="3B6259F6"/>
    <w:rsid w:val="3B8C414B"/>
    <w:rsid w:val="3B976654"/>
    <w:rsid w:val="3BC01EFC"/>
    <w:rsid w:val="3BCA786A"/>
    <w:rsid w:val="3BD31E2F"/>
    <w:rsid w:val="3BF15831"/>
    <w:rsid w:val="3C105946"/>
    <w:rsid w:val="3C471448"/>
    <w:rsid w:val="3C5F759A"/>
    <w:rsid w:val="3C6C525A"/>
    <w:rsid w:val="3C8A7746"/>
    <w:rsid w:val="3CAF5805"/>
    <w:rsid w:val="3CB2661F"/>
    <w:rsid w:val="3CCE23CB"/>
    <w:rsid w:val="3CD17D17"/>
    <w:rsid w:val="3CD4160F"/>
    <w:rsid w:val="3D3C7F39"/>
    <w:rsid w:val="3D440F09"/>
    <w:rsid w:val="3D4504A0"/>
    <w:rsid w:val="3D8734BB"/>
    <w:rsid w:val="3D9A11D4"/>
    <w:rsid w:val="3DA16D89"/>
    <w:rsid w:val="3DA364BE"/>
    <w:rsid w:val="3DE041CB"/>
    <w:rsid w:val="3DEA6ADE"/>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7E3BC9"/>
    <w:rsid w:val="3F95482B"/>
    <w:rsid w:val="4019356B"/>
    <w:rsid w:val="40592157"/>
    <w:rsid w:val="406E1CAE"/>
    <w:rsid w:val="40A0133A"/>
    <w:rsid w:val="40C31A53"/>
    <w:rsid w:val="40C631C2"/>
    <w:rsid w:val="40F1591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A65E6D"/>
    <w:rsid w:val="44DE1391"/>
    <w:rsid w:val="451B225C"/>
    <w:rsid w:val="452410C9"/>
    <w:rsid w:val="45317DFB"/>
    <w:rsid w:val="455D62E6"/>
    <w:rsid w:val="456D3CE4"/>
    <w:rsid w:val="4579042C"/>
    <w:rsid w:val="457F0571"/>
    <w:rsid w:val="45851176"/>
    <w:rsid w:val="45C63B94"/>
    <w:rsid w:val="45F10866"/>
    <w:rsid w:val="460E7DA5"/>
    <w:rsid w:val="46422483"/>
    <w:rsid w:val="4659254A"/>
    <w:rsid w:val="465B0637"/>
    <w:rsid w:val="465E3F0D"/>
    <w:rsid w:val="466A16E6"/>
    <w:rsid w:val="46893F2B"/>
    <w:rsid w:val="46C4686E"/>
    <w:rsid w:val="477B778F"/>
    <w:rsid w:val="478203EC"/>
    <w:rsid w:val="47B025FA"/>
    <w:rsid w:val="47D30533"/>
    <w:rsid w:val="47E63584"/>
    <w:rsid w:val="4809698F"/>
    <w:rsid w:val="4811697D"/>
    <w:rsid w:val="487A3E25"/>
    <w:rsid w:val="488B5503"/>
    <w:rsid w:val="48937E21"/>
    <w:rsid w:val="489A0361"/>
    <w:rsid w:val="48B94FF3"/>
    <w:rsid w:val="48E37AAB"/>
    <w:rsid w:val="48FD4B4C"/>
    <w:rsid w:val="49022B51"/>
    <w:rsid w:val="490A68E0"/>
    <w:rsid w:val="491055FE"/>
    <w:rsid w:val="495F5B3E"/>
    <w:rsid w:val="496F77D7"/>
    <w:rsid w:val="497654FD"/>
    <w:rsid w:val="49B64211"/>
    <w:rsid w:val="49F6167F"/>
    <w:rsid w:val="4A064FA0"/>
    <w:rsid w:val="4A16615C"/>
    <w:rsid w:val="4A4424D7"/>
    <w:rsid w:val="4A552EA1"/>
    <w:rsid w:val="4AB82D0F"/>
    <w:rsid w:val="4AEB7664"/>
    <w:rsid w:val="4AFD7C19"/>
    <w:rsid w:val="4B0567D1"/>
    <w:rsid w:val="4B236AAE"/>
    <w:rsid w:val="4B707271"/>
    <w:rsid w:val="4B9739F7"/>
    <w:rsid w:val="4BE441DF"/>
    <w:rsid w:val="4BEE2503"/>
    <w:rsid w:val="4C245A30"/>
    <w:rsid w:val="4CB6685F"/>
    <w:rsid w:val="4CC367FE"/>
    <w:rsid w:val="4CC90409"/>
    <w:rsid w:val="4CEB57C1"/>
    <w:rsid w:val="4D077F3C"/>
    <w:rsid w:val="4D123355"/>
    <w:rsid w:val="4D2A3B31"/>
    <w:rsid w:val="4D312C52"/>
    <w:rsid w:val="4D905305"/>
    <w:rsid w:val="4D964A72"/>
    <w:rsid w:val="4D9C1254"/>
    <w:rsid w:val="4E793892"/>
    <w:rsid w:val="4E800872"/>
    <w:rsid w:val="4EC569ED"/>
    <w:rsid w:val="4ED50EA1"/>
    <w:rsid w:val="4EEC050C"/>
    <w:rsid w:val="4F104EC3"/>
    <w:rsid w:val="4F144122"/>
    <w:rsid w:val="4F2220BF"/>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30B05"/>
    <w:rsid w:val="58173911"/>
    <w:rsid w:val="58917D2F"/>
    <w:rsid w:val="5894085C"/>
    <w:rsid w:val="58AE4F0C"/>
    <w:rsid w:val="58B85899"/>
    <w:rsid w:val="58E363A9"/>
    <w:rsid w:val="595E1678"/>
    <w:rsid w:val="596D5BD4"/>
    <w:rsid w:val="597E3DD8"/>
    <w:rsid w:val="59E157AB"/>
    <w:rsid w:val="59E75EE1"/>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3F5168"/>
    <w:rsid w:val="5C80234E"/>
    <w:rsid w:val="5C8A680C"/>
    <w:rsid w:val="5CA5578D"/>
    <w:rsid w:val="5D0C4701"/>
    <w:rsid w:val="5D0F0395"/>
    <w:rsid w:val="5D221076"/>
    <w:rsid w:val="5D397964"/>
    <w:rsid w:val="5D5A391C"/>
    <w:rsid w:val="5D5F10C0"/>
    <w:rsid w:val="5D891B7B"/>
    <w:rsid w:val="5D8D5986"/>
    <w:rsid w:val="5DAD38EE"/>
    <w:rsid w:val="5E006862"/>
    <w:rsid w:val="5E0207B9"/>
    <w:rsid w:val="5E1038C4"/>
    <w:rsid w:val="5E1834A1"/>
    <w:rsid w:val="5E261785"/>
    <w:rsid w:val="5E4A7017"/>
    <w:rsid w:val="5E4F1BCA"/>
    <w:rsid w:val="5E552BBA"/>
    <w:rsid w:val="5E601E0B"/>
    <w:rsid w:val="5E611C10"/>
    <w:rsid w:val="5E7A0F3F"/>
    <w:rsid w:val="5EFC7377"/>
    <w:rsid w:val="5F06174D"/>
    <w:rsid w:val="5F3A3602"/>
    <w:rsid w:val="5F45733B"/>
    <w:rsid w:val="5F6277C6"/>
    <w:rsid w:val="5F6D0B1D"/>
    <w:rsid w:val="5F77743D"/>
    <w:rsid w:val="5F79358C"/>
    <w:rsid w:val="5F8D0B82"/>
    <w:rsid w:val="5FCC5339"/>
    <w:rsid w:val="5FE34A5B"/>
    <w:rsid w:val="5FF65711"/>
    <w:rsid w:val="5FFE1E36"/>
    <w:rsid w:val="60232584"/>
    <w:rsid w:val="607330CE"/>
    <w:rsid w:val="60825176"/>
    <w:rsid w:val="609F2AC4"/>
    <w:rsid w:val="60FA2EE8"/>
    <w:rsid w:val="61054A27"/>
    <w:rsid w:val="610A52BC"/>
    <w:rsid w:val="611D2366"/>
    <w:rsid w:val="6135328B"/>
    <w:rsid w:val="61421856"/>
    <w:rsid w:val="615227C4"/>
    <w:rsid w:val="61565444"/>
    <w:rsid w:val="61654E3F"/>
    <w:rsid w:val="6182292A"/>
    <w:rsid w:val="619F7F92"/>
    <w:rsid w:val="61F94C26"/>
    <w:rsid w:val="62000E56"/>
    <w:rsid w:val="624F3E49"/>
    <w:rsid w:val="62632286"/>
    <w:rsid w:val="62885958"/>
    <w:rsid w:val="62A44442"/>
    <w:rsid w:val="62F40B65"/>
    <w:rsid w:val="62FC2CFE"/>
    <w:rsid w:val="63024505"/>
    <w:rsid w:val="630B44AB"/>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68D4DC1"/>
    <w:rsid w:val="67284557"/>
    <w:rsid w:val="672F3F24"/>
    <w:rsid w:val="673E055F"/>
    <w:rsid w:val="67551CE3"/>
    <w:rsid w:val="67A22552"/>
    <w:rsid w:val="67B22DCC"/>
    <w:rsid w:val="67BE71AA"/>
    <w:rsid w:val="67D90273"/>
    <w:rsid w:val="67DE5875"/>
    <w:rsid w:val="67E55852"/>
    <w:rsid w:val="67EB1AB4"/>
    <w:rsid w:val="67FA1285"/>
    <w:rsid w:val="684A75E9"/>
    <w:rsid w:val="68551F4F"/>
    <w:rsid w:val="687C10C9"/>
    <w:rsid w:val="68840C16"/>
    <w:rsid w:val="68876EFB"/>
    <w:rsid w:val="68884654"/>
    <w:rsid w:val="689F444F"/>
    <w:rsid w:val="68B96DBB"/>
    <w:rsid w:val="68CA2805"/>
    <w:rsid w:val="68E937A3"/>
    <w:rsid w:val="693E15D3"/>
    <w:rsid w:val="69627681"/>
    <w:rsid w:val="6977531D"/>
    <w:rsid w:val="69B746D8"/>
    <w:rsid w:val="69CC2BFF"/>
    <w:rsid w:val="69F2157E"/>
    <w:rsid w:val="69FD55B8"/>
    <w:rsid w:val="6A0B1C62"/>
    <w:rsid w:val="6A2406C8"/>
    <w:rsid w:val="6ADE0BD1"/>
    <w:rsid w:val="6AE96859"/>
    <w:rsid w:val="6B147746"/>
    <w:rsid w:val="6B1F4979"/>
    <w:rsid w:val="6B24787C"/>
    <w:rsid w:val="6B573233"/>
    <w:rsid w:val="6B5B6274"/>
    <w:rsid w:val="6B935D53"/>
    <w:rsid w:val="6C196F71"/>
    <w:rsid w:val="6C226FCB"/>
    <w:rsid w:val="6C31226F"/>
    <w:rsid w:val="6C552F0B"/>
    <w:rsid w:val="6C8C67B7"/>
    <w:rsid w:val="6C9D744C"/>
    <w:rsid w:val="6D167928"/>
    <w:rsid w:val="6D26299B"/>
    <w:rsid w:val="6D4772EC"/>
    <w:rsid w:val="6D5D358C"/>
    <w:rsid w:val="6D9078AF"/>
    <w:rsid w:val="6DAA3FEF"/>
    <w:rsid w:val="6DC0172B"/>
    <w:rsid w:val="6DCB690C"/>
    <w:rsid w:val="6DD41A5B"/>
    <w:rsid w:val="6DF43C2E"/>
    <w:rsid w:val="6DF51CA3"/>
    <w:rsid w:val="6E8335BD"/>
    <w:rsid w:val="6E8E12EF"/>
    <w:rsid w:val="6E972936"/>
    <w:rsid w:val="6ED446C5"/>
    <w:rsid w:val="6F2A7D94"/>
    <w:rsid w:val="6F8331F1"/>
    <w:rsid w:val="6F885A6B"/>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3F26AF"/>
    <w:rsid w:val="73C0646E"/>
    <w:rsid w:val="742222F5"/>
    <w:rsid w:val="74476126"/>
    <w:rsid w:val="74706664"/>
    <w:rsid w:val="747F3682"/>
    <w:rsid w:val="749C4185"/>
    <w:rsid w:val="75067759"/>
    <w:rsid w:val="752E6DCD"/>
    <w:rsid w:val="7551380D"/>
    <w:rsid w:val="75600BE5"/>
    <w:rsid w:val="7564475C"/>
    <w:rsid w:val="7583797F"/>
    <w:rsid w:val="75A47E64"/>
    <w:rsid w:val="75D20F1D"/>
    <w:rsid w:val="75DA2C18"/>
    <w:rsid w:val="75F54412"/>
    <w:rsid w:val="761D08E0"/>
    <w:rsid w:val="765D347C"/>
    <w:rsid w:val="76826699"/>
    <w:rsid w:val="76A70579"/>
    <w:rsid w:val="76C87133"/>
    <w:rsid w:val="76CD08D5"/>
    <w:rsid w:val="76DB4B92"/>
    <w:rsid w:val="76E7660B"/>
    <w:rsid w:val="77021FAC"/>
    <w:rsid w:val="77052AA4"/>
    <w:rsid w:val="77136511"/>
    <w:rsid w:val="77164FD3"/>
    <w:rsid w:val="772F6557"/>
    <w:rsid w:val="77340A39"/>
    <w:rsid w:val="77351FD0"/>
    <w:rsid w:val="77472422"/>
    <w:rsid w:val="776035B6"/>
    <w:rsid w:val="777F31F2"/>
    <w:rsid w:val="77B23B82"/>
    <w:rsid w:val="77D1700D"/>
    <w:rsid w:val="77EC04CC"/>
    <w:rsid w:val="78775729"/>
    <w:rsid w:val="78A42DB0"/>
    <w:rsid w:val="78A656AB"/>
    <w:rsid w:val="78B2245C"/>
    <w:rsid w:val="78E172CC"/>
    <w:rsid w:val="78EA1D1F"/>
    <w:rsid w:val="7904172F"/>
    <w:rsid w:val="790F7E27"/>
    <w:rsid w:val="79261D71"/>
    <w:rsid w:val="792A231A"/>
    <w:rsid w:val="79316829"/>
    <w:rsid w:val="797E66A9"/>
    <w:rsid w:val="798518A4"/>
    <w:rsid w:val="79A97383"/>
    <w:rsid w:val="79E27E8B"/>
    <w:rsid w:val="79F850CE"/>
    <w:rsid w:val="79FD443C"/>
    <w:rsid w:val="7A1D1975"/>
    <w:rsid w:val="7A322ADF"/>
    <w:rsid w:val="7A3E5150"/>
    <w:rsid w:val="7A4670D6"/>
    <w:rsid w:val="7A534B63"/>
    <w:rsid w:val="7A615382"/>
    <w:rsid w:val="7A67303B"/>
    <w:rsid w:val="7AAB1D04"/>
    <w:rsid w:val="7ABA4368"/>
    <w:rsid w:val="7AD05746"/>
    <w:rsid w:val="7AEE5926"/>
    <w:rsid w:val="7B257FFD"/>
    <w:rsid w:val="7B343476"/>
    <w:rsid w:val="7B5A2978"/>
    <w:rsid w:val="7B5A7E4C"/>
    <w:rsid w:val="7B667AF9"/>
    <w:rsid w:val="7B7468F8"/>
    <w:rsid w:val="7BEE0103"/>
    <w:rsid w:val="7C026727"/>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E7579"/>
    <w:rsid w:val="7E1E5218"/>
    <w:rsid w:val="7E9A4E1F"/>
    <w:rsid w:val="7EA7723A"/>
    <w:rsid w:val="7EF56FBB"/>
    <w:rsid w:val="7F0768EB"/>
    <w:rsid w:val="7F143BEC"/>
    <w:rsid w:val="7F625F8B"/>
    <w:rsid w:val="7F715AF2"/>
    <w:rsid w:val="7F886E69"/>
    <w:rsid w:val="7FAF243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qFormat="1" w:unhideWhenUsed="0"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toa heading"/>
    <w:basedOn w:val="1"/>
    <w:next w:val="1"/>
    <w:semiHidden/>
    <w:qFormat/>
    <w:uiPriority w:val="0"/>
    <w:pPr>
      <w:spacing w:before="120"/>
    </w:pPr>
    <w:rPr>
      <w:rFonts w:ascii="Arial" w:hAnsi="Arial"/>
      <w:b/>
      <w:bCs/>
    </w:rPr>
  </w:style>
  <w:style w:type="paragraph" w:styleId="20">
    <w:name w:val="annotation text"/>
    <w:basedOn w:val="1"/>
    <w:link w:val="344"/>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30"/>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0"/>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1"/>
    <w:qFormat/>
    <w:uiPriority w:val="0"/>
    <w:pPr>
      <w:ind w:firstLine="420"/>
    </w:pPr>
    <w:rPr>
      <w:rFonts w:hAnsi="Calibri" w:cs="Times New Roman"/>
      <w:snapToGrid/>
      <w:szCs w:val="20"/>
    </w:rPr>
  </w:style>
  <w:style w:type="paragraph" w:styleId="26">
    <w:name w:val="Body Text Indent"/>
    <w:basedOn w:val="1"/>
    <w:next w:val="27"/>
    <w:link w:val="265"/>
    <w:qFormat/>
    <w:uiPriority w:val="0"/>
    <w:pPr>
      <w:spacing w:line="480" w:lineRule="exact"/>
      <w:ind w:firstLine="480" w:firstLineChars="200"/>
    </w:pPr>
    <w:rPr>
      <w:rFonts w:ascii="宋体" w:hAnsi="宋体"/>
      <w:sz w:val="24"/>
    </w:rPr>
  </w:style>
  <w:style w:type="paragraph" w:styleId="27">
    <w:name w:val="Body Text First Indent 2"/>
    <w:basedOn w:val="26"/>
    <w:link w:val="121"/>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1"/>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88"/>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5"/>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2"/>
    <w:qFormat/>
    <w:uiPriority w:val="0"/>
    <w:pPr>
      <w:spacing w:after="120" w:line="480" w:lineRule="auto"/>
    </w:pPr>
  </w:style>
  <w:style w:type="paragraph" w:styleId="59">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6"/>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空2字"/>
    <w:basedOn w:val="8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2"/>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7"/>
    <w:qFormat/>
    <w:uiPriority w:val="0"/>
    <w:rPr>
      <w:rFonts w:ascii="宋体" w:hAnsi="宋体"/>
      <w:kern w:val="2"/>
      <w:sz w:val="21"/>
      <w:szCs w:val="24"/>
    </w:rPr>
  </w:style>
  <w:style w:type="character" w:customStyle="1" w:styleId="122">
    <w:name w:val="font11"/>
    <w:basedOn w:val="70"/>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9"/>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basedOn w:val="70"/>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2"/>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2"/>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1"/>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9"/>
    <w:qFormat/>
    <w:uiPriority w:val="0"/>
    <w:rPr>
      <w:rFonts w:ascii="黑体" w:hAnsi="Courier New" w:eastAsia="黑体"/>
    </w:rPr>
  </w:style>
  <w:style w:type="character" w:customStyle="1" w:styleId="302">
    <w:name w:val="正文文本 2 Char1"/>
    <w:link w:val="58"/>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8"/>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70"/>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5"/>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2"/>
    <w:qFormat/>
    <w:uiPriority w:val="0"/>
    <w:rPr>
      <w:kern w:val="2"/>
      <w:sz w:val="21"/>
    </w:rPr>
  </w:style>
  <w:style w:type="character" w:customStyle="1" w:styleId="331">
    <w:name w:val="font31"/>
    <w:basedOn w:val="70"/>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qFormat/>
    <w:uiPriority w:val="99"/>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5"/>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8"/>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rmal]"/>
    <w:qFormat/>
    <w:uiPriority w:val="0"/>
    <w:rPr>
      <w:rFonts w:ascii="宋体" w:hAnsi="宋体" w:eastAsia="宋体" w:cs="Times New Roman"/>
      <w:sz w:val="24"/>
      <w:szCs w:val="22"/>
      <w:lang w:val="zh-CN" w:eastAsia="zh-CN" w:bidi="ar-SA"/>
    </w:rPr>
  </w:style>
  <w:style w:type="paragraph" w:customStyle="1" w:styleId="966">
    <w:name w:val="Normal Indent_03888ede-4e46-4032-aa65-ece7800c373f"/>
    <w:basedOn w:val="1"/>
    <w:qFormat/>
    <w:uiPriority w:val="0"/>
    <w:pPr>
      <w:widowControl/>
      <w:ind w:firstLine="420"/>
      <w:jc w:val="left"/>
    </w:pPr>
    <w:rPr>
      <w:rFonts w:ascii="Times New Roman" w:hAnsi="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40809</Words>
  <Characters>42928</Characters>
  <Lines>460</Lines>
  <Paragraphs>129</Paragraphs>
  <TotalTime>65</TotalTime>
  <ScaleCrop>false</ScaleCrop>
  <LinksUpToDate>false</LinksUpToDate>
  <CharactersWithSpaces>48101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蒋晓峥</cp:lastModifiedBy>
  <cp:lastPrinted>2024-02-19T08:49:00Z</cp:lastPrinted>
  <dcterms:modified xsi:type="dcterms:W3CDTF">2024-03-26T07:27:35Z</dcterms:modified>
  <dc:title>杭州市市民卡扩大发卡工程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5BFE7CF5EB2C4EF0B213671D79B5FA05_13</vt:lpwstr>
  </property>
</Properties>
</file>